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A752" w14:textId="3023798B" w:rsidR="003D5BE8" w:rsidRPr="00E0388C" w:rsidRDefault="003D5BE8" w:rsidP="00E0388C">
      <w:pPr>
        <w:jc w:val="center"/>
        <w:rPr>
          <w:b/>
          <w:bCs/>
          <w:sz w:val="32"/>
          <w:szCs w:val="32"/>
          <w:lang w:eastAsia="en-NZ"/>
        </w:rPr>
      </w:pPr>
      <w:r w:rsidRPr="00E0388C">
        <w:rPr>
          <w:b/>
          <w:bCs/>
          <w:sz w:val="32"/>
          <w:szCs w:val="32"/>
          <w:lang w:eastAsia="en-NZ"/>
        </w:rPr>
        <w:t>Allied and Technical Pay Equity Settlement</w:t>
      </w:r>
    </w:p>
    <w:p w14:paraId="587C5616" w14:textId="5BFA8C41" w:rsidR="00454F4E" w:rsidRPr="00E0388C" w:rsidRDefault="003D5BE8" w:rsidP="00E0388C">
      <w:pPr>
        <w:jc w:val="center"/>
        <w:rPr>
          <w:b/>
          <w:bCs/>
          <w:sz w:val="32"/>
          <w:szCs w:val="32"/>
          <w:lang w:eastAsia="en-NZ"/>
        </w:rPr>
      </w:pPr>
      <w:r w:rsidRPr="00E0388C">
        <w:rPr>
          <w:b/>
          <w:bCs/>
          <w:sz w:val="32"/>
          <w:szCs w:val="32"/>
          <w:lang w:eastAsia="en-NZ"/>
        </w:rPr>
        <w:t xml:space="preserve">Translation </w:t>
      </w:r>
      <w:r w:rsidR="00454F4E" w:rsidRPr="00E0388C">
        <w:rPr>
          <w:b/>
          <w:bCs/>
          <w:sz w:val="32"/>
          <w:szCs w:val="32"/>
          <w:lang w:eastAsia="en-NZ"/>
        </w:rPr>
        <w:t>t</w:t>
      </w:r>
      <w:r w:rsidRPr="00E0388C">
        <w:rPr>
          <w:b/>
          <w:bCs/>
          <w:sz w:val="32"/>
          <w:szCs w:val="32"/>
          <w:lang w:eastAsia="en-NZ"/>
        </w:rPr>
        <w:t xml:space="preserve">o Designated </w:t>
      </w:r>
      <w:r w:rsidR="00454F4E" w:rsidRPr="00E0388C">
        <w:rPr>
          <w:b/>
          <w:bCs/>
          <w:sz w:val="32"/>
          <w:szCs w:val="32"/>
          <w:lang w:eastAsia="en-NZ"/>
        </w:rPr>
        <w:t>Salary Scale</w:t>
      </w:r>
    </w:p>
    <w:p w14:paraId="0B38F6FE" w14:textId="35E393BF" w:rsidR="0082583E" w:rsidRPr="00E0388C" w:rsidRDefault="003D5BE8" w:rsidP="00E0388C">
      <w:pPr>
        <w:jc w:val="center"/>
        <w:rPr>
          <w:b/>
          <w:bCs/>
          <w:sz w:val="32"/>
          <w:szCs w:val="32"/>
        </w:rPr>
      </w:pPr>
      <w:r w:rsidRPr="00E0388C">
        <w:rPr>
          <w:b/>
          <w:bCs/>
          <w:sz w:val="32"/>
          <w:szCs w:val="32"/>
          <w:lang w:eastAsia="en-NZ"/>
        </w:rPr>
        <w:t>Appeal Application</w:t>
      </w:r>
    </w:p>
    <w:p w14:paraId="44682303" w14:textId="77777777" w:rsidR="004F7772" w:rsidRDefault="004F7772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</w:p>
    <w:p w14:paraId="362DC5CF" w14:textId="54702470" w:rsidR="000665D2" w:rsidRPr="00EC0487" w:rsidRDefault="000665D2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</w:rPr>
      </w:pPr>
      <w:r w:rsidRPr="00EC0487">
        <w:rPr>
          <w:rFonts w:ascii="Calibri-Bold" w:hAnsi="Calibri-Bold" w:cs="Calibri-Bold"/>
          <w:b/>
          <w:bCs/>
          <w:i/>
          <w:iCs/>
        </w:rPr>
        <w:t xml:space="preserve">If </w:t>
      </w:r>
      <w:r w:rsidR="0036569B" w:rsidRPr="00EC0487">
        <w:rPr>
          <w:rFonts w:ascii="Calibri-Bold" w:hAnsi="Calibri-Bold" w:cs="Calibri-Bold"/>
          <w:b/>
          <w:bCs/>
          <w:i/>
          <w:iCs/>
        </w:rPr>
        <w:t xml:space="preserve">an </w:t>
      </w:r>
      <w:r w:rsidRPr="00EC0487">
        <w:rPr>
          <w:rFonts w:ascii="Calibri-Bold" w:hAnsi="Calibri-Bold" w:cs="Calibri-Bold"/>
          <w:b/>
          <w:bCs/>
          <w:i/>
          <w:iCs/>
        </w:rPr>
        <w:t>employee does not agree with the assessment of whether th</w:t>
      </w:r>
      <w:r w:rsidR="00030454" w:rsidRPr="00EC0487">
        <w:rPr>
          <w:rFonts w:ascii="Calibri-Bold" w:hAnsi="Calibri-Bold" w:cs="Calibri-Bold"/>
          <w:b/>
          <w:bCs/>
          <w:i/>
          <w:iCs/>
        </w:rPr>
        <w:t xml:space="preserve">eir role is a Designated position, the employee </w:t>
      </w:r>
      <w:r w:rsidR="00296434">
        <w:rPr>
          <w:rFonts w:ascii="Calibri-Bold" w:hAnsi="Calibri-Bold" w:cs="Calibri-Bold"/>
          <w:b/>
          <w:bCs/>
          <w:i/>
          <w:iCs/>
        </w:rPr>
        <w:t>must</w:t>
      </w:r>
      <w:r w:rsidR="00030454" w:rsidRPr="00EC0487">
        <w:rPr>
          <w:rFonts w:ascii="Calibri-Bold" w:hAnsi="Calibri-Bold" w:cs="Calibri-Bold"/>
          <w:b/>
          <w:bCs/>
          <w:i/>
          <w:iCs/>
        </w:rPr>
        <w:t xml:space="preserve"> first raise their concerns</w:t>
      </w:r>
      <w:r w:rsidR="001F7FC3" w:rsidRPr="00EC0487">
        <w:rPr>
          <w:rFonts w:ascii="Calibri-Bold" w:hAnsi="Calibri-Bold" w:cs="Calibri-Bold"/>
          <w:b/>
          <w:bCs/>
          <w:i/>
          <w:iCs/>
        </w:rPr>
        <w:t xml:space="preserve"> with their </w:t>
      </w:r>
      <w:r w:rsidR="00131B3B" w:rsidRPr="00EC0487">
        <w:rPr>
          <w:rFonts w:ascii="Calibri-Bold" w:hAnsi="Calibri-Bold" w:cs="Calibri-Bold"/>
          <w:b/>
          <w:bCs/>
          <w:i/>
          <w:iCs/>
        </w:rPr>
        <w:t xml:space="preserve">manager and their </w:t>
      </w:r>
      <w:r w:rsidR="00D3340D" w:rsidRPr="00EC0487">
        <w:rPr>
          <w:rFonts w:ascii="Calibri-Bold" w:hAnsi="Calibri-Bold" w:cs="Calibri-Bold"/>
          <w:b/>
          <w:bCs/>
          <w:i/>
          <w:iCs/>
        </w:rPr>
        <w:t xml:space="preserve">local District Chief Allied Health, Scientific and Technical </w:t>
      </w:r>
      <w:r w:rsidR="00FC533B" w:rsidRPr="00EC0487">
        <w:rPr>
          <w:rFonts w:ascii="Calibri-Bold" w:hAnsi="Calibri-Bold" w:cs="Calibri-Bold"/>
          <w:b/>
          <w:bCs/>
          <w:i/>
          <w:iCs/>
        </w:rPr>
        <w:t>to try to resolve the issue locally</w:t>
      </w:r>
      <w:r w:rsidR="00974035">
        <w:rPr>
          <w:rFonts w:ascii="Calibri-Bold" w:hAnsi="Calibri-Bold" w:cs="Calibri-Bold"/>
          <w:b/>
          <w:bCs/>
          <w:i/>
          <w:iCs/>
        </w:rPr>
        <w:t xml:space="preserve"> and involve their Union if the member needs support. </w:t>
      </w:r>
    </w:p>
    <w:p w14:paraId="6144958E" w14:textId="77777777" w:rsidR="00131B3B" w:rsidRPr="00EC0487" w:rsidRDefault="00131B3B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</w:rPr>
      </w:pPr>
    </w:p>
    <w:p w14:paraId="37FA6AF4" w14:textId="2F2CADE1" w:rsidR="00131B3B" w:rsidRDefault="00EC0487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</w:rPr>
      </w:pPr>
      <w:r w:rsidRPr="00EC0487">
        <w:rPr>
          <w:rFonts w:ascii="Calibri-Bold" w:hAnsi="Calibri-Bold" w:cs="Calibri-Bold"/>
          <w:b/>
          <w:bCs/>
          <w:i/>
          <w:iCs/>
          <w:u w:val="single"/>
        </w:rPr>
        <w:t>Only</w:t>
      </w:r>
      <w:r>
        <w:rPr>
          <w:rFonts w:ascii="Calibri-Bold" w:hAnsi="Calibri-Bold" w:cs="Calibri-Bold"/>
          <w:b/>
          <w:bCs/>
          <w:i/>
          <w:iCs/>
        </w:rPr>
        <w:t xml:space="preserve"> i</w:t>
      </w:r>
      <w:r w:rsidR="00131B3B" w:rsidRPr="00EC0487">
        <w:rPr>
          <w:rFonts w:ascii="Calibri-Bold" w:hAnsi="Calibri-Bold" w:cs="Calibri-Bold"/>
          <w:b/>
          <w:bCs/>
          <w:i/>
          <w:iCs/>
        </w:rPr>
        <w:t xml:space="preserve">f this is unsuccessful, </w:t>
      </w:r>
      <w:r>
        <w:rPr>
          <w:rFonts w:ascii="Calibri-Bold" w:hAnsi="Calibri-Bold" w:cs="Calibri-Bold"/>
          <w:b/>
          <w:bCs/>
          <w:i/>
          <w:iCs/>
        </w:rPr>
        <w:t xml:space="preserve">will </w:t>
      </w:r>
      <w:r w:rsidR="00131B3B" w:rsidRPr="00EC0487">
        <w:rPr>
          <w:rFonts w:ascii="Calibri-Bold" w:hAnsi="Calibri-Bold" w:cs="Calibri-Bold"/>
          <w:b/>
          <w:bCs/>
          <w:i/>
          <w:iCs/>
        </w:rPr>
        <w:t>the following appeal process apply</w:t>
      </w:r>
      <w:r w:rsidR="00782794" w:rsidRPr="00EC0487">
        <w:rPr>
          <w:rFonts w:ascii="Calibri-Bold" w:hAnsi="Calibri-Bold" w:cs="Calibri-Bold"/>
          <w:b/>
          <w:bCs/>
          <w:i/>
          <w:iCs/>
        </w:rPr>
        <w:t>:</w:t>
      </w:r>
    </w:p>
    <w:p w14:paraId="39C6517A" w14:textId="77777777" w:rsidR="00883448" w:rsidRPr="00346901" w:rsidRDefault="00883448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/>
          <w:b/>
          <w:i/>
        </w:rPr>
      </w:pPr>
    </w:p>
    <w:p w14:paraId="5F8D720F" w14:textId="3B1F9345" w:rsidR="00883448" w:rsidRPr="00346901" w:rsidRDefault="00883448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</w:rPr>
      </w:pPr>
      <w:r w:rsidRPr="00346901">
        <w:rPr>
          <w:rFonts w:ascii="Calibri-Bold" w:hAnsi="Calibri-Bold" w:cs="Calibri-Bold"/>
          <w:b/>
          <w:bCs/>
          <w:i/>
          <w:iCs/>
        </w:rPr>
        <w:t xml:space="preserve">Employees are encouraged to discuss their own circumstances and documentation with their union or if not a union member, </w:t>
      </w:r>
      <w:r w:rsidR="005634C7" w:rsidRPr="00346901">
        <w:rPr>
          <w:rFonts w:ascii="Calibri-Bold" w:hAnsi="Calibri-Bold" w:cs="Calibri-Bold"/>
          <w:b/>
          <w:bCs/>
          <w:i/>
          <w:iCs/>
        </w:rPr>
        <w:t xml:space="preserve">independent </w:t>
      </w:r>
      <w:r w:rsidRPr="00346901">
        <w:rPr>
          <w:rFonts w:ascii="Calibri-Bold" w:hAnsi="Calibri-Bold" w:cs="Calibri-Bold"/>
          <w:b/>
          <w:bCs/>
          <w:i/>
          <w:iCs/>
        </w:rPr>
        <w:t>employment advisor</w:t>
      </w:r>
      <w:r w:rsidR="00346901">
        <w:rPr>
          <w:rFonts w:ascii="Calibri-Bold" w:hAnsi="Calibri-Bold" w:cs="Calibri-Bold"/>
          <w:b/>
          <w:bCs/>
          <w:i/>
          <w:iCs/>
        </w:rPr>
        <w:t>,</w:t>
      </w:r>
      <w:r w:rsidRPr="00346901">
        <w:rPr>
          <w:rFonts w:ascii="Calibri-Bold" w:hAnsi="Calibri-Bold" w:cs="Calibri-Bold"/>
          <w:b/>
          <w:bCs/>
          <w:i/>
          <w:iCs/>
        </w:rPr>
        <w:t xml:space="preserve"> for advice prior to proceeding.</w:t>
      </w:r>
    </w:p>
    <w:p w14:paraId="4914E85C" w14:textId="77777777" w:rsidR="000665D2" w:rsidRDefault="000665D2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</w:rPr>
      </w:pPr>
    </w:p>
    <w:p w14:paraId="0C358C07" w14:textId="77777777" w:rsidR="00782794" w:rsidRPr="004F7772" w:rsidRDefault="00782794" w:rsidP="007827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  <w:sz w:val="28"/>
          <w:szCs w:val="28"/>
        </w:rPr>
      </w:pPr>
      <w:r w:rsidRPr="004F7772">
        <w:rPr>
          <w:rFonts w:ascii="Calibri-Bold" w:hAnsi="Calibri-Bold" w:cs="Calibri-Bold"/>
          <w:b/>
          <w:bCs/>
          <w:color w:val="1B95A5"/>
          <w:sz w:val="28"/>
          <w:szCs w:val="28"/>
        </w:rPr>
        <w:t>General Information</w:t>
      </w:r>
    </w:p>
    <w:p w14:paraId="60D17829" w14:textId="0D912ADE" w:rsidR="0082583E" w:rsidRPr="004F7772" w:rsidRDefault="0082583E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</w:rPr>
      </w:pPr>
      <w:r w:rsidRPr="004F7772">
        <w:rPr>
          <w:rFonts w:ascii="Calibri-Bold" w:hAnsi="Calibri-Bold" w:cs="Calibri-Bold"/>
          <w:b/>
          <w:bCs/>
          <w:color w:val="1B95A5"/>
        </w:rPr>
        <w:t>Who can submit an appeal?</w:t>
      </w:r>
    </w:p>
    <w:p w14:paraId="2D407CA4" w14:textId="7D5B97D5" w:rsidR="003D5BE8" w:rsidRPr="00B04B55" w:rsidRDefault="003D5BE8" w:rsidP="00B92A15">
      <w:pPr>
        <w:spacing w:after="0"/>
        <w:rPr>
          <w:rFonts w:cstheme="minorHAnsi"/>
        </w:rPr>
      </w:pPr>
      <w:r>
        <w:rPr>
          <w:rFonts w:cstheme="minorHAnsi"/>
        </w:rPr>
        <w:t xml:space="preserve">An employee can submit an </w:t>
      </w:r>
      <w:r w:rsidR="00631EBF">
        <w:rPr>
          <w:rFonts w:cstheme="minorHAnsi"/>
        </w:rPr>
        <w:t>A</w:t>
      </w:r>
      <w:r>
        <w:rPr>
          <w:rFonts w:cstheme="minorHAnsi"/>
        </w:rPr>
        <w:t xml:space="preserve">ppeal </w:t>
      </w:r>
      <w:r w:rsidR="00631EBF">
        <w:rPr>
          <w:rFonts w:cstheme="minorHAnsi"/>
        </w:rPr>
        <w:t>A</w:t>
      </w:r>
      <w:r>
        <w:rPr>
          <w:rFonts w:cstheme="minorHAnsi"/>
        </w:rPr>
        <w:t>pplication</w:t>
      </w:r>
      <w:r w:rsidR="00631EBF">
        <w:rPr>
          <w:rFonts w:cstheme="minorHAnsi"/>
        </w:rPr>
        <w:t xml:space="preserve"> Form</w:t>
      </w:r>
      <w:r>
        <w:rPr>
          <w:rFonts w:cstheme="minorHAnsi"/>
        </w:rPr>
        <w:t xml:space="preserve"> if they believe</w:t>
      </w:r>
      <w:r w:rsidR="001C5BAA" w:rsidRPr="00B04B55">
        <w:rPr>
          <w:rFonts w:cstheme="minorHAnsi"/>
        </w:rPr>
        <w:t xml:space="preserve"> their role was</w:t>
      </w:r>
      <w:r w:rsidR="004D2297">
        <w:rPr>
          <w:rFonts w:cstheme="minorHAnsi"/>
        </w:rPr>
        <w:t xml:space="preserve"> not correctly </w:t>
      </w:r>
      <w:r w:rsidR="00454F4E">
        <w:rPr>
          <w:rFonts w:cstheme="minorHAnsi"/>
        </w:rPr>
        <w:t>assessed as a Designated role during the implementation of</w:t>
      </w:r>
      <w:r w:rsidR="001C5BAA" w:rsidRPr="00B04B55">
        <w:rPr>
          <w:rFonts w:cstheme="minorHAnsi"/>
        </w:rPr>
        <w:t xml:space="preserve"> </w:t>
      </w:r>
      <w:r>
        <w:rPr>
          <w:rFonts w:cstheme="minorHAnsi"/>
        </w:rPr>
        <w:t>the Allied</w:t>
      </w:r>
      <w:r w:rsidR="00631EBF">
        <w:rPr>
          <w:rFonts w:cstheme="minorHAnsi"/>
        </w:rPr>
        <w:t>, Scientific,</w:t>
      </w:r>
      <w:r>
        <w:rPr>
          <w:rFonts w:cstheme="minorHAnsi"/>
        </w:rPr>
        <w:t xml:space="preserve"> and Technical pay </w:t>
      </w:r>
      <w:r w:rsidR="00454F4E">
        <w:rPr>
          <w:rFonts w:cstheme="minorHAnsi"/>
        </w:rPr>
        <w:t>equity settlement</w:t>
      </w:r>
      <w:r>
        <w:rPr>
          <w:rFonts w:cstheme="minorHAnsi"/>
        </w:rPr>
        <w:t>.</w:t>
      </w:r>
    </w:p>
    <w:p w14:paraId="539078BF" w14:textId="77777777" w:rsidR="001C5BAA" w:rsidRDefault="001C5BAA" w:rsidP="00825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A72D70" w14:textId="23856FD4" w:rsidR="0082583E" w:rsidRPr="004F7772" w:rsidRDefault="0082583E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</w:rPr>
      </w:pPr>
      <w:r w:rsidRPr="004F7772">
        <w:rPr>
          <w:rFonts w:ascii="Calibri-Bold" w:hAnsi="Calibri-Bold" w:cs="Calibri-Bold"/>
          <w:b/>
          <w:bCs/>
          <w:color w:val="1B95A5"/>
        </w:rPr>
        <w:t>What is the timeframe for submitting an appeal?</w:t>
      </w:r>
    </w:p>
    <w:p w14:paraId="0887165B" w14:textId="6609753E" w:rsidR="0082583E" w:rsidRDefault="0082583E" w:rsidP="008258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Appeals </w:t>
      </w:r>
      <w:r w:rsidR="00F26E64">
        <w:rPr>
          <w:rFonts w:ascii="Calibri-Bold" w:hAnsi="Calibri-Bold" w:cs="Calibri-Bold"/>
          <w:b/>
          <w:bCs/>
        </w:rPr>
        <w:t xml:space="preserve">must be </w:t>
      </w:r>
      <w:r>
        <w:rPr>
          <w:rFonts w:ascii="Calibri-Bold" w:hAnsi="Calibri-Bold" w:cs="Calibri-Bold"/>
          <w:b/>
          <w:bCs/>
        </w:rPr>
        <w:t>submitted within 6 weeks</w:t>
      </w:r>
      <w:r w:rsidR="00B92A15">
        <w:rPr>
          <w:rFonts w:ascii="Calibri-Bold" w:hAnsi="Calibri-Bold" w:cs="Calibri-Bold"/>
          <w:b/>
          <w:bCs/>
        </w:rPr>
        <w:t>.</w:t>
      </w:r>
    </w:p>
    <w:p w14:paraId="66237D91" w14:textId="0CEB944E" w:rsidR="00A923F3" w:rsidRDefault="0082583E" w:rsidP="00B9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2A15">
        <w:rPr>
          <w:rFonts w:ascii="Calibri" w:hAnsi="Calibri" w:cs="Calibri"/>
        </w:rPr>
        <w:t xml:space="preserve">Appeals </w:t>
      </w:r>
      <w:r w:rsidR="00454F4E" w:rsidRPr="00B92A15">
        <w:rPr>
          <w:rFonts w:ascii="Calibri" w:hAnsi="Calibri" w:cs="Calibri"/>
        </w:rPr>
        <w:t xml:space="preserve">must </w:t>
      </w:r>
      <w:r w:rsidRPr="00B92A15">
        <w:rPr>
          <w:rFonts w:ascii="Calibri" w:hAnsi="Calibri" w:cs="Calibri"/>
        </w:rPr>
        <w:t xml:space="preserve">be submitted within </w:t>
      </w:r>
      <w:r w:rsidR="00A923F3">
        <w:rPr>
          <w:rFonts w:ascii="Calibri" w:hAnsi="Calibri" w:cs="Calibri"/>
        </w:rPr>
        <w:t>the latter of:</w:t>
      </w:r>
    </w:p>
    <w:p w14:paraId="0125E63E" w14:textId="5BC23EE5" w:rsidR="00A923F3" w:rsidRDefault="0082583E" w:rsidP="00A9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67723">
        <w:rPr>
          <w:rFonts w:ascii="Calibri" w:hAnsi="Calibri" w:cs="Calibri"/>
        </w:rPr>
        <w:t xml:space="preserve">6 weeks from the </w:t>
      </w:r>
      <w:r w:rsidR="003D5BE8" w:rsidRPr="00F67723">
        <w:rPr>
          <w:rFonts w:ascii="Calibri" w:hAnsi="Calibri" w:cs="Calibri"/>
        </w:rPr>
        <w:t xml:space="preserve">relevant District implementing the </w:t>
      </w:r>
      <w:r w:rsidR="00454F4E" w:rsidRPr="00F67723">
        <w:rPr>
          <w:rFonts w:ascii="Calibri" w:hAnsi="Calibri" w:cs="Calibri"/>
        </w:rPr>
        <w:t xml:space="preserve">pay equity settlement </w:t>
      </w:r>
      <w:r w:rsidR="00F26E64" w:rsidRPr="00F67723">
        <w:rPr>
          <w:rFonts w:ascii="Calibri" w:hAnsi="Calibri" w:cs="Calibri"/>
        </w:rPr>
        <w:t xml:space="preserve">salary </w:t>
      </w:r>
      <w:r w:rsidR="00454F4E" w:rsidRPr="00F67723">
        <w:rPr>
          <w:rFonts w:ascii="Calibri" w:hAnsi="Calibri" w:cs="Calibri"/>
        </w:rPr>
        <w:t>rates</w:t>
      </w:r>
      <w:r w:rsidR="00FC6FA3" w:rsidRPr="00F67723">
        <w:rPr>
          <w:rFonts w:ascii="Calibri" w:hAnsi="Calibri" w:cs="Calibri"/>
        </w:rPr>
        <w:t xml:space="preserve"> or</w:t>
      </w:r>
      <w:r w:rsidR="00A923F3">
        <w:rPr>
          <w:rFonts w:ascii="Calibri" w:hAnsi="Calibri" w:cs="Calibri"/>
        </w:rPr>
        <w:t>,</w:t>
      </w:r>
      <w:r w:rsidR="00FC6FA3" w:rsidRPr="00F67723">
        <w:rPr>
          <w:rFonts w:ascii="Calibri" w:hAnsi="Calibri" w:cs="Calibri"/>
        </w:rPr>
        <w:t xml:space="preserve"> </w:t>
      </w:r>
    </w:p>
    <w:p w14:paraId="364EC5D4" w14:textId="7BE58705" w:rsidR="0082583E" w:rsidRDefault="00FC6FA3" w:rsidP="003469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67723">
        <w:rPr>
          <w:rFonts w:ascii="Calibri" w:hAnsi="Calibri" w:cs="Calibri"/>
        </w:rPr>
        <w:t xml:space="preserve">6 weeks from </w:t>
      </w:r>
      <w:r w:rsidR="005E00FA" w:rsidRPr="00F67723">
        <w:rPr>
          <w:rFonts w:ascii="Calibri" w:hAnsi="Calibri" w:cs="Calibri"/>
        </w:rPr>
        <w:t>when this appeals process is published</w:t>
      </w:r>
      <w:r w:rsidR="001952AF" w:rsidRPr="00F67723">
        <w:rPr>
          <w:rFonts w:ascii="Calibri" w:hAnsi="Calibri" w:cs="Calibri"/>
        </w:rPr>
        <w:t xml:space="preserve"> on the Health New Zealand </w:t>
      </w:r>
      <w:proofErr w:type="spellStart"/>
      <w:r w:rsidR="00822333" w:rsidRPr="00F67723">
        <w:rPr>
          <w:rFonts w:ascii="Calibri" w:hAnsi="Calibri" w:cs="Calibri"/>
        </w:rPr>
        <w:t>Te</w:t>
      </w:r>
      <w:proofErr w:type="spellEnd"/>
      <w:r w:rsidR="00822333" w:rsidRPr="00F67723">
        <w:rPr>
          <w:rFonts w:ascii="Calibri" w:hAnsi="Calibri" w:cs="Calibri"/>
        </w:rPr>
        <w:t xml:space="preserve"> </w:t>
      </w:r>
      <w:proofErr w:type="spellStart"/>
      <w:r w:rsidR="00822333" w:rsidRPr="00F67723">
        <w:rPr>
          <w:rFonts w:ascii="Calibri" w:hAnsi="Calibri" w:cs="Calibri"/>
        </w:rPr>
        <w:t>Whatu</w:t>
      </w:r>
      <w:proofErr w:type="spellEnd"/>
      <w:r w:rsidR="00822333" w:rsidRPr="00F67723">
        <w:rPr>
          <w:rFonts w:ascii="Calibri" w:hAnsi="Calibri" w:cs="Calibri"/>
        </w:rPr>
        <w:t xml:space="preserve"> Ora website</w:t>
      </w:r>
      <w:r w:rsidR="00D55223">
        <w:rPr>
          <w:rFonts w:ascii="Calibri" w:hAnsi="Calibri" w:cs="Calibri"/>
        </w:rPr>
        <w:t>.</w:t>
      </w:r>
    </w:p>
    <w:p w14:paraId="73492086" w14:textId="77777777" w:rsidR="00883448" w:rsidRDefault="00883448" w:rsidP="008834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C9F41C" w14:textId="5CB0C3F8" w:rsidR="00A923F3" w:rsidRPr="00F67723" w:rsidRDefault="00883448" w:rsidP="00F67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Where extenuating circumstances exist</w:t>
      </w:r>
      <w:r w:rsidR="006A048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such as f</w:t>
      </w:r>
      <w:r w:rsidR="00A923F3" w:rsidRPr="00F67723">
        <w:rPr>
          <w:rFonts w:ascii="Calibri" w:hAnsi="Calibri" w:cs="Calibri"/>
        </w:rPr>
        <w:t xml:space="preserve">or employees who are on leave </w:t>
      </w:r>
      <w:r>
        <w:rPr>
          <w:rFonts w:ascii="Calibri" w:hAnsi="Calibri" w:cs="Calibri"/>
        </w:rPr>
        <w:t xml:space="preserve">(with or </w:t>
      </w:r>
      <w:r w:rsidR="00A923F3" w:rsidRPr="00F67723">
        <w:rPr>
          <w:rFonts w:ascii="Calibri" w:hAnsi="Calibri" w:cs="Calibri"/>
        </w:rPr>
        <w:t>without pay</w:t>
      </w:r>
      <w:r w:rsidR="00D55223">
        <w:rPr>
          <w:rFonts w:ascii="Calibri" w:hAnsi="Calibri" w:cs="Calibri"/>
        </w:rPr>
        <w:t>)</w:t>
      </w:r>
      <w:r w:rsidR="00A923F3" w:rsidRPr="00F67723">
        <w:rPr>
          <w:rFonts w:ascii="Calibri" w:hAnsi="Calibri" w:cs="Calibri"/>
        </w:rPr>
        <w:t>, the 6</w:t>
      </w:r>
      <w:r w:rsidR="00346901">
        <w:rPr>
          <w:rFonts w:ascii="Calibri" w:hAnsi="Calibri" w:cs="Calibri"/>
        </w:rPr>
        <w:t>-</w:t>
      </w:r>
      <w:r w:rsidR="00A923F3" w:rsidRPr="00F67723">
        <w:rPr>
          <w:rFonts w:ascii="Calibri" w:hAnsi="Calibri" w:cs="Calibri"/>
        </w:rPr>
        <w:t xml:space="preserve">week appeals </w:t>
      </w:r>
      <w:r>
        <w:rPr>
          <w:rFonts w:ascii="Calibri" w:hAnsi="Calibri" w:cs="Calibri"/>
        </w:rPr>
        <w:t>period</w:t>
      </w:r>
      <w:r w:rsidR="00A923F3" w:rsidRPr="00F67723">
        <w:rPr>
          <w:rFonts w:ascii="Calibri" w:hAnsi="Calibri" w:cs="Calibri"/>
        </w:rPr>
        <w:t xml:space="preserve"> commences on the date of their return to work.</w:t>
      </w:r>
    </w:p>
    <w:p w14:paraId="6DE98E7B" w14:textId="77777777" w:rsidR="000734F9" w:rsidRPr="00B92A15" w:rsidRDefault="000734F9" w:rsidP="00B9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CC3FCB" w14:textId="6BCDA6D5" w:rsidR="0082583E" w:rsidRPr="00B92A15" w:rsidRDefault="00F26E64" w:rsidP="00B92A15">
      <w:pPr>
        <w:spacing w:after="0"/>
      </w:pPr>
      <w:r w:rsidRPr="00B92A15">
        <w:t>A</w:t>
      </w:r>
      <w:r w:rsidR="000A490F" w:rsidRPr="00B92A15">
        <w:t>fter the 6</w:t>
      </w:r>
      <w:r w:rsidR="00B92A15">
        <w:t>-</w:t>
      </w:r>
      <w:r w:rsidR="000A490F" w:rsidRPr="00B92A15">
        <w:t>week period, a</w:t>
      </w:r>
      <w:r w:rsidR="003D5BE8" w:rsidRPr="00B92A15">
        <w:t xml:space="preserve">ny pay related issues should be </w:t>
      </w:r>
      <w:r w:rsidR="000A490F" w:rsidRPr="00B92A15">
        <w:t xml:space="preserve">raised with the </w:t>
      </w:r>
      <w:r w:rsidR="00B92A15" w:rsidRPr="00B92A15">
        <w:t>employee’s</w:t>
      </w:r>
      <w:r w:rsidR="000A490F" w:rsidRPr="00B92A15">
        <w:t xml:space="preserve"> manager to be </w:t>
      </w:r>
      <w:r w:rsidR="003D5BE8" w:rsidRPr="00B92A15">
        <w:t xml:space="preserve">addressed </w:t>
      </w:r>
      <w:r w:rsidR="000A490F" w:rsidRPr="00B92A15">
        <w:t xml:space="preserve">through </w:t>
      </w:r>
      <w:r w:rsidR="003D5BE8" w:rsidRPr="00B92A15">
        <w:t>normal process</w:t>
      </w:r>
      <w:r w:rsidR="000A490F" w:rsidRPr="00B92A15">
        <w:t>es</w:t>
      </w:r>
      <w:r w:rsidR="003D5BE8" w:rsidRPr="00B92A15">
        <w:t>.</w:t>
      </w:r>
    </w:p>
    <w:p w14:paraId="50D358A3" w14:textId="77777777" w:rsidR="005D7271" w:rsidRPr="004F7772" w:rsidRDefault="005D7271" w:rsidP="008258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B95A5"/>
        </w:rPr>
      </w:pPr>
    </w:p>
    <w:p w14:paraId="31F3A411" w14:textId="77777777" w:rsidR="000A490F" w:rsidRPr="004F7772" w:rsidRDefault="000A490F" w:rsidP="000A49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</w:rPr>
      </w:pPr>
      <w:r w:rsidRPr="004F7772">
        <w:rPr>
          <w:rFonts w:ascii="Calibri-Bold" w:hAnsi="Calibri-Bold" w:cs="Calibri-Bold"/>
          <w:b/>
          <w:bCs/>
          <w:color w:val="1B95A5"/>
        </w:rPr>
        <w:t>How can employees appeal?</w:t>
      </w:r>
    </w:p>
    <w:p w14:paraId="2F7958AE" w14:textId="549C89B0" w:rsidR="005634C7" w:rsidRPr="002E42FA" w:rsidRDefault="000A490F" w:rsidP="000A49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Employees must </w:t>
      </w:r>
      <w:r w:rsidR="00B92A15">
        <w:rPr>
          <w:rFonts w:ascii="Calibri-Bold" w:hAnsi="Calibri-Bold" w:cs="Calibri-Bold"/>
          <w:bCs/>
        </w:rPr>
        <w:t xml:space="preserve">email </w:t>
      </w:r>
      <w:r>
        <w:rPr>
          <w:rFonts w:ascii="Calibri-Bold" w:hAnsi="Calibri-Bold" w:cs="Calibri-Bold"/>
          <w:bCs/>
        </w:rPr>
        <w:t xml:space="preserve">the Appeal Application Form and </w:t>
      </w:r>
      <w:r w:rsidR="00B92A15">
        <w:rPr>
          <w:rFonts w:ascii="Calibri-Bold" w:hAnsi="Calibri-Bold" w:cs="Calibri-Bold"/>
          <w:bCs/>
        </w:rPr>
        <w:t>any supporting material</w:t>
      </w:r>
      <w:r>
        <w:rPr>
          <w:rFonts w:ascii="Calibri-Bold" w:hAnsi="Calibri-Bold" w:cs="Calibri-Bold"/>
          <w:bCs/>
        </w:rPr>
        <w:t xml:space="preserve"> to the </w:t>
      </w:r>
      <w:r w:rsidR="002D1ABE">
        <w:rPr>
          <w:rFonts w:ascii="Calibri-Bold" w:hAnsi="Calibri-Bold" w:cs="Calibri-Bold"/>
          <w:bCs/>
        </w:rPr>
        <w:t xml:space="preserve">National </w:t>
      </w:r>
      <w:r>
        <w:rPr>
          <w:rStyle w:val="ui-provider"/>
        </w:rPr>
        <w:t xml:space="preserve">Chief Allied </w:t>
      </w:r>
      <w:r w:rsidR="002D1ABE">
        <w:rPr>
          <w:rStyle w:val="ui-provider"/>
        </w:rPr>
        <w:t xml:space="preserve">Health, Scientific and Technical </w:t>
      </w:r>
      <w:r w:rsidR="00BB410A">
        <w:rPr>
          <w:rStyle w:val="ui-provider"/>
        </w:rPr>
        <w:t>Lead</w:t>
      </w:r>
      <w:r>
        <w:rPr>
          <w:rStyle w:val="ui-provider"/>
        </w:rPr>
        <w:t xml:space="preserve"> and their </w:t>
      </w:r>
      <w:r w:rsidR="00BB410A">
        <w:rPr>
          <w:rStyle w:val="ui-provider"/>
        </w:rPr>
        <w:t xml:space="preserve">local </w:t>
      </w:r>
      <w:r w:rsidR="00DA3670">
        <w:rPr>
          <w:rStyle w:val="ui-provider"/>
        </w:rPr>
        <w:t xml:space="preserve">District Chief </w:t>
      </w:r>
      <w:r>
        <w:rPr>
          <w:rStyle w:val="ui-provider"/>
        </w:rPr>
        <w:t>Allied Health</w:t>
      </w:r>
      <w:r w:rsidR="00DA3670">
        <w:rPr>
          <w:rStyle w:val="ui-provider"/>
        </w:rPr>
        <w:t>, Scientific and Technical</w:t>
      </w:r>
      <w:r>
        <w:rPr>
          <w:rFonts w:ascii="Calibri-Bold" w:hAnsi="Calibri-Bold" w:cs="Calibri-Bold"/>
          <w:bCs/>
        </w:rPr>
        <w:t xml:space="preserve">. </w:t>
      </w:r>
    </w:p>
    <w:p w14:paraId="538CD6FC" w14:textId="77777777" w:rsidR="002E42FA" w:rsidRDefault="002E42FA" w:rsidP="002E42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0"/>
        </w:rPr>
      </w:pPr>
    </w:p>
    <w:p w14:paraId="2327B99E" w14:textId="40BD0B11" w:rsidR="002E42FA" w:rsidRPr="004F7772" w:rsidRDefault="002E42FA" w:rsidP="002E42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</w:rPr>
      </w:pPr>
      <w:r w:rsidRPr="004F7772">
        <w:rPr>
          <w:rFonts w:ascii="Calibri-Bold" w:hAnsi="Calibri-Bold" w:cs="Calibri-Bold"/>
          <w:b/>
          <w:bCs/>
          <w:color w:val="1B95A5"/>
        </w:rPr>
        <w:t>What documents do the employees need to submit as part of their appeal?</w:t>
      </w:r>
    </w:p>
    <w:p w14:paraId="05838B2E" w14:textId="0143C3C6" w:rsidR="001C5BAA" w:rsidRPr="007060AF" w:rsidRDefault="00631EBF" w:rsidP="001C5BAA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 xml:space="preserve">The </w:t>
      </w:r>
      <w:r w:rsidR="007D57C9">
        <w:rPr>
          <w:rFonts w:ascii="Calibri" w:hAnsi="Calibri" w:cs="Calibri"/>
        </w:rPr>
        <w:t>appeal</w:t>
      </w:r>
      <w:r w:rsidR="007D57C9" w:rsidRPr="007D57C9">
        <w:rPr>
          <w:rFonts w:ascii="Calibri" w:hAnsi="Calibri" w:cs="Calibri"/>
        </w:rPr>
        <w:t xml:space="preserve"> application</w:t>
      </w:r>
      <w:r w:rsidR="001C5BAA">
        <w:rPr>
          <w:rFonts w:ascii="Calibri" w:hAnsi="Calibri" w:cs="Calibri"/>
        </w:rPr>
        <w:t xml:space="preserve"> </w:t>
      </w:r>
      <w:r w:rsidR="001C5BAA" w:rsidRPr="00913EE3">
        <w:rPr>
          <w:rFonts w:cstheme="minorHAnsi"/>
        </w:rPr>
        <w:t>must include support</w:t>
      </w:r>
      <w:r w:rsidR="001E6814">
        <w:rPr>
          <w:rFonts w:cstheme="minorHAnsi"/>
        </w:rPr>
        <w:t>ing evidence, for example</w:t>
      </w:r>
      <w:r w:rsidR="001C5BAA" w:rsidRPr="00913EE3">
        <w:rPr>
          <w:rFonts w:cstheme="minorHAnsi"/>
        </w:rPr>
        <w:t>:</w:t>
      </w:r>
    </w:p>
    <w:p w14:paraId="05696D73" w14:textId="428AB806" w:rsidR="001E6814" w:rsidRDefault="001E6814" w:rsidP="001E6814">
      <w:pPr>
        <w:pStyle w:val="ListParagraph"/>
        <w:numPr>
          <w:ilvl w:val="0"/>
          <w:numId w:val="4"/>
        </w:numPr>
        <w:spacing w:after="0" w:line="240" w:lineRule="auto"/>
        <w:ind w:left="568" w:hanging="284"/>
        <w:contextualSpacing w:val="0"/>
      </w:pPr>
      <w:r>
        <w:t>A</w:t>
      </w:r>
      <w:r w:rsidR="00B92A15">
        <w:t>n a</w:t>
      </w:r>
      <w:r>
        <w:t xml:space="preserve">ppointment letter that </w:t>
      </w:r>
      <w:r>
        <w:t>includes evidence that the role is a designated position.</w:t>
      </w:r>
    </w:p>
    <w:p w14:paraId="0810564E" w14:textId="66003B98" w:rsidR="008B5069" w:rsidRDefault="008B5069" w:rsidP="001E6814">
      <w:pPr>
        <w:pStyle w:val="ListParagraph"/>
        <w:numPr>
          <w:ilvl w:val="0"/>
          <w:numId w:val="4"/>
        </w:numPr>
        <w:spacing w:after="0" w:line="240" w:lineRule="auto"/>
        <w:ind w:left="568" w:hanging="284"/>
        <w:contextualSpacing w:val="0"/>
      </w:pPr>
      <w:r>
        <w:t xml:space="preserve">Appropriate merit/CASP achievement and process documentation </w:t>
      </w:r>
      <w:r w:rsidR="00A07A4A">
        <w:t>that demonstrates the position is a designated role.</w:t>
      </w:r>
    </w:p>
    <w:p w14:paraId="195294D7" w14:textId="2F3C8107" w:rsidR="001E6814" w:rsidRDefault="001C5BAA" w:rsidP="001E6814">
      <w:pPr>
        <w:pStyle w:val="ListParagraph"/>
        <w:numPr>
          <w:ilvl w:val="0"/>
          <w:numId w:val="4"/>
        </w:numPr>
        <w:spacing w:after="0" w:line="240" w:lineRule="auto"/>
        <w:ind w:left="568" w:hanging="284"/>
        <w:contextualSpacing w:val="0"/>
      </w:pPr>
      <w:r w:rsidRPr="00913EE3">
        <w:t xml:space="preserve">Position description </w:t>
      </w:r>
      <w:r w:rsidR="004D2297">
        <w:t>and</w:t>
      </w:r>
      <w:r w:rsidR="001E6814">
        <w:t xml:space="preserve">/or </w:t>
      </w:r>
      <w:r w:rsidRPr="00913EE3">
        <w:t>equivalent task list</w:t>
      </w:r>
      <w:r w:rsidR="00A07A4A" w:rsidRPr="00A07A4A">
        <w:t xml:space="preserve"> </w:t>
      </w:r>
      <w:r w:rsidR="00A07A4A">
        <w:t>that demonstrates the position is a designated role</w:t>
      </w:r>
      <w:r w:rsidR="001E6814">
        <w:t>.</w:t>
      </w:r>
      <w:r w:rsidR="004D2297">
        <w:t xml:space="preserve"> </w:t>
      </w:r>
    </w:p>
    <w:p w14:paraId="68722AFA" w14:textId="06689476" w:rsidR="001C5BAA" w:rsidRPr="00913EE3" w:rsidRDefault="00175126" w:rsidP="00B92A15">
      <w:pPr>
        <w:pStyle w:val="ListParagraph"/>
        <w:numPr>
          <w:ilvl w:val="0"/>
          <w:numId w:val="4"/>
        </w:numPr>
        <w:spacing w:after="0" w:line="240" w:lineRule="auto"/>
        <w:ind w:left="568" w:hanging="284"/>
        <w:contextualSpacing w:val="0"/>
      </w:pPr>
      <w:r>
        <w:t>T</w:t>
      </w:r>
      <w:r w:rsidR="001C5BAA" w:rsidRPr="00913EE3">
        <w:t xml:space="preserve">he key functions </w:t>
      </w:r>
      <w:r w:rsidR="004D2297">
        <w:t xml:space="preserve">and activities </w:t>
      </w:r>
      <w:r w:rsidR="001C5BAA" w:rsidRPr="00913EE3">
        <w:t xml:space="preserve">of the work </w:t>
      </w:r>
      <w:r w:rsidR="004D2297">
        <w:t xml:space="preserve">that </w:t>
      </w:r>
      <w:r w:rsidR="001E6814">
        <w:t>demonstrate</w:t>
      </w:r>
      <w:r w:rsidR="004D2297">
        <w:t xml:space="preserve"> </w:t>
      </w:r>
      <w:r>
        <w:t xml:space="preserve">it is </w:t>
      </w:r>
      <w:r w:rsidR="004D2297">
        <w:t xml:space="preserve">a Designated position. </w:t>
      </w:r>
    </w:p>
    <w:p w14:paraId="4D223474" w14:textId="77777777" w:rsidR="001C5BAA" w:rsidRPr="00913EE3" w:rsidRDefault="001C5BAA" w:rsidP="00D85884">
      <w:pPr>
        <w:spacing w:after="0"/>
      </w:pPr>
    </w:p>
    <w:p w14:paraId="0D66137E" w14:textId="1605F214" w:rsidR="007060AF" w:rsidRPr="004F7772" w:rsidRDefault="007060AF" w:rsidP="007060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F7772">
        <w:rPr>
          <w:rFonts w:ascii="Calibri-Bold" w:hAnsi="Calibri-Bold" w:cs="Calibri-Bold"/>
          <w:b/>
          <w:bCs/>
          <w:color w:val="1B95A5"/>
        </w:rPr>
        <w:t>How can your manager help with your appeal?</w:t>
      </w:r>
    </w:p>
    <w:p w14:paraId="1575743D" w14:textId="0155EE6C" w:rsidR="001B323C" w:rsidRDefault="004D2297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Cs/>
        </w:rPr>
        <w:t xml:space="preserve">Managers can submit supporting evidence of responsibilities and activities that relate to a designated role on behalf of the employee in the </w:t>
      </w:r>
      <w:r w:rsidRPr="00B40E9D">
        <w:rPr>
          <w:rFonts w:ascii="Calibri-Bold" w:hAnsi="Calibri-Bold" w:cs="Calibri-Bold"/>
          <w:bCs/>
        </w:rPr>
        <w:t xml:space="preserve">Manager section of the </w:t>
      </w:r>
      <w:r w:rsidR="00175126">
        <w:rPr>
          <w:rFonts w:ascii="Calibri-Bold" w:hAnsi="Calibri-Bold" w:cs="Calibri-Bold"/>
          <w:bCs/>
        </w:rPr>
        <w:t>Appeal Application F</w:t>
      </w:r>
      <w:r w:rsidRPr="00B40E9D">
        <w:rPr>
          <w:rFonts w:ascii="Calibri-Bold" w:hAnsi="Calibri-Bold" w:cs="Calibri-Bold"/>
          <w:bCs/>
        </w:rPr>
        <w:t>orm.</w:t>
      </w:r>
    </w:p>
    <w:p w14:paraId="593D120A" w14:textId="16E9FE86" w:rsidR="001B323C" w:rsidRDefault="001B323C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37798A" w14:textId="60BAD078" w:rsidR="00B40E9D" w:rsidRPr="004F7772" w:rsidRDefault="00B40E9D" w:rsidP="00B40E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F7772">
        <w:rPr>
          <w:rFonts w:ascii="Calibri-Bold" w:hAnsi="Calibri-Bold" w:cs="Calibri-Bold"/>
          <w:b/>
          <w:bCs/>
          <w:color w:val="1B95A5"/>
        </w:rPr>
        <w:t>Can your manager submit an appeal on behalf of their team members?</w:t>
      </w:r>
    </w:p>
    <w:p w14:paraId="29D61BF2" w14:textId="2196865B" w:rsidR="001B323C" w:rsidRDefault="00B40E9D" w:rsidP="001B32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40E9D">
        <w:rPr>
          <w:rFonts w:ascii="Calibri-Bold" w:hAnsi="Calibri-Bold" w:cs="Calibri-Bold"/>
          <w:bCs/>
        </w:rPr>
        <w:t>No</w:t>
      </w:r>
      <w:r w:rsidR="00883448">
        <w:rPr>
          <w:rFonts w:ascii="Calibri-Bold" w:hAnsi="Calibri-Bold" w:cs="Calibri-Bold"/>
          <w:bCs/>
        </w:rPr>
        <w:t>. E</w:t>
      </w:r>
      <w:r w:rsidR="001E6814">
        <w:rPr>
          <w:rFonts w:ascii="Calibri-Bold" w:hAnsi="Calibri-Bold" w:cs="Calibri-Bold"/>
          <w:bCs/>
        </w:rPr>
        <w:t>mployees</w:t>
      </w:r>
      <w:r w:rsidR="001E6814">
        <w:rPr>
          <w:rFonts w:ascii="Calibri-Bold" w:hAnsi="Calibri-Bold" w:cs="Calibri-Bold"/>
          <w:bCs/>
        </w:rPr>
        <w:t xml:space="preserve"> must </w:t>
      </w:r>
      <w:r w:rsidRPr="00B40E9D">
        <w:rPr>
          <w:rFonts w:ascii="Calibri-Bold" w:hAnsi="Calibri-Bold" w:cs="Calibri-Bold"/>
          <w:bCs/>
        </w:rPr>
        <w:t>directly submit their application</w:t>
      </w:r>
      <w:r w:rsidR="00B92A15">
        <w:rPr>
          <w:rFonts w:ascii="Calibri-Bold" w:hAnsi="Calibri-Bold" w:cs="Calibri-Bold"/>
          <w:bCs/>
        </w:rPr>
        <w:t>, but they can seek support from their manager</w:t>
      </w:r>
      <w:r w:rsidR="004D4E81">
        <w:rPr>
          <w:rFonts w:ascii="Calibri-Bold" w:hAnsi="Calibri-Bold" w:cs="Calibri-Bold"/>
          <w:bCs/>
        </w:rPr>
        <w:t>,</w:t>
      </w:r>
      <w:r w:rsidR="00B92A15">
        <w:rPr>
          <w:rFonts w:ascii="Calibri-Bold" w:hAnsi="Calibri-Bold" w:cs="Calibri-Bold"/>
          <w:bCs/>
        </w:rPr>
        <w:t xml:space="preserve"> as outlined above</w:t>
      </w:r>
      <w:r w:rsidRPr="00B40E9D">
        <w:rPr>
          <w:rFonts w:ascii="Calibri-Bold" w:hAnsi="Calibri-Bold" w:cs="Calibri-Bold"/>
          <w:bCs/>
        </w:rPr>
        <w:t>.</w:t>
      </w:r>
    </w:p>
    <w:p w14:paraId="4CF00B8D" w14:textId="77777777" w:rsidR="001A3C65" w:rsidRDefault="001A3C65" w:rsidP="001B32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51C4B32B" w14:textId="457C0C6D" w:rsidR="001E6814" w:rsidRPr="004F7772" w:rsidRDefault="001E6814" w:rsidP="001E6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B95A5"/>
        </w:rPr>
      </w:pPr>
      <w:r w:rsidRPr="004F7772">
        <w:rPr>
          <w:rFonts w:ascii="Calibri-Bold" w:hAnsi="Calibri-Bold" w:cs="Calibri-Bold"/>
          <w:b/>
          <w:bCs/>
          <w:color w:val="1B95A5"/>
        </w:rPr>
        <w:t>Can a union representative submit an appeal on behalf of their union members?</w:t>
      </w:r>
    </w:p>
    <w:p w14:paraId="021A4AF9" w14:textId="1A7A44EA" w:rsidR="001E6814" w:rsidRDefault="001E6814" w:rsidP="001E6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40E9D">
        <w:rPr>
          <w:rFonts w:ascii="Calibri-Bold" w:hAnsi="Calibri-Bold" w:cs="Calibri-Bold"/>
          <w:bCs/>
        </w:rPr>
        <w:t>No</w:t>
      </w:r>
      <w:r w:rsidR="00A07A4A">
        <w:rPr>
          <w:rFonts w:ascii="Calibri-Bold" w:hAnsi="Calibri-Bold" w:cs="Calibri-Bold"/>
          <w:bCs/>
        </w:rPr>
        <w:t>.</w:t>
      </w:r>
      <w:r>
        <w:rPr>
          <w:rFonts w:ascii="Calibri-Bold" w:hAnsi="Calibri-Bold" w:cs="Calibri-Bold"/>
          <w:bCs/>
        </w:rPr>
        <w:t xml:space="preserve"> </w:t>
      </w:r>
      <w:r w:rsidR="00A07A4A">
        <w:rPr>
          <w:rFonts w:ascii="Calibri-Bold" w:hAnsi="Calibri-Bold" w:cs="Calibri-Bold"/>
          <w:bCs/>
        </w:rPr>
        <w:t>E</w:t>
      </w:r>
      <w:r>
        <w:rPr>
          <w:rFonts w:ascii="Calibri-Bold" w:hAnsi="Calibri-Bold" w:cs="Calibri-Bold"/>
          <w:bCs/>
        </w:rPr>
        <w:t xml:space="preserve">mployees must </w:t>
      </w:r>
      <w:r w:rsidRPr="00B40E9D">
        <w:rPr>
          <w:rFonts w:ascii="Calibri-Bold" w:hAnsi="Calibri-Bold" w:cs="Calibri-Bold"/>
          <w:bCs/>
        </w:rPr>
        <w:t>directly submit their application</w:t>
      </w:r>
      <w:r>
        <w:rPr>
          <w:rFonts w:ascii="Calibri-Bold" w:hAnsi="Calibri-Bold" w:cs="Calibri-Bold"/>
          <w:bCs/>
        </w:rPr>
        <w:t>, but they can seek support from their union representative</w:t>
      </w:r>
      <w:r w:rsidRPr="00B40E9D">
        <w:rPr>
          <w:rFonts w:ascii="Calibri-Bold" w:hAnsi="Calibri-Bold" w:cs="Calibri-Bold"/>
          <w:bCs/>
        </w:rPr>
        <w:t xml:space="preserve">. </w:t>
      </w:r>
    </w:p>
    <w:p w14:paraId="5613ABC2" w14:textId="77777777" w:rsidR="001E6814" w:rsidRDefault="001E6814" w:rsidP="000A49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0"/>
        </w:rPr>
      </w:pPr>
    </w:p>
    <w:p w14:paraId="59D2E3AC" w14:textId="13A257EC" w:rsidR="000A490F" w:rsidRPr="004F7772" w:rsidRDefault="000A490F" w:rsidP="000A49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F7772">
        <w:rPr>
          <w:rFonts w:ascii="Calibri-Bold" w:hAnsi="Calibri-Bold" w:cs="Calibri-Bold"/>
          <w:b/>
          <w:bCs/>
          <w:color w:val="1B95A5"/>
        </w:rPr>
        <w:t>When will the outcome of appeals be communicated to the employee?</w:t>
      </w:r>
    </w:p>
    <w:p w14:paraId="73C2AA01" w14:textId="6190184A" w:rsidR="005634C7" w:rsidRPr="002E42FA" w:rsidRDefault="005634C7" w:rsidP="005634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When the Appeal Application Form and supporting documentation is received, the employee will be sent an acknowledge of receipt.</w:t>
      </w:r>
    </w:p>
    <w:p w14:paraId="4B03297C" w14:textId="77777777" w:rsidR="005634C7" w:rsidRDefault="005634C7" w:rsidP="000A4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C4BD17" w14:textId="60B997D8" w:rsidR="004D4E81" w:rsidRDefault="000A490F" w:rsidP="000A4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outcome of the appeal will be communicated to the employee within 6 weeks of the Appeal Application Form being received by the </w:t>
      </w:r>
      <w:r>
        <w:rPr>
          <w:rStyle w:val="ui-provider"/>
        </w:rPr>
        <w:t>Chief Allied Professions Officer</w:t>
      </w:r>
      <w:r>
        <w:rPr>
          <w:rFonts w:ascii="Calibri" w:hAnsi="Calibri" w:cs="Calibri"/>
        </w:rPr>
        <w:t>.</w:t>
      </w:r>
    </w:p>
    <w:p w14:paraId="51794908" w14:textId="77777777" w:rsidR="008B1C44" w:rsidRDefault="008B1C44" w:rsidP="000A4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352BF" w14:textId="1C782C9C" w:rsidR="004F7772" w:rsidRDefault="00B92A15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appeal is upheld, the translation to the Designated salary scale will be backdated to </w:t>
      </w:r>
      <w:r w:rsidR="004D4E81">
        <w:rPr>
          <w:rFonts w:ascii="Calibri" w:hAnsi="Calibri" w:cs="Calibri"/>
        </w:rPr>
        <w:t>1 June 2023</w:t>
      </w:r>
      <w:r>
        <w:rPr>
          <w:rFonts w:ascii="Calibri" w:hAnsi="Calibri" w:cs="Calibri"/>
        </w:rPr>
        <w:t xml:space="preserve"> or when the employee started in the Designated position (whichever is later).</w:t>
      </w:r>
    </w:p>
    <w:p w14:paraId="7C2CC544" w14:textId="77777777" w:rsidR="004F7772" w:rsidRDefault="004F7772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2855B5C0" w14:textId="77777777" w:rsidR="00792489" w:rsidRDefault="00792489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</w:p>
    <w:p w14:paraId="10681C9B" w14:textId="77777777" w:rsidR="00E12784" w:rsidRDefault="00E12784">
      <w:pPr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  <w:br w:type="page"/>
      </w:r>
    </w:p>
    <w:p w14:paraId="63D3C850" w14:textId="27C374E4" w:rsidR="004F7772" w:rsidRPr="004F7772" w:rsidRDefault="004F7772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  <w:r w:rsidRPr="004F7772"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  <w:lastRenderedPageBreak/>
        <w:t>Application Form</w:t>
      </w:r>
    </w:p>
    <w:p w14:paraId="6DDBDD2A" w14:textId="61B2C2C1" w:rsidR="004F7772" w:rsidRPr="004F7772" w:rsidRDefault="004F7772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B95A5"/>
          <w:sz w:val="24"/>
          <w:szCs w:val="24"/>
          <w:lang w:val="en-US"/>
        </w:rPr>
      </w:pPr>
      <w:r w:rsidRPr="004F7772">
        <w:rPr>
          <w:rFonts w:ascii="Calibri" w:hAnsi="Calibri" w:cs="Calibri"/>
          <w:color w:val="1B95A5"/>
          <w:sz w:val="24"/>
          <w:szCs w:val="24"/>
          <w:lang w:val="en-US"/>
        </w:rPr>
        <w:t xml:space="preserve">Please complete all sections below and send both form and supporting information to the </w:t>
      </w:r>
      <w:r w:rsidR="005E00FA" w:rsidRPr="005E00FA">
        <w:rPr>
          <w:rFonts w:ascii="Calibri" w:hAnsi="Calibri" w:cs="Calibri"/>
          <w:color w:val="1B95A5"/>
          <w:sz w:val="24"/>
          <w:szCs w:val="24"/>
          <w:lang w:val="en-US"/>
        </w:rPr>
        <w:t>National Chief Allied Health, Scientific and Technical Lead and their local District Chief Allied Health, Scientific and Technical</w:t>
      </w:r>
      <w:r w:rsidRPr="004F7772">
        <w:rPr>
          <w:rFonts w:ascii="Calibri" w:hAnsi="Calibri" w:cs="Calibri"/>
          <w:color w:val="1B95A5"/>
          <w:sz w:val="24"/>
          <w:szCs w:val="24"/>
          <w:lang w:val="en-US"/>
        </w:rPr>
        <w:t>.</w:t>
      </w:r>
    </w:p>
    <w:p w14:paraId="3C9B2DDF" w14:textId="77777777" w:rsidR="00E0388C" w:rsidRDefault="00E0388C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</w:p>
    <w:p w14:paraId="717C99EF" w14:textId="286FF626" w:rsidR="00E0388C" w:rsidRDefault="00E0388C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  <w:t>Employee Information</w:t>
      </w:r>
    </w:p>
    <w:p w14:paraId="1FAEE2CB" w14:textId="77777777" w:rsidR="00E0388C" w:rsidRPr="004F7772" w:rsidRDefault="00E0388C" w:rsidP="004F7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3681"/>
        <w:gridCol w:w="5335"/>
      </w:tblGrid>
      <w:tr w:rsidR="00E0388C" w:rsidRPr="004F7772" w14:paraId="7C693C90" w14:textId="208ABFA1" w:rsidTr="0098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7263DEDA" w14:textId="21D26DE1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Employee Full Name:</w:t>
            </w:r>
          </w:p>
        </w:tc>
        <w:tc>
          <w:tcPr>
            <w:tcW w:w="5335" w:type="dxa"/>
            <w:shd w:val="clear" w:color="auto" w:fill="auto"/>
          </w:tcPr>
          <w:p w14:paraId="05E63552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358C9710" w14:textId="77777777" w:rsidTr="00985533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4D87C4F6" w14:textId="27867C39" w:rsidR="00E0388C" w:rsidRPr="00792489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Employee Number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5335" w:type="dxa"/>
            <w:shd w:val="clear" w:color="auto" w:fill="auto"/>
          </w:tcPr>
          <w:p w14:paraId="6C9BF17F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3E43A64D" w14:textId="6B98363F" w:rsidTr="0098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6C456BC0" w14:textId="6D5867C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Date Submission:</w:t>
            </w:r>
          </w:p>
        </w:tc>
        <w:tc>
          <w:tcPr>
            <w:tcW w:w="5335" w:type="dxa"/>
            <w:shd w:val="clear" w:color="auto" w:fill="auto"/>
          </w:tcPr>
          <w:p w14:paraId="4965F636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40BB865B" w14:textId="67A36209" w:rsidTr="00985533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444FB40F" w14:textId="73922BA9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Contact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umber: </w:t>
            </w:r>
          </w:p>
        </w:tc>
        <w:tc>
          <w:tcPr>
            <w:tcW w:w="5335" w:type="dxa"/>
            <w:shd w:val="clear" w:color="auto" w:fill="auto"/>
          </w:tcPr>
          <w:p w14:paraId="01F4ED1B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20079ABF" w14:textId="2C38E5A0" w:rsidTr="0098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751E21E7" w14:textId="49A1E1AA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Contact Email:</w:t>
            </w:r>
          </w:p>
        </w:tc>
        <w:tc>
          <w:tcPr>
            <w:tcW w:w="5335" w:type="dxa"/>
            <w:shd w:val="clear" w:color="auto" w:fill="auto"/>
          </w:tcPr>
          <w:p w14:paraId="1DCDE32D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4919E980" w14:textId="7E90FABA" w:rsidTr="00985533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EC866BA" w14:textId="625B068E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Service/Department:</w:t>
            </w:r>
          </w:p>
        </w:tc>
        <w:tc>
          <w:tcPr>
            <w:tcW w:w="5335" w:type="dxa"/>
            <w:shd w:val="clear" w:color="auto" w:fill="auto"/>
          </w:tcPr>
          <w:p w14:paraId="1AEFB96B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16C7D792" w14:textId="79A8FD7B" w:rsidTr="0098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021FBDFA" w14:textId="59176095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Position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T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itle:</w:t>
            </w:r>
          </w:p>
        </w:tc>
        <w:tc>
          <w:tcPr>
            <w:tcW w:w="5335" w:type="dxa"/>
            <w:shd w:val="clear" w:color="auto" w:fill="auto"/>
          </w:tcPr>
          <w:p w14:paraId="6311600D" w14:textId="77777777" w:rsidR="00E0388C" w:rsidRPr="004F7772" w:rsidRDefault="00E0388C" w:rsidP="00E0388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9312D" w:rsidRPr="004F7772" w14:paraId="162EF1D0" w14:textId="77777777" w:rsidTr="00985533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79197DE2" w14:textId="61D9138A" w:rsidR="0089312D" w:rsidRPr="004F7772" w:rsidRDefault="0089312D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Current Step:</w:t>
            </w:r>
          </w:p>
        </w:tc>
        <w:tc>
          <w:tcPr>
            <w:tcW w:w="5335" w:type="dxa"/>
            <w:shd w:val="clear" w:color="auto" w:fill="auto"/>
          </w:tcPr>
          <w:p w14:paraId="61FF3206" w14:textId="77777777" w:rsidR="0089312D" w:rsidRPr="004F7772" w:rsidRDefault="0089312D" w:rsidP="00E0388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1C49C5" w:rsidRPr="004F7772" w14:paraId="65B7A742" w14:textId="77777777" w:rsidTr="0098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4BB86AAC" w14:textId="21E641C1" w:rsidR="001C49C5" w:rsidRDefault="001C49C5" w:rsidP="00E038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Merit process </w:t>
            </w:r>
            <w:r w:rsidR="0098553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completed</w:t>
            </w:r>
            <w:r w:rsidR="005E00F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  <w:r w:rsidR="0098553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 (Y/N)</w:t>
            </w:r>
          </w:p>
        </w:tc>
        <w:tc>
          <w:tcPr>
            <w:tcW w:w="5335" w:type="dxa"/>
            <w:shd w:val="clear" w:color="auto" w:fill="auto"/>
          </w:tcPr>
          <w:p w14:paraId="7CE12E3C" w14:textId="77777777" w:rsidR="001C49C5" w:rsidRPr="004F7772" w:rsidRDefault="001C49C5" w:rsidP="00E0388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14:paraId="18F3F543" w14:textId="77777777" w:rsidR="004F7772" w:rsidRDefault="004F7772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5A2525" w14:textId="191B72E5" w:rsidR="00E0388C" w:rsidRDefault="00E0388C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  <w:r w:rsidRPr="00E0388C"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  <w:t xml:space="preserve">Manager Information </w:t>
      </w:r>
    </w:p>
    <w:p w14:paraId="7A4DEBE7" w14:textId="77777777" w:rsidR="00E0388C" w:rsidRPr="00E0388C" w:rsidRDefault="00E0388C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477"/>
      </w:tblGrid>
      <w:tr w:rsidR="00E0388C" w:rsidRPr="004F7772" w14:paraId="5044F4EC" w14:textId="77777777" w:rsidTr="006B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1C6E6AE1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Manager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ame: </w:t>
            </w:r>
          </w:p>
        </w:tc>
        <w:tc>
          <w:tcPr>
            <w:tcW w:w="5477" w:type="dxa"/>
            <w:shd w:val="clear" w:color="auto" w:fill="auto"/>
          </w:tcPr>
          <w:p w14:paraId="53070B2F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781D9D32" w14:textId="77777777" w:rsidTr="006B0A8F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0074DC54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Manager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ontact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umber: </w:t>
            </w:r>
          </w:p>
        </w:tc>
        <w:tc>
          <w:tcPr>
            <w:tcW w:w="5477" w:type="dxa"/>
            <w:shd w:val="clear" w:color="auto" w:fill="auto"/>
          </w:tcPr>
          <w:p w14:paraId="1E3526C9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1EEDBB50" w14:textId="77777777" w:rsidTr="006B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23248B01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Manager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mail </w:t>
            </w: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ddress: </w:t>
            </w:r>
          </w:p>
        </w:tc>
        <w:tc>
          <w:tcPr>
            <w:tcW w:w="5477" w:type="dxa"/>
            <w:shd w:val="clear" w:color="auto" w:fill="auto"/>
          </w:tcPr>
          <w:p w14:paraId="4BF55C96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14:paraId="1D840120" w14:textId="77777777" w:rsidR="00E0388C" w:rsidRDefault="00E0388C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F40A22" w14:textId="6FF03B4B" w:rsidR="00E0388C" w:rsidRPr="00E0388C" w:rsidRDefault="00E0388C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  <w:t>Appeal</w:t>
      </w:r>
      <w:r w:rsidRPr="00E0388C">
        <w:rPr>
          <w:rFonts w:ascii="Calibri" w:hAnsi="Calibri" w:cs="Calibri"/>
          <w:b/>
          <w:bCs/>
          <w:color w:val="1B95A5"/>
          <w:sz w:val="28"/>
          <w:szCs w:val="28"/>
          <w:lang w:val="en-US"/>
        </w:rPr>
        <w:t xml:space="preserve"> Information </w:t>
      </w:r>
    </w:p>
    <w:p w14:paraId="5AE19DC5" w14:textId="77777777" w:rsidR="00E0388C" w:rsidRDefault="00E0388C" w:rsidP="001B3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477"/>
      </w:tblGrid>
      <w:tr w:rsidR="00E0388C" w:rsidRPr="004F7772" w14:paraId="0391E532" w14:textId="77777777" w:rsidTr="006B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08A37ED1" w14:textId="24342E9D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Summary of Appeal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5477" w:type="dxa"/>
            <w:shd w:val="clear" w:color="auto" w:fill="auto"/>
          </w:tcPr>
          <w:p w14:paraId="06B74177" w14:textId="5639E07F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0E065A27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0B996D1E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30518396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0C245B56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0489547C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0344DAFE" w14:textId="77777777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0388C" w:rsidRPr="004F7772" w14:paraId="27D5E7DD" w14:textId="77777777" w:rsidTr="006B0A8F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vMerge w:val="restart"/>
          </w:tcPr>
          <w:p w14:paraId="0F125502" w14:textId="5BF7F14A" w:rsidR="00E0388C" w:rsidRPr="004F7772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 w:rsidRPr="007924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>Supporting Attachments (please list)</w:t>
            </w:r>
            <w:r w:rsidRPr="004F777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5477" w:type="dxa"/>
            <w:shd w:val="clear" w:color="auto" w:fill="auto"/>
          </w:tcPr>
          <w:p w14:paraId="4D53EDC8" w14:textId="3385B7AE" w:rsidR="00E0388C" w:rsidRPr="004F7772" w:rsidRDefault="006B0A8F" w:rsidP="006B0A8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</w:t>
            </w:r>
          </w:p>
        </w:tc>
      </w:tr>
      <w:tr w:rsidR="00E0388C" w:rsidRPr="004F7772" w14:paraId="451AD283" w14:textId="77777777" w:rsidTr="006B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vMerge/>
          </w:tcPr>
          <w:p w14:paraId="04A16219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77" w:type="dxa"/>
            <w:shd w:val="clear" w:color="auto" w:fill="auto"/>
          </w:tcPr>
          <w:p w14:paraId="3E3CFF4C" w14:textId="74674D2B" w:rsidR="00E0388C" w:rsidRPr="004F7772" w:rsidRDefault="006B0A8F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</w:t>
            </w:r>
          </w:p>
        </w:tc>
      </w:tr>
      <w:tr w:rsidR="00E0388C" w:rsidRPr="004F7772" w14:paraId="3AEF96DF" w14:textId="77777777" w:rsidTr="006B0A8F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vMerge/>
          </w:tcPr>
          <w:p w14:paraId="2C643022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77" w:type="dxa"/>
            <w:shd w:val="clear" w:color="auto" w:fill="auto"/>
          </w:tcPr>
          <w:p w14:paraId="1A9756F4" w14:textId="6DDA8AB6" w:rsidR="00E0388C" w:rsidRPr="004F7772" w:rsidRDefault="006B0A8F" w:rsidP="006B0A8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3.</w:t>
            </w:r>
          </w:p>
        </w:tc>
      </w:tr>
      <w:tr w:rsidR="00E0388C" w:rsidRPr="004F7772" w14:paraId="35B2B7BC" w14:textId="77777777" w:rsidTr="006B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vMerge/>
          </w:tcPr>
          <w:p w14:paraId="52CEFE5A" w14:textId="77777777" w:rsidR="00E0388C" w:rsidRDefault="00E0388C" w:rsidP="006B0A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77" w:type="dxa"/>
            <w:shd w:val="clear" w:color="auto" w:fill="auto"/>
          </w:tcPr>
          <w:p w14:paraId="6A00A479" w14:textId="7DF0ADA3" w:rsidR="00E0388C" w:rsidRPr="004F7772" w:rsidRDefault="006B0A8F" w:rsidP="006B0A8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4.</w:t>
            </w:r>
          </w:p>
        </w:tc>
      </w:tr>
    </w:tbl>
    <w:p w14:paraId="6B6AEED0" w14:textId="77777777" w:rsidR="00E0388C" w:rsidRDefault="00E0388C" w:rsidP="00D0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3F401A" w14:textId="77777777" w:rsidR="005D43B4" w:rsidRDefault="005D43B4" w:rsidP="00D0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35E2CB" w14:textId="77777777" w:rsidR="005D43B4" w:rsidRDefault="005D43B4" w:rsidP="00D0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FFB223" w14:textId="77777777" w:rsidR="005D43B4" w:rsidRDefault="005D43B4" w:rsidP="00D0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17F4D0" w14:textId="77777777" w:rsidR="005D43B4" w:rsidRDefault="005D43B4" w:rsidP="00D0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BF521D" w14:textId="77777777" w:rsidR="005D43B4" w:rsidRDefault="005D43B4" w:rsidP="00D04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D43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23EB" w14:textId="77777777" w:rsidR="0088742C" w:rsidRDefault="0088742C" w:rsidP="00B258E7">
      <w:pPr>
        <w:spacing w:after="0" w:line="240" w:lineRule="auto"/>
      </w:pPr>
      <w:r>
        <w:separator/>
      </w:r>
    </w:p>
  </w:endnote>
  <w:endnote w:type="continuationSeparator" w:id="0">
    <w:p w14:paraId="651C65D5" w14:textId="77777777" w:rsidR="0088742C" w:rsidRDefault="0088742C" w:rsidP="00B258E7">
      <w:pPr>
        <w:spacing w:after="0" w:line="240" w:lineRule="auto"/>
      </w:pPr>
      <w:r>
        <w:continuationSeparator/>
      </w:r>
    </w:p>
  </w:endnote>
  <w:endnote w:type="continuationNotice" w:id="1">
    <w:p w14:paraId="599798C8" w14:textId="77777777" w:rsidR="0088742C" w:rsidRDefault="00887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8752" w14:textId="77777777" w:rsidR="00D040C9" w:rsidRDefault="00D0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2AE" w14:textId="77777777" w:rsidR="00D040C9" w:rsidRDefault="00D0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1892" w14:textId="77777777" w:rsidR="00D040C9" w:rsidRDefault="00D0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EBF7" w14:textId="77777777" w:rsidR="0088742C" w:rsidRDefault="0088742C" w:rsidP="00B258E7">
      <w:pPr>
        <w:spacing w:after="0" w:line="240" w:lineRule="auto"/>
      </w:pPr>
      <w:r>
        <w:separator/>
      </w:r>
    </w:p>
  </w:footnote>
  <w:footnote w:type="continuationSeparator" w:id="0">
    <w:p w14:paraId="14D567D7" w14:textId="77777777" w:rsidR="0088742C" w:rsidRDefault="0088742C" w:rsidP="00B258E7">
      <w:pPr>
        <w:spacing w:after="0" w:line="240" w:lineRule="auto"/>
      </w:pPr>
      <w:r>
        <w:continuationSeparator/>
      </w:r>
    </w:p>
  </w:footnote>
  <w:footnote w:type="continuationNotice" w:id="1">
    <w:p w14:paraId="67C9D9F8" w14:textId="77777777" w:rsidR="0088742C" w:rsidRDefault="00887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0A01" w14:textId="77777777" w:rsidR="00D040C9" w:rsidRDefault="00D0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6AFF" w14:textId="35F29D57" w:rsidR="00B258E7" w:rsidRDefault="00B258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78ADB5D" wp14:editId="6CF0AFEC">
              <wp:simplePos x="0" y="0"/>
              <wp:positionH relativeFrom="page">
                <wp:posOffset>2841584</wp:posOffset>
              </wp:positionH>
              <wp:positionV relativeFrom="page">
                <wp:posOffset>425796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5E162587" w14:textId="77777777" w:rsidR="00B258E7" w:rsidRDefault="00B258E7" w:rsidP="00B258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ADB5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223.75pt;margin-top:33.55pt;width:138.8pt;height:29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" stroked="f">
              <v:fill r:id="rId2" o:title="" recolor="t" rotate="t" type="frame"/>
              <v:textbox inset="0,0,0,0">
                <w:txbxContent>
                  <w:p w14:paraId="5E162587" w14:textId="77777777" w:rsidR="00B258E7" w:rsidRDefault="00B258E7" w:rsidP="00B258E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028A1184" wp14:editId="59A3198C">
          <wp:simplePos x="0" y="0"/>
          <wp:positionH relativeFrom="page">
            <wp:align>left</wp:align>
          </wp:positionH>
          <wp:positionV relativeFrom="page">
            <wp:posOffset>3320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EB88" w14:textId="77777777" w:rsidR="00D040C9" w:rsidRDefault="00D04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75"/>
    <w:multiLevelType w:val="hybridMultilevel"/>
    <w:tmpl w:val="2FE6FC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772"/>
    <w:multiLevelType w:val="hybridMultilevel"/>
    <w:tmpl w:val="533E056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02501F"/>
    <w:multiLevelType w:val="multilevel"/>
    <w:tmpl w:val="023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E588F"/>
    <w:multiLevelType w:val="hybridMultilevel"/>
    <w:tmpl w:val="FB708E8C"/>
    <w:lvl w:ilvl="0" w:tplc="ACACD5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17BA"/>
    <w:multiLevelType w:val="hybridMultilevel"/>
    <w:tmpl w:val="CC2A0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7E12"/>
    <w:multiLevelType w:val="multilevel"/>
    <w:tmpl w:val="B1D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5364B8"/>
    <w:multiLevelType w:val="hybridMultilevel"/>
    <w:tmpl w:val="A648A9B4"/>
    <w:lvl w:ilvl="0" w:tplc="DAD0FD1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6196"/>
    <w:multiLevelType w:val="hybridMultilevel"/>
    <w:tmpl w:val="F34E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4A4C"/>
    <w:multiLevelType w:val="hybridMultilevel"/>
    <w:tmpl w:val="0E2C1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27A9F"/>
    <w:multiLevelType w:val="multilevel"/>
    <w:tmpl w:val="DC3C82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234002810">
    <w:abstractNumId w:val="7"/>
  </w:num>
  <w:num w:numId="2" w16cid:durableId="830022320">
    <w:abstractNumId w:val="0"/>
  </w:num>
  <w:num w:numId="3" w16cid:durableId="1328484758">
    <w:abstractNumId w:val="1"/>
  </w:num>
  <w:num w:numId="4" w16cid:durableId="1272930534">
    <w:abstractNumId w:val="9"/>
  </w:num>
  <w:num w:numId="5" w16cid:durableId="2004239326">
    <w:abstractNumId w:val="2"/>
  </w:num>
  <w:num w:numId="6" w16cid:durableId="1616787448">
    <w:abstractNumId w:val="5"/>
  </w:num>
  <w:num w:numId="7" w16cid:durableId="1243488881">
    <w:abstractNumId w:val="4"/>
  </w:num>
  <w:num w:numId="8" w16cid:durableId="1432512935">
    <w:abstractNumId w:val="6"/>
  </w:num>
  <w:num w:numId="9" w16cid:durableId="1687438870">
    <w:abstractNumId w:val="8"/>
  </w:num>
  <w:num w:numId="10" w16cid:durableId="153400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6F"/>
    <w:rsid w:val="00030454"/>
    <w:rsid w:val="0006626B"/>
    <w:rsid w:val="000665D2"/>
    <w:rsid w:val="000734F9"/>
    <w:rsid w:val="000A490F"/>
    <w:rsid w:val="000C2041"/>
    <w:rsid w:val="00131B3B"/>
    <w:rsid w:val="00146102"/>
    <w:rsid w:val="00153969"/>
    <w:rsid w:val="00156F59"/>
    <w:rsid w:val="00175126"/>
    <w:rsid w:val="00182E4A"/>
    <w:rsid w:val="001952AF"/>
    <w:rsid w:val="001A394A"/>
    <w:rsid w:val="001A3C65"/>
    <w:rsid w:val="001B323C"/>
    <w:rsid w:val="001C0BA1"/>
    <w:rsid w:val="001C33A7"/>
    <w:rsid w:val="001C49C5"/>
    <w:rsid w:val="001C5BAA"/>
    <w:rsid w:val="001E04F8"/>
    <w:rsid w:val="001E6814"/>
    <w:rsid w:val="001F7FC3"/>
    <w:rsid w:val="00217141"/>
    <w:rsid w:val="00231277"/>
    <w:rsid w:val="00296434"/>
    <w:rsid w:val="002A735A"/>
    <w:rsid w:val="002B47F9"/>
    <w:rsid w:val="002D1ABE"/>
    <w:rsid w:val="002E42FA"/>
    <w:rsid w:val="002F2ECB"/>
    <w:rsid w:val="002F5759"/>
    <w:rsid w:val="00305C88"/>
    <w:rsid w:val="00346901"/>
    <w:rsid w:val="0036145D"/>
    <w:rsid w:val="0036569B"/>
    <w:rsid w:val="003C716F"/>
    <w:rsid w:val="003D5BE8"/>
    <w:rsid w:val="00454F4E"/>
    <w:rsid w:val="0047543D"/>
    <w:rsid w:val="00486D40"/>
    <w:rsid w:val="004C2BB6"/>
    <w:rsid w:val="004D2297"/>
    <w:rsid w:val="004D4E81"/>
    <w:rsid w:val="004F73FE"/>
    <w:rsid w:val="004F7772"/>
    <w:rsid w:val="00501E08"/>
    <w:rsid w:val="0056234D"/>
    <w:rsid w:val="005634C7"/>
    <w:rsid w:val="005869B4"/>
    <w:rsid w:val="005A75A5"/>
    <w:rsid w:val="005D43B4"/>
    <w:rsid w:val="005D7271"/>
    <w:rsid w:val="005E00FA"/>
    <w:rsid w:val="00631EBF"/>
    <w:rsid w:val="00663547"/>
    <w:rsid w:val="006A048F"/>
    <w:rsid w:val="006A7DC1"/>
    <w:rsid w:val="006B0A8F"/>
    <w:rsid w:val="006B7ED0"/>
    <w:rsid w:val="006D0ADD"/>
    <w:rsid w:val="00702474"/>
    <w:rsid w:val="007048E4"/>
    <w:rsid w:val="007060AF"/>
    <w:rsid w:val="00710764"/>
    <w:rsid w:val="00710BB0"/>
    <w:rsid w:val="00782794"/>
    <w:rsid w:val="00792489"/>
    <w:rsid w:val="007A1816"/>
    <w:rsid w:val="007C1221"/>
    <w:rsid w:val="007D57C9"/>
    <w:rsid w:val="007F0E5F"/>
    <w:rsid w:val="00822333"/>
    <w:rsid w:val="0082583E"/>
    <w:rsid w:val="00883448"/>
    <w:rsid w:val="0088742C"/>
    <w:rsid w:val="0089312D"/>
    <w:rsid w:val="008B1C44"/>
    <w:rsid w:val="008B5069"/>
    <w:rsid w:val="00913F61"/>
    <w:rsid w:val="00935BAA"/>
    <w:rsid w:val="00974035"/>
    <w:rsid w:val="00985533"/>
    <w:rsid w:val="00993943"/>
    <w:rsid w:val="009B4A54"/>
    <w:rsid w:val="009D1557"/>
    <w:rsid w:val="009F2196"/>
    <w:rsid w:val="00A02EED"/>
    <w:rsid w:val="00A07A4A"/>
    <w:rsid w:val="00A25E79"/>
    <w:rsid w:val="00A6296D"/>
    <w:rsid w:val="00A7386D"/>
    <w:rsid w:val="00A91F67"/>
    <w:rsid w:val="00A923F3"/>
    <w:rsid w:val="00A930C1"/>
    <w:rsid w:val="00A97CD2"/>
    <w:rsid w:val="00B21B3B"/>
    <w:rsid w:val="00B258E7"/>
    <w:rsid w:val="00B40E9D"/>
    <w:rsid w:val="00B41968"/>
    <w:rsid w:val="00B868CB"/>
    <w:rsid w:val="00B92A15"/>
    <w:rsid w:val="00BB410A"/>
    <w:rsid w:val="00BD33F3"/>
    <w:rsid w:val="00BD5CFB"/>
    <w:rsid w:val="00BE1450"/>
    <w:rsid w:val="00BF6BBA"/>
    <w:rsid w:val="00C9662F"/>
    <w:rsid w:val="00D040C9"/>
    <w:rsid w:val="00D26D26"/>
    <w:rsid w:val="00D3340D"/>
    <w:rsid w:val="00D343EB"/>
    <w:rsid w:val="00D55223"/>
    <w:rsid w:val="00D85884"/>
    <w:rsid w:val="00DA3670"/>
    <w:rsid w:val="00DB7C1F"/>
    <w:rsid w:val="00E0388C"/>
    <w:rsid w:val="00E12784"/>
    <w:rsid w:val="00E17B34"/>
    <w:rsid w:val="00E874C9"/>
    <w:rsid w:val="00EA3307"/>
    <w:rsid w:val="00EB31F1"/>
    <w:rsid w:val="00EB5764"/>
    <w:rsid w:val="00EB6D2E"/>
    <w:rsid w:val="00EC0487"/>
    <w:rsid w:val="00EE432F"/>
    <w:rsid w:val="00EE76A8"/>
    <w:rsid w:val="00F26E64"/>
    <w:rsid w:val="00F67723"/>
    <w:rsid w:val="00F86F7A"/>
    <w:rsid w:val="00FC533B"/>
    <w:rsid w:val="00FC6FA3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7ED47"/>
  <w15:chartTrackingRefBased/>
  <w15:docId w15:val="{3B4A61AF-B395-44DD-AB98-3C0CAF8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E7"/>
  </w:style>
  <w:style w:type="paragraph" w:styleId="Footer">
    <w:name w:val="footer"/>
    <w:basedOn w:val="Normal"/>
    <w:link w:val="FooterChar"/>
    <w:uiPriority w:val="99"/>
    <w:unhideWhenUsed/>
    <w:rsid w:val="00B2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E7"/>
  </w:style>
  <w:style w:type="character" w:customStyle="1" w:styleId="Heading1Char">
    <w:name w:val="Heading 1 Char"/>
    <w:basedOn w:val="DefaultParagraphFont"/>
    <w:link w:val="Heading1"/>
    <w:uiPriority w:val="9"/>
    <w:rsid w:val="0082583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7D57C9"/>
    <w:pPr>
      <w:ind w:left="720"/>
      <w:contextualSpacing/>
    </w:pPr>
  </w:style>
  <w:style w:type="paragraph" w:customStyle="1" w:styleId="Default">
    <w:name w:val="Default"/>
    <w:rsid w:val="001B3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C5BAA"/>
  </w:style>
  <w:style w:type="character" w:customStyle="1" w:styleId="ui-provider">
    <w:name w:val="ui-provider"/>
    <w:basedOn w:val="DefaultParagraphFont"/>
    <w:rsid w:val="004D2297"/>
  </w:style>
  <w:style w:type="paragraph" w:styleId="Revision">
    <w:name w:val="Revision"/>
    <w:hidden/>
    <w:uiPriority w:val="99"/>
    <w:semiHidden/>
    <w:rsid w:val="00454F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77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3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  <ApprovalStatu xmlns="6d8b3d66-57dd-4036-af72-5aa9717b61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4" ma:contentTypeDescription="Create a new document." ma:contentTypeScope="" ma:versionID="9624d31ce7aaf297e9bef9017fd8c617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4013606821b5c2f11f2e9b4c4c7d8a6d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ApprovalStatu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pprovalStatu" ma:index="23" nillable="true" ma:displayName="Approval Statu" ma:format="Dropdown" ma:internalName="ApprovalStatu">
      <xsd:simpleType>
        <xsd:restriction base="dms:Choice">
          <xsd:enumeration value="Pending"/>
          <xsd:enumeration value="Approved"/>
          <xsd:enumeration value="Choice 3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31614-B810-494C-97A0-3160D50EFD3F}">
  <ds:schemaRefs>
    <ds:schemaRef ds:uri="http://schemas.microsoft.com/office/2006/metadata/properties"/>
    <ds:schemaRef ds:uri="http://schemas.microsoft.com/office/infopath/2007/PartnerControls"/>
    <ds:schemaRef ds:uri="a6253dad-cd7f-4e50-8749-6e21a0528a3e"/>
    <ds:schemaRef ds:uri="6d8b3d66-57dd-4036-af72-5aa9717b616b"/>
  </ds:schemaRefs>
</ds:datastoreItem>
</file>

<file path=customXml/itemProps2.xml><?xml version="1.0" encoding="utf-8"?>
<ds:datastoreItem xmlns:ds="http://schemas.openxmlformats.org/officeDocument/2006/customXml" ds:itemID="{B3B1835A-A598-450D-A276-E886F90E0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92DA0-4533-41E1-96D4-F5DA8174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Sathyanarayanan</dc:creator>
  <cp:keywords/>
  <dc:description/>
  <cp:lastModifiedBy>Jenny Downes</cp:lastModifiedBy>
  <cp:revision>2</cp:revision>
  <cp:lastPrinted>2024-03-07T01:15:00Z</cp:lastPrinted>
  <dcterms:created xsi:type="dcterms:W3CDTF">2024-03-19T00:43:00Z</dcterms:created>
  <dcterms:modified xsi:type="dcterms:W3CDTF">2024-03-19T00:43:00Z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2024-02-16T01:00:53Z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1f001489-4d48-4bff-982b-2ad55824a68c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0x0101007F1B5BF3D8384C44A9F4D1D5656F2B03</vt:lpwstr>
  </property>
  <property fmtid="{D5CDD505-2E9C-101B-9397-08002B2CF9AE}" pid="10" name="MediaServiceImageTags">
    <vt:lpwstr/>
  </property>
</Properties>
</file>