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EDB70" w14:textId="77777777" w:rsidR="002D5C88" w:rsidRPr="002D5C88" w:rsidRDefault="002D5C88" w:rsidP="00784DDA">
      <w:pPr>
        <w:jc w:val="center"/>
        <w:rPr>
          <w:rFonts w:ascii="Arial" w:eastAsiaTheme="majorEastAsia" w:hAnsi="Arial" w:cs="Arial"/>
          <w:b/>
          <w:bCs/>
          <w:color w:val="2F5496" w:themeColor="accent1" w:themeShade="BF"/>
          <w:sz w:val="4"/>
          <w:szCs w:val="4"/>
        </w:rPr>
      </w:pPr>
    </w:p>
    <w:p w14:paraId="71CB9B8E" w14:textId="26BD24F0" w:rsidR="00784DDA" w:rsidRPr="003D11B2" w:rsidRDefault="00784DDA" w:rsidP="00784DDA">
      <w:pPr>
        <w:jc w:val="center"/>
        <w:rPr>
          <w:rFonts w:ascii="Arial" w:eastAsiaTheme="majorEastAsia" w:hAnsi="Arial" w:cs="Arial"/>
          <w:b/>
          <w:bCs/>
          <w:color w:val="2F5496" w:themeColor="accent1" w:themeShade="BF"/>
          <w:sz w:val="10"/>
          <w:szCs w:val="10"/>
        </w:rPr>
      </w:pPr>
      <w:r w:rsidRPr="003D11B2">
        <w:rPr>
          <w:rFonts w:ascii="Arial" w:eastAsiaTheme="majorEastAsia" w:hAnsi="Arial" w:cs="Arial"/>
          <w:b/>
          <w:bCs/>
          <w:color w:val="2F5496" w:themeColor="accent1" w:themeShade="BF"/>
          <w:sz w:val="36"/>
          <w:szCs w:val="36"/>
        </w:rPr>
        <w:t xml:space="preserve">National Stroke Clot Retrieval Referral Criteria </w:t>
      </w:r>
      <w:r w:rsidR="003D11B2">
        <w:rPr>
          <w:rFonts w:ascii="Arial" w:eastAsiaTheme="majorEastAsia" w:hAnsi="Arial" w:cs="Arial"/>
          <w:b/>
          <w:bCs/>
          <w:color w:val="2F5496" w:themeColor="accent1" w:themeShade="BF"/>
          <w:sz w:val="36"/>
          <w:szCs w:val="36"/>
        </w:rPr>
        <w:br/>
      </w:r>
    </w:p>
    <w:p w14:paraId="5AEAC6EC" w14:textId="403FD47A" w:rsidR="00784DDA" w:rsidRPr="003D11B2" w:rsidRDefault="00784DDA" w:rsidP="003D11B2">
      <w:pPr>
        <w:pStyle w:val="Heading1"/>
        <w:rPr>
          <w:rFonts w:ascii="Arial" w:hAnsi="Arial" w:cs="Arial"/>
        </w:rPr>
      </w:pPr>
      <w:r w:rsidRPr="003D11B2">
        <w:rPr>
          <w:rFonts w:ascii="Arial" w:hAnsi="Arial" w:cs="Arial"/>
        </w:rPr>
        <w:t>Clinical criteria for referral</w:t>
      </w:r>
    </w:p>
    <w:p w14:paraId="5A56E1BE" w14:textId="77777777" w:rsidR="003D11B2" w:rsidRPr="003D11B2" w:rsidRDefault="00032548" w:rsidP="00784DDA">
      <w:pPr>
        <w:pStyle w:val="ListParagraph"/>
        <w:numPr>
          <w:ilvl w:val="0"/>
          <w:numId w:val="1"/>
        </w:numPr>
        <w:spacing w:after="160" w:line="259" w:lineRule="auto"/>
        <w:rPr>
          <w:rFonts w:ascii="Arial" w:hAnsi="Arial" w:cs="Arial"/>
        </w:rPr>
      </w:pPr>
      <w:r w:rsidRPr="003D11B2">
        <w:rPr>
          <w:rFonts w:ascii="Arial" w:hAnsi="Arial" w:cs="Arial"/>
        </w:rPr>
        <w:t>Moderate to severe stroke (</w:t>
      </w:r>
      <w:r w:rsidR="00784DDA" w:rsidRPr="003D11B2">
        <w:rPr>
          <w:rFonts w:ascii="Arial" w:hAnsi="Arial" w:cs="Arial"/>
        </w:rPr>
        <w:t>NIHSS ≥ 6</w:t>
      </w:r>
      <w:r w:rsidRPr="003D11B2">
        <w:rPr>
          <w:rFonts w:ascii="Arial" w:hAnsi="Arial" w:cs="Arial"/>
        </w:rPr>
        <w:t>)</w:t>
      </w:r>
    </w:p>
    <w:p w14:paraId="14B8E58D" w14:textId="05AD09A0" w:rsidR="00784DDA" w:rsidRPr="003D11B2" w:rsidRDefault="00032548" w:rsidP="00784DDA">
      <w:pPr>
        <w:pStyle w:val="ListParagraph"/>
        <w:numPr>
          <w:ilvl w:val="0"/>
          <w:numId w:val="1"/>
        </w:numPr>
        <w:spacing w:after="160" w:line="259" w:lineRule="auto"/>
        <w:rPr>
          <w:rFonts w:ascii="Arial" w:hAnsi="Arial" w:cs="Arial"/>
        </w:rPr>
      </w:pPr>
      <w:r w:rsidRPr="003D11B2">
        <w:rPr>
          <w:rFonts w:ascii="Arial" w:hAnsi="Arial" w:cs="Arial"/>
        </w:rPr>
        <w:t>Independent pre-stroke (</w:t>
      </w:r>
      <w:proofErr w:type="spellStart"/>
      <w:r w:rsidR="00784DDA" w:rsidRPr="003D11B2">
        <w:rPr>
          <w:rFonts w:ascii="Arial" w:hAnsi="Arial" w:cs="Arial"/>
        </w:rPr>
        <w:t>mRS</w:t>
      </w:r>
      <w:proofErr w:type="spellEnd"/>
      <w:r w:rsidR="00784DDA" w:rsidRPr="003D11B2">
        <w:rPr>
          <w:rFonts w:ascii="Arial" w:hAnsi="Arial" w:cs="Arial"/>
        </w:rPr>
        <w:t xml:space="preserve"> ≤ </w:t>
      </w:r>
      <w:proofErr w:type="gramStart"/>
      <w:r w:rsidR="00784DDA" w:rsidRPr="003D11B2">
        <w:rPr>
          <w:rFonts w:ascii="Arial" w:hAnsi="Arial" w:cs="Arial"/>
        </w:rPr>
        <w:t>2</w:t>
      </w:r>
      <w:r w:rsidRPr="003D11B2">
        <w:rPr>
          <w:rFonts w:ascii="Arial" w:hAnsi="Arial" w:cs="Arial"/>
        </w:rPr>
        <w:t>)*</w:t>
      </w:r>
      <w:proofErr w:type="gramEnd"/>
    </w:p>
    <w:p w14:paraId="144B0E8B" w14:textId="7DCD4335" w:rsidR="00784DDA" w:rsidRPr="003D11B2" w:rsidRDefault="00784DDA" w:rsidP="00784DDA">
      <w:pPr>
        <w:pStyle w:val="ListParagraph"/>
        <w:numPr>
          <w:ilvl w:val="0"/>
          <w:numId w:val="1"/>
        </w:numPr>
        <w:spacing w:after="160" w:line="259" w:lineRule="auto"/>
        <w:rPr>
          <w:rFonts w:ascii="Arial" w:hAnsi="Arial" w:cs="Arial"/>
        </w:rPr>
      </w:pPr>
      <w:r w:rsidRPr="003D11B2">
        <w:rPr>
          <w:rFonts w:ascii="Arial" w:hAnsi="Arial" w:cs="Arial"/>
        </w:rPr>
        <w:t>No acute life-threatening comorbidities</w:t>
      </w:r>
      <w:r w:rsidR="00032548" w:rsidRPr="003D11B2">
        <w:rPr>
          <w:rFonts w:ascii="Arial" w:hAnsi="Arial" w:cs="Arial"/>
        </w:rPr>
        <w:t>*</w:t>
      </w:r>
    </w:p>
    <w:p w14:paraId="1E79A671" w14:textId="1FABD5A8" w:rsidR="00784DDA" w:rsidRPr="003D11B2" w:rsidRDefault="00784DDA" w:rsidP="00784DDA">
      <w:pPr>
        <w:spacing w:after="160" w:line="259" w:lineRule="auto"/>
        <w:rPr>
          <w:rFonts w:ascii="Arial" w:hAnsi="Arial" w:cs="Arial"/>
          <w:sz w:val="18"/>
          <w:szCs w:val="18"/>
        </w:rPr>
      </w:pPr>
      <w:r w:rsidRPr="003D11B2">
        <w:rPr>
          <w:rFonts w:ascii="Arial" w:hAnsi="Arial" w:cs="Arial"/>
          <w:sz w:val="18"/>
          <w:szCs w:val="18"/>
        </w:rPr>
        <w:t>*</w:t>
      </w:r>
      <w:r w:rsidR="007E68DA" w:rsidRPr="003D11B2">
        <w:rPr>
          <w:rFonts w:ascii="Arial" w:hAnsi="Arial" w:cs="Arial"/>
          <w:sz w:val="18"/>
          <w:szCs w:val="18"/>
        </w:rPr>
        <w:t>L</w:t>
      </w:r>
      <w:r w:rsidR="00032548" w:rsidRPr="003D11B2">
        <w:rPr>
          <w:rFonts w:ascii="Arial" w:hAnsi="Arial" w:cs="Arial"/>
          <w:sz w:val="18"/>
          <w:szCs w:val="18"/>
        </w:rPr>
        <w:t>ongstanding stable disabilities</w:t>
      </w:r>
      <w:r w:rsidR="007E68DA" w:rsidRPr="003D11B2">
        <w:rPr>
          <w:rFonts w:ascii="Arial" w:hAnsi="Arial" w:cs="Arial"/>
          <w:sz w:val="18"/>
          <w:szCs w:val="18"/>
        </w:rPr>
        <w:t xml:space="preserve"> (</w:t>
      </w:r>
      <w:proofErr w:type="gramStart"/>
      <w:r w:rsidR="007E68DA" w:rsidRPr="003D11B2">
        <w:rPr>
          <w:rFonts w:ascii="Arial" w:hAnsi="Arial" w:cs="Arial"/>
          <w:sz w:val="18"/>
          <w:szCs w:val="18"/>
        </w:rPr>
        <w:t>e.g.</w:t>
      </w:r>
      <w:proofErr w:type="gramEnd"/>
      <w:r w:rsidR="007E68DA" w:rsidRPr="003D11B2">
        <w:rPr>
          <w:rFonts w:ascii="Arial" w:hAnsi="Arial" w:cs="Arial"/>
          <w:sz w:val="18"/>
          <w:szCs w:val="18"/>
        </w:rPr>
        <w:t xml:space="preserve"> paraplegic, Down syndrome)</w:t>
      </w:r>
      <w:r w:rsidR="00032548" w:rsidRPr="003D11B2">
        <w:rPr>
          <w:rFonts w:ascii="Arial" w:hAnsi="Arial" w:cs="Arial"/>
          <w:sz w:val="18"/>
          <w:szCs w:val="18"/>
        </w:rPr>
        <w:t xml:space="preserve"> </w:t>
      </w:r>
      <w:r w:rsidR="007E68DA" w:rsidRPr="003D11B2">
        <w:rPr>
          <w:rFonts w:ascii="Arial" w:hAnsi="Arial" w:cs="Arial"/>
          <w:sz w:val="18"/>
          <w:szCs w:val="18"/>
        </w:rPr>
        <w:t>and p</w:t>
      </w:r>
      <w:r w:rsidRPr="003D11B2">
        <w:rPr>
          <w:rFonts w:ascii="Arial" w:hAnsi="Arial" w:cs="Arial"/>
          <w:sz w:val="18"/>
          <w:szCs w:val="18"/>
        </w:rPr>
        <w:t>oor longer-term prognosis based on existing comorbidities should not detract from referring patients.</w:t>
      </w:r>
    </w:p>
    <w:p w14:paraId="3BF2FC84" w14:textId="77777777" w:rsidR="00784DDA" w:rsidRPr="003D11B2" w:rsidRDefault="00784DDA" w:rsidP="003D11B2">
      <w:pPr>
        <w:pStyle w:val="Heading1"/>
        <w:rPr>
          <w:rFonts w:ascii="Arial" w:hAnsi="Arial" w:cs="Arial"/>
        </w:rPr>
      </w:pPr>
      <w:r w:rsidRPr="003D11B2">
        <w:rPr>
          <w:rFonts w:ascii="Arial" w:hAnsi="Arial" w:cs="Arial"/>
        </w:rPr>
        <w:t>Imaging criteria for referral</w:t>
      </w:r>
    </w:p>
    <w:p w14:paraId="73CE2805" w14:textId="77777777" w:rsidR="00784DDA" w:rsidRPr="003D11B2" w:rsidRDefault="00784DDA" w:rsidP="00784DDA">
      <w:pPr>
        <w:pStyle w:val="ListParagraph"/>
        <w:numPr>
          <w:ilvl w:val="0"/>
          <w:numId w:val="2"/>
        </w:numPr>
        <w:spacing w:after="160" w:line="259" w:lineRule="auto"/>
        <w:rPr>
          <w:rFonts w:ascii="Arial" w:hAnsi="Arial" w:cs="Arial"/>
        </w:rPr>
      </w:pPr>
      <w:r w:rsidRPr="003D11B2">
        <w:rPr>
          <w:rFonts w:ascii="Arial" w:hAnsi="Arial" w:cs="Arial"/>
        </w:rPr>
        <w:t>No frank, large infarction on NCCT (acceptable size dependent on occlusion site)</w:t>
      </w:r>
    </w:p>
    <w:p w14:paraId="46E24060" w14:textId="77777777" w:rsidR="00784DDA" w:rsidRPr="003D11B2" w:rsidRDefault="00784DDA" w:rsidP="00784DDA">
      <w:pPr>
        <w:pStyle w:val="ListParagraph"/>
        <w:numPr>
          <w:ilvl w:val="0"/>
          <w:numId w:val="2"/>
        </w:numPr>
        <w:spacing w:after="160" w:line="259" w:lineRule="auto"/>
        <w:rPr>
          <w:rFonts w:ascii="Arial" w:hAnsi="Arial" w:cs="Arial"/>
        </w:rPr>
      </w:pPr>
      <w:r w:rsidRPr="003D11B2">
        <w:rPr>
          <w:rFonts w:ascii="Arial" w:hAnsi="Arial" w:cs="Arial"/>
        </w:rPr>
        <w:t>CTA demonstrating ICA, M1, proximal/accessible M2, BA occlusion</w:t>
      </w:r>
      <w:r w:rsidRPr="003D11B2">
        <w:rPr>
          <w:rStyle w:val="FootnoteReference"/>
          <w:rFonts w:ascii="Arial" w:hAnsi="Arial" w:cs="Arial"/>
        </w:rPr>
        <w:footnoteReference w:id="1"/>
      </w:r>
    </w:p>
    <w:p w14:paraId="70CC86C0" w14:textId="77777777" w:rsidR="00784DDA" w:rsidRPr="003D11B2" w:rsidRDefault="00784DDA" w:rsidP="00784DDA">
      <w:pPr>
        <w:pStyle w:val="ListParagraph"/>
        <w:numPr>
          <w:ilvl w:val="0"/>
          <w:numId w:val="2"/>
        </w:numPr>
        <w:spacing w:after="160" w:line="259" w:lineRule="auto"/>
        <w:rPr>
          <w:rFonts w:ascii="Arial" w:hAnsi="Arial" w:cs="Arial"/>
        </w:rPr>
      </w:pPr>
      <w:r w:rsidRPr="003D11B2">
        <w:rPr>
          <w:rFonts w:ascii="Arial" w:hAnsi="Arial" w:cs="Arial"/>
        </w:rPr>
        <w:t xml:space="preserve">P1, P2, A1 and A2 on exceptional basis only </w:t>
      </w:r>
    </w:p>
    <w:p w14:paraId="36DA00E8" w14:textId="77777777" w:rsidR="00784DDA" w:rsidRPr="003D11B2" w:rsidRDefault="00784DDA" w:rsidP="003D11B2">
      <w:pPr>
        <w:pStyle w:val="Heading2"/>
        <w:rPr>
          <w:rFonts w:ascii="Arial" w:hAnsi="Arial" w:cs="Arial"/>
        </w:rPr>
      </w:pPr>
      <w:r w:rsidRPr="003D11B2">
        <w:rPr>
          <w:rFonts w:ascii="Arial" w:hAnsi="Arial" w:cs="Arial"/>
        </w:rPr>
        <w:t>For sites without CTP</w:t>
      </w:r>
    </w:p>
    <w:p w14:paraId="64619E6B" w14:textId="77777777" w:rsidR="00784DDA" w:rsidRPr="003D11B2" w:rsidRDefault="00784DDA" w:rsidP="00784DDA">
      <w:pPr>
        <w:pStyle w:val="ListParagraph"/>
        <w:numPr>
          <w:ilvl w:val="0"/>
          <w:numId w:val="3"/>
        </w:numPr>
        <w:spacing w:after="160" w:line="259" w:lineRule="auto"/>
        <w:rPr>
          <w:rFonts w:ascii="Arial" w:hAnsi="Arial" w:cs="Arial"/>
        </w:rPr>
      </w:pPr>
      <w:r w:rsidRPr="003D11B2">
        <w:rPr>
          <w:rFonts w:ascii="Arial" w:hAnsi="Arial" w:cs="Arial"/>
        </w:rPr>
        <w:t xml:space="preserve">Onset to groin puncture time must be achievable within 6 hours </w:t>
      </w:r>
    </w:p>
    <w:p w14:paraId="10075C6B" w14:textId="77777777" w:rsidR="00784DDA" w:rsidRPr="003D11B2" w:rsidRDefault="00784DDA" w:rsidP="00784DDA">
      <w:pPr>
        <w:pStyle w:val="ListParagraph"/>
        <w:numPr>
          <w:ilvl w:val="0"/>
          <w:numId w:val="3"/>
        </w:numPr>
        <w:spacing w:after="160" w:line="259" w:lineRule="auto"/>
        <w:rPr>
          <w:rFonts w:ascii="Arial" w:hAnsi="Arial" w:cs="Arial"/>
        </w:rPr>
      </w:pPr>
      <w:r w:rsidRPr="003D11B2">
        <w:rPr>
          <w:rFonts w:ascii="Arial" w:hAnsi="Arial" w:cs="Arial"/>
        </w:rPr>
        <w:t>The only exception are BA occlusions where groin puncture must be achievable within 12 hours and for stuttering onset of BA occlusion, consideration may be given to extend this further on a case-by-case basis</w:t>
      </w:r>
    </w:p>
    <w:p w14:paraId="05713DC8" w14:textId="77777777" w:rsidR="00784DDA" w:rsidRPr="003D11B2" w:rsidRDefault="00784DDA" w:rsidP="00784DDA">
      <w:pPr>
        <w:pStyle w:val="ListParagraph"/>
        <w:numPr>
          <w:ilvl w:val="0"/>
          <w:numId w:val="3"/>
        </w:numPr>
        <w:spacing w:after="160" w:line="259" w:lineRule="auto"/>
        <w:rPr>
          <w:rFonts w:ascii="Arial" w:hAnsi="Arial" w:cs="Arial"/>
        </w:rPr>
      </w:pPr>
      <w:r w:rsidRPr="003D11B2">
        <w:rPr>
          <w:rFonts w:ascii="Arial" w:hAnsi="Arial" w:cs="Arial"/>
        </w:rPr>
        <w:t xml:space="preserve">All time estimates must </w:t>
      </w:r>
      <w:proofErr w:type="gramStart"/>
      <w:r w:rsidRPr="003D11B2">
        <w:rPr>
          <w:rFonts w:ascii="Arial" w:hAnsi="Arial" w:cs="Arial"/>
        </w:rPr>
        <w:t>take into account</w:t>
      </w:r>
      <w:proofErr w:type="gramEnd"/>
      <w:r w:rsidRPr="003D11B2">
        <w:rPr>
          <w:rFonts w:ascii="Arial" w:hAnsi="Arial" w:cs="Arial"/>
        </w:rPr>
        <w:t xml:space="preserve"> estimated transfer times (Appendix 1)</w:t>
      </w:r>
    </w:p>
    <w:p w14:paraId="645BCB04" w14:textId="77777777" w:rsidR="00784DDA" w:rsidRPr="003D11B2" w:rsidRDefault="00784DDA" w:rsidP="003D11B2">
      <w:pPr>
        <w:pStyle w:val="Heading2"/>
        <w:rPr>
          <w:rFonts w:ascii="Arial" w:hAnsi="Arial" w:cs="Arial"/>
        </w:rPr>
      </w:pPr>
      <w:r w:rsidRPr="003D11B2">
        <w:rPr>
          <w:rFonts w:ascii="Arial" w:hAnsi="Arial" w:cs="Arial"/>
        </w:rPr>
        <w:t>For sites with CTP</w:t>
      </w:r>
    </w:p>
    <w:p w14:paraId="30883C7C" w14:textId="77777777" w:rsidR="00784DDA" w:rsidRPr="003D11B2" w:rsidRDefault="00784DDA" w:rsidP="00784DDA">
      <w:pPr>
        <w:pStyle w:val="ListParagraph"/>
        <w:numPr>
          <w:ilvl w:val="0"/>
          <w:numId w:val="3"/>
        </w:numPr>
        <w:spacing w:after="160" w:line="259" w:lineRule="auto"/>
        <w:rPr>
          <w:rFonts w:ascii="Arial" w:hAnsi="Arial" w:cs="Arial"/>
        </w:rPr>
      </w:pPr>
      <w:r w:rsidRPr="003D11B2">
        <w:rPr>
          <w:rFonts w:ascii="Arial" w:hAnsi="Arial" w:cs="Arial"/>
        </w:rPr>
        <w:t>Core must be ≤ 70 ml and core to penumbra mismatch ≥ 1.8 with quantitative software</w:t>
      </w:r>
    </w:p>
    <w:p w14:paraId="75852754" w14:textId="77777777" w:rsidR="00784DDA" w:rsidRPr="003D11B2" w:rsidRDefault="00784DDA" w:rsidP="00784DDA">
      <w:pPr>
        <w:pStyle w:val="ListParagraph"/>
        <w:numPr>
          <w:ilvl w:val="0"/>
          <w:numId w:val="3"/>
        </w:numPr>
        <w:spacing w:after="160" w:line="259" w:lineRule="auto"/>
        <w:rPr>
          <w:rFonts w:ascii="Arial" w:hAnsi="Arial" w:cs="Arial"/>
        </w:rPr>
      </w:pPr>
      <w:r w:rsidRPr="003D11B2">
        <w:rPr>
          <w:rFonts w:ascii="Arial" w:hAnsi="Arial" w:cs="Arial"/>
        </w:rPr>
        <w:t>Or estimated core to penumbra mismatch ≥ 1:3 without quantitative software</w:t>
      </w:r>
    </w:p>
    <w:p w14:paraId="1042A9E5" w14:textId="0BCD162E" w:rsidR="00784DDA" w:rsidRPr="003D11B2" w:rsidRDefault="00784DDA" w:rsidP="6DD60278">
      <w:pPr>
        <w:pStyle w:val="ListParagraph"/>
        <w:numPr>
          <w:ilvl w:val="0"/>
          <w:numId w:val="3"/>
        </w:numPr>
        <w:spacing w:after="160" w:line="259" w:lineRule="auto"/>
        <w:rPr>
          <w:rFonts w:ascii="Arial" w:hAnsi="Arial" w:cs="Arial"/>
        </w:rPr>
      </w:pPr>
      <w:r w:rsidRPr="003D11B2">
        <w:rPr>
          <w:rFonts w:ascii="Arial" w:hAnsi="Arial" w:cs="Arial"/>
        </w:rPr>
        <w:t>Time</w:t>
      </w:r>
      <w:r w:rsidR="004A4CF7" w:rsidRPr="003D11B2">
        <w:rPr>
          <w:rFonts w:ascii="Arial" w:hAnsi="Arial" w:cs="Arial"/>
        </w:rPr>
        <w:t xml:space="preserve">, core volume, and patient </w:t>
      </w:r>
      <w:r w:rsidRPr="003D11B2">
        <w:rPr>
          <w:rFonts w:ascii="Arial" w:hAnsi="Arial" w:cs="Arial"/>
        </w:rPr>
        <w:t xml:space="preserve">age </w:t>
      </w:r>
      <w:r w:rsidR="004A4CF7" w:rsidRPr="003D11B2">
        <w:rPr>
          <w:rFonts w:ascii="Arial" w:hAnsi="Arial" w:cs="Arial"/>
        </w:rPr>
        <w:t xml:space="preserve">are important prognostic factors </w:t>
      </w:r>
      <w:r w:rsidR="00C853A2" w:rsidRPr="003D11B2">
        <w:rPr>
          <w:rFonts w:ascii="Arial" w:hAnsi="Arial" w:cs="Arial"/>
        </w:rPr>
        <w:t>and will be considered by the SCR centre team</w:t>
      </w:r>
    </w:p>
    <w:p w14:paraId="687C6AB7" w14:textId="77777777" w:rsidR="00784DDA" w:rsidRPr="003D11B2" w:rsidRDefault="00784DDA" w:rsidP="00784DDA">
      <w:pPr>
        <w:pStyle w:val="ListParagraph"/>
        <w:numPr>
          <w:ilvl w:val="0"/>
          <w:numId w:val="3"/>
        </w:numPr>
        <w:spacing w:after="160" w:line="259" w:lineRule="auto"/>
        <w:rPr>
          <w:rFonts w:ascii="Arial" w:hAnsi="Arial" w:cs="Arial"/>
        </w:rPr>
      </w:pPr>
      <w:r w:rsidRPr="003D11B2">
        <w:rPr>
          <w:rFonts w:ascii="Arial" w:hAnsi="Arial" w:cs="Arial"/>
        </w:rPr>
        <w:t>CTP should be used cautiously when excluding patients in the very early time window</w:t>
      </w:r>
    </w:p>
    <w:p w14:paraId="6EF58D9A" w14:textId="158E5FC6" w:rsidR="00784DDA" w:rsidRPr="003D11B2" w:rsidRDefault="00784DDA" w:rsidP="00B63421">
      <w:pPr>
        <w:spacing w:before="240"/>
        <w:rPr>
          <w:rFonts w:ascii="Arial" w:hAnsi="Arial" w:cs="Arial"/>
          <w:i/>
          <w:iCs/>
          <w:sz w:val="20"/>
          <w:szCs w:val="20"/>
        </w:rPr>
      </w:pPr>
      <w:r w:rsidRPr="003D11B2">
        <w:rPr>
          <w:rFonts w:ascii="Arial" w:hAnsi="Arial" w:cs="Arial"/>
          <w:i/>
          <w:iCs/>
          <w:sz w:val="20"/>
          <w:szCs w:val="20"/>
        </w:rPr>
        <w:t>NB: This is a guiding document only and all final referral decisions are at the discretion of the treating senior clinicians.  There will occasionally be exceptional circumstances that are not covered exhaustively above.  In addition, meeting referral criteria does not necessarily guarantee that the patient will be accepted for SCR, which will depend on additional imaging and other considerations and all final decisions are made in</w:t>
      </w:r>
      <w:r w:rsidR="007E68DA" w:rsidRPr="003D11B2">
        <w:rPr>
          <w:rFonts w:ascii="Arial" w:hAnsi="Arial" w:cs="Arial"/>
          <w:i/>
          <w:iCs/>
          <w:sz w:val="20"/>
          <w:szCs w:val="20"/>
        </w:rPr>
        <w:t xml:space="preserve"> </w:t>
      </w:r>
      <w:r w:rsidRPr="003D11B2">
        <w:rPr>
          <w:rFonts w:ascii="Arial" w:hAnsi="Arial" w:cs="Arial"/>
          <w:i/>
          <w:iCs/>
          <w:sz w:val="20"/>
          <w:szCs w:val="20"/>
        </w:rPr>
        <w:t>consultation with SCR centre team.</w:t>
      </w:r>
      <w:r w:rsidRPr="003D11B2">
        <w:rPr>
          <w:rFonts w:ascii="Arial" w:hAnsi="Arial" w:cs="Arial"/>
          <w:sz w:val="20"/>
          <w:szCs w:val="20"/>
        </w:rPr>
        <w:t xml:space="preserve"> </w:t>
      </w:r>
      <w:r w:rsidR="000635EE" w:rsidRPr="003D11B2">
        <w:rPr>
          <w:rFonts w:ascii="Arial" w:hAnsi="Arial" w:cs="Arial"/>
          <w:i/>
          <w:iCs/>
          <w:sz w:val="20"/>
          <w:szCs w:val="20"/>
        </w:rPr>
        <w:t>Furthermore</w:t>
      </w:r>
      <w:r w:rsidR="00B92B91" w:rsidRPr="003D11B2">
        <w:rPr>
          <w:rFonts w:ascii="Arial" w:hAnsi="Arial" w:cs="Arial"/>
          <w:i/>
          <w:iCs/>
          <w:sz w:val="20"/>
          <w:szCs w:val="20"/>
        </w:rPr>
        <w:t xml:space="preserve">, even if </w:t>
      </w:r>
      <w:r w:rsidR="000635EE" w:rsidRPr="003D11B2">
        <w:rPr>
          <w:rFonts w:ascii="Arial" w:hAnsi="Arial" w:cs="Arial"/>
          <w:i/>
          <w:iCs/>
          <w:sz w:val="20"/>
          <w:szCs w:val="20"/>
        </w:rPr>
        <w:t xml:space="preserve">a patient is </w:t>
      </w:r>
      <w:r w:rsidR="00B92B91" w:rsidRPr="003D11B2">
        <w:rPr>
          <w:rFonts w:ascii="Arial" w:hAnsi="Arial" w:cs="Arial"/>
          <w:i/>
          <w:iCs/>
          <w:sz w:val="20"/>
          <w:szCs w:val="20"/>
        </w:rPr>
        <w:t>accepted and transferred</w:t>
      </w:r>
      <w:r w:rsidR="000635EE" w:rsidRPr="003D11B2">
        <w:rPr>
          <w:rFonts w:ascii="Arial" w:hAnsi="Arial" w:cs="Arial"/>
          <w:i/>
          <w:iCs/>
          <w:sz w:val="20"/>
          <w:szCs w:val="20"/>
        </w:rPr>
        <w:t>,</w:t>
      </w:r>
      <w:r w:rsidR="00B92B91" w:rsidRPr="003D11B2">
        <w:rPr>
          <w:rFonts w:ascii="Arial" w:hAnsi="Arial" w:cs="Arial"/>
          <w:i/>
          <w:iCs/>
          <w:sz w:val="20"/>
          <w:szCs w:val="20"/>
        </w:rPr>
        <w:t xml:space="preserve"> SCR may not always eventuate due to a variety of factors.</w:t>
      </w:r>
      <w:r w:rsidR="00B92B91" w:rsidRPr="003D11B2">
        <w:rPr>
          <w:rFonts w:ascii="Arial" w:hAnsi="Arial" w:cs="Arial"/>
          <w:sz w:val="20"/>
          <w:szCs w:val="20"/>
        </w:rPr>
        <w:t xml:space="preserve"> </w:t>
      </w:r>
      <w:r w:rsidRPr="003D11B2">
        <w:rPr>
          <w:rFonts w:ascii="Arial" w:hAnsi="Arial" w:cs="Arial"/>
          <w:i/>
          <w:iCs/>
          <w:sz w:val="20"/>
          <w:szCs w:val="20"/>
        </w:rPr>
        <w:t xml:space="preserve">Patient </w:t>
      </w:r>
      <w:r w:rsidR="000635EE" w:rsidRPr="003D11B2">
        <w:rPr>
          <w:rFonts w:ascii="Arial" w:hAnsi="Arial" w:cs="Arial"/>
          <w:i/>
          <w:iCs/>
          <w:sz w:val="20"/>
          <w:szCs w:val="20"/>
        </w:rPr>
        <w:t>and wh</w:t>
      </w:r>
      <w:r w:rsidR="007E68DA" w:rsidRPr="003D11B2">
        <w:rPr>
          <w:rFonts w:ascii="Arial" w:hAnsi="Arial" w:cs="Arial"/>
          <w:i/>
          <w:iCs/>
          <w:sz w:val="20"/>
          <w:szCs w:val="20"/>
        </w:rPr>
        <w:t>ā</w:t>
      </w:r>
      <w:r w:rsidR="000635EE" w:rsidRPr="003D11B2">
        <w:rPr>
          <w:rFonts w:ascii="Arial" w:hAnsi="Arial" w:cs="Arial"/>
          <w:i/>
          <w:iCs/>
          <w:sz w:val="20"/>
          <w:szCs w:val="20"/>
        </w:rPr>
        <w:t xml:space="preserve">nau </w:t>
      </w:r>
      <w:r w:rsidRPr="003D11B2">
        <w:rPr>
          <w:rFonts w:ascii="Arial" w:hAnsi="Arial" w:cs="Arial"/>
          <w:i/>
          <w:iCs/>
          <w:sz w:val="20"/>
          <w:szCs w:val="20"/>
        </w:rPr>
        <w:t>expectations should be managed accordingly</w:t>
      </w:r>
      <w:r w:rsidR="007E68DA" w:rsidRPr="003D11B2">
        <w:rPr>
          <w:rFonts w:ascii="Arial" w:hAnsi="Arial" w:cs="Arial"/>
          <w:i/>
          <w:iCs/>
          <w:sz w:val="20"/>
          <w:szCs w:val="20"/>
        </w:rPr>
        <w:t xml:space="preserve"> through effective communication pre-</w:t>
      </w:r>
      <w:r w:rsidR="00F761CE" w:rsidRPr="003D11B2">
        <w:rPr>
          <w:rFonts w:ascii="Arial" w:hAnsi="Arial" w:cs="Arial"/>
          <w:i/>
          <w:iCs/>
          <w:sz w:val="20"/>
          <w:szCs w:val="20"/>
        </w:rPr>
        <w:t xml:space="preserve"> </w:t>
      </w:r>
      <w:r w:rsidR="007E68DA" w:rsidRPr="003D11B2">
        <w:rPr>
          <w:rFonts w:ascii="Arial" w:hAnsi="Arial" w:cs="Arial"/>
          <w:i/>
          <w:iCs/>
          <w:sz w:val="20"/>
          <w:szCs w:val="20"/>
        </w:rPr>
        <w:t xml:space="preserve">and post- SCR </w:t>
      </w:r>
      <w:r w:rsidR="00267CA3" w:rsidRPr="003D11B2">
        <w:rPr>
          <w:rFonts w:ascii="Arial" w:hAnsi="Arial" w:cs="Arial"/>
          <w:i/>
          <w:iCs/>
          <w:sz w:val="20"/>
          <w:szCs w:val="20"/>
        </w:rPr>
        <w:t xml:space="preserve">referral </w:t>
      </w:r>
      <w:r w:rsidR="007E68DA" w:rsidRPr="003D11B2">
        <w:rPr>
          <w:rFonts w:ascii="Arial" w:hAnsi="Arial" w:cs="Arial"/>
          <w:i/>
          <w:iCs/>
          <w:sz w:val="20"/>
          <w:szCs w:val="20"/>
        </w:rPr>
        <w:t xml:space="preserve">supplemented with culturally appropriate written materials. </w:t>
      </w:r>
      <w:r w:rsidRPr="003D11B2">
        <w:rPr>
          <w:rFonts w:ascii="Arial" w:hAnsi="Arial" w:cs="Arial"/>
          <w:i/>
          <w:iCs/>
          <w:sz w:val="20"/>
          <w:szCs w:val="20"/>
        </w:rPr>
        <w:t>If an SCR centre team does not accept a patient</w:t>
      </w:r>
      <w:r w:rsidR="000635EE" w:rsidRPr="003D11B2">
        <w:rPr>
          <w:rFonts w:ascii="Arial" w:hAnsi="Arial" w:cs="Arial"/>
          <w:i/>
          <w:iCs/>
          <w:sz w:val="20"/>
          <w:szCs w:val="20"/>
        </w:rPr>
        <w:t xml:space="preserve"> or SCR does not eventuate in a </w:t>
      </w:r>
      <w:r w:rsidR="007E68DA" w:rsidRPr="003D11B2">
        <w:rPr>
          <w:rFonts w:ascii="Arial" w:hAnsi="Arial" w:cs="Arial"/>
          <w:i/>
          <w:iCs/>
          <w:sz w:val="20"/>
          <w:szCs w:val="20"/>
        </w:rPr>
        <w:t>tr</w:t>
      </w:r>
      <w:r w:rsidR="000635EE" w:rsidRPr="003D11B2">
        <w:rPr>
          <w:rFonts w:ascii="Arial" w:hAnsi="Arial" w:cs="Arial"/>
          <w:i/>
          <w:iCs/>
          <w:sz w:val="20"/>
          <w:szCs w:val="20"/>
        </w:rPr>
        <w:t>ansferred patient</w:t>
      </w:r>
      <w:r w:rsidRPr="003D11B2">
        <w:rPr>
          <w:rFonts w:ascii="Arial" w:hAnsi="Arial" w:cs="Arial"/>
          <w:i/>
          <w:iCs/>
          <w:sz w:val="20"/>
          <w:szCs w:val="20"/>
        </w:rPr>
        <w:t xml:space="preserve">, a clear reason should be documented in the medical record and </w:t>
      </w:r>
      <w:proofErr w:type="spellStart"/>
      <w:r w:rsidRPr="003D11B2">
        <w:rPr>
          <w:rFonts w:ascii="Arial" w:hAnsi="Arial" w:cs="Arial"/>
          <w:i/>
          <w:iCs/>
          <w:sz w:val="20"/>
          <w:szCs w:val="20"/>
        </w:rPr>
        <w:t>R</w:t>
      </w:r>
      <w:r w:rsidR="008722B1" w:rsidRPr="003D11B2">
        <w:rPr>
          <w:rFonts w:ascii="Arial" w:hAnsi="Arial" w:cs="Arial"/>
          <w:i/>
          <w:iCs/>
          <w:sz w:val="20"/>
          <w:szCs w:val="20"/>
        </w:rPr>
        <w:t>EDCap</w:t>
      </w:r>
      <w:proofErr w:type="spellEnd"/>
      <w:r w:rsidRPr="003D11B2">
        <w:rPr>
          <w:rFonts w:ascii="Arial" w:hAnsi="Arial" w:cs="Arial"/>
          <w:i/>
          <w:iCs/>
          <w:sz w:val="20"/>
          <w:szCs w:val="20"/>
        </w:rPr>
        <w:t xml:space="preserve"> </w:t>
      </w:r>
      <w:r w:rsidR="000635EE" w:rsidRPr="003D11B2">
        <w:rPr>
          <w:rFonts w:ascii="Arial" w:hAnsi="Arial" w:cs="Arial"/>
          <w:i/>
          <w:iCs/>
          <w:sz w:val="20"/>
          <w:szCs w:val="20"/>
        </w:rPr>
        <w:t>National Stroke R</w:t>
      </w:r>
      <w:r w:rsidRPr="003D11B2">
        <w:rPr>
          <w:rFonts w:ascii="Arial" w:hAnsi="Arial" w:cs="Arial"/>
          <w:i/>
          <w:iCs/>
          <w:sz w:val="20"/>
          <w:szCs w:val="20"/>
        </w:rPr>
        <w:t>egister for audit purpo</w:t>
      </w:r>
      <w:r w:rsidR="4A6AE90F" w:rsidRPr="003D11B2">
        <w:rPr>
          <w:rFonts w:ascii="Arial" w:hAnsi="Arial" w:cs="Arial"/>
          <w:i/>
          <w:iCs/>
          <w:sz w:val="20"/>
          <w:szCs w:val="20"/>
        </w:rPr>
        <w:t>ses</w:t>
      </w:r>
    </w:p>
    <w:p w14:paraId="5D4646C7" w14:textId="77777777" w:rsidR="00784DDA" w:rsidRPr="003D11B2" w:rsidRDefault="00784DDA" w:rsidP="00784DDA">
      <w:pPr>
        <w:rPr>
          <w:rFonts w:ascii="Arial" w:hAnsi="Arial" w:cs="Arial"/>
          <w:i/>
          <w:iCs/>
          <w:sz w:val="18"/>
          <w:szCs w:val="18"/>
        </w:rPr>
      </w:pPr>
    </w:p>
    <w:p w14:paraId="101572B0" w14:textId="3B3B26A0" w:rsidR="003D11B2" w:rsidRDefault="00784DDA" w:rsidP="00784DDA">
      <w:pPr>
        <w:rPr>
          <w:rFonts w:ascii="Arial" w:hAnsi="Arial" w:cs="Arial"/>
        </w:rPr>
      </w:pPr>
      <w:r w:rsidRPr="003D11B2">
        <w:rPr>
          <w:rFonts w:ascii="Arial" w:eastAsiaTheme="majorEastAsia" w:hAnsi="Arial" w:cs="Arial"/>
          <w:color w:val="2F5496" w:themeColor="accent1" w:themeShade="BF"/>
          <w:sz w:val="32"/>
          <w:szCs w:val="32"/>
        </w:rPr>
        <w:lastRenderedPageBreak/>
        <w:t>Appendix 1:</w:t>
      </w:r>
      <w:r w:rsidRPr="003D11B2">
        <w:rPr>
          <w:rFonts w:ascii="Arial" w:hAnsi="Arial" w:cs="Arial"/>
        </w:rPr>
        <w:t xml:space="preserve"> </w:t>
      </w:r>
    </w:p>
    <w:p w14:paraId="03F2A1E5" w14:textId="73E5FF05" w:rsidR="00952ECC" w:rsidRDefault="00952ECC" w:rsidP="00952ECC">
      <w:pPr>
        <w:pStyle w:val="Heading2"/>
        <w:rPr>
          <w:rFonts w:ascii="Arial" w:hAnsi="Arial" w:cs="Arial"/>
        </w:rPr>
      </w:pPr>
      <w:r w:rsidRPr="003D11B2">
        <w:rPr>
          <w:rFonts w:ascii="Arial" w:hAnsi="Arial" w:cs="Arial"/>
        </w:rPr>
        <w:t>12-month</w:t>
      </w:r>
      <w:r w:rsidR="00620E3C" w:rsidRPr="003D11B2">
        <w:rPr>
          <w:rFonts w:ascii="Arial" w:hAnsi="Arial" w:cs="Arial"/>
        </w:rPr>
        <w:t xml:space="preserve"> </w:t>
      </w:r>
      <w:r w:rsidR="00784DDA" w:rsidRPr="003D11B2">
        <w:rPr>
          <w:rFonts w:ascii="Arial" w:hAnsi="Arial" w:cs="Arial"/>
        </w:rPr>
        <w:t xml:space="preserve">median (IQR, min, max) CT to groin time by DHB of </w:t>
      </w:r>
      <w:r w:rsidR="00B63DF7">
        <w:rPr>
          <w:rFonts w:ascii="Arial" w:hAnsi="Arial" w:cs="Arial"/>
        </w:rPr>
        <w:t>initial presentation</w:t>
      </w:r>
      <w:r w:rsidR="00620E3C" w:rsidRPr="003D11B2">
        <w:rPr>
          <w:rFonts w:ascii="Arial" w:hAnsi="Arial" w:cs="Arial"/>
        </w:rPr>
        <w:t xml:space="preserve"> (July 2020</w:t>
      </w:r>
      <w:r w:rsidR="00843DA4">
        <w:rPr>
          <w:rFonts w:ascii="Arial" w:hAnsi="Arial" w:cs="Arial"/>
        </w:rPr>
        <w:t xml:space="preserve"> </w:t>
      </w:r>
      <w:r w:rsidR="00620E3C" w:rsidRPr="003D11B2">
        <w:rPr>
          <w:rFonts w:ascii="Arial" w:hAnsi="Arial" w:cs="Arial"/>
        </w:rPr>
        <w:t>-</w:t>
      </w:r>
      <w:r w:rsidR="00843DA4">
        <w:rPr>
          <w:rFonts w:ascii="Arial" w:hAnsi="Arial" w:cs="Arial"/>
        </w:rPr>
        <w:t xml:space="preserve"> </w:t>
      </w:r>
      <w:r w:rsidR="00620E3C" w:rsidRPr="003D11B2">
        <w:rPr>
          <w:rFonts w:ascii="Arial" w:hAnsi="Arial" w:cs="Arial"/>
        </w:rPr>
        <w:t>June</w:t>
      </w:r>
      <w:r w:rsidR="00843DA4">
        <w:rPr>
          <w:rFonts w:ascii="Arial" w:hAnsi="Arial" w:cs="Arial"/>
        </w:rPr>
        <w:t xml:space="preserve"> </w:t>
      </w:r>
      <w:r w:rsidR="00620E3C" w:rsidRPr="003D11B2">
        <w:rPr>
          <w:rFonts w:ascii="Arial" w:hAnsi="Arial" w:cs="Arial"/>
        </w:rPr>
        <w:t>2021)</w:t>
      </w:r>
      <w:r w:rsidR="00784DDA" w:rsidRPr="003D11B2">
        <w:rPr>
          <w:rFonts w:ascii="Arial" w:hAnsi="Arial" w:cs="Arial"/>
        </w:rPr>
        <w:t xml:space="preserve">.  </w:t>
      </w:r>
    </w:p>
    <w:p w14:paraId="2ABA7281" w14:textId="77549C07" w:rsidR="00784DDA" w:rsidRPr="003D11B2" w:rsidRDefault="00784DDA" w:rsidP="00784DDA">
      <w:pPr>
        <w:rPr>
          <w:rFonts w:ascii="Arial" w:hAnsi="Arial" w:cs="Arial"/>
        </w:rPr>
      </w:pPr>
      <w:r w:rsidRPr="003D11B2">
        <w:rPr>
          <w:rFonts w:ascii="Arial" w:hAnsi="Arial" w:cs="Arial"/>
        </w:rPr>
        <w:t>NSR Programme recommends using 25</w:t>
      </w:r>
      <w:r w:rsidRPr="003D11B2">
        <w:rPr>
          <w:rFonts w:ascii="Arial" w:hAnsi="Arial" w:cs="Arial"/>
          <w:vertAlign w:val="superscript"/>
        </w:rPr>
        <w:t>th</w:t>
      </w:r>
      <w:r w:rsidRPr="003D11B2">
        <w:rPr>
          <w:rFonts w:ascii="Arial" w:hAnsi="Arial" w:cs="Arial"/>
        </w:rPr>
        <w:t xml:space="preserve"> percentile (Q25) as indicative values to estimate CT to groin time when deciding on suitability of patient transfers.</w:t>
      </w:r>
    </w:p>
    <w:tbl>
      <w:tblPr>
        <w:tblStyle w:val="PlainTable31"/>
        <w:tblW w:w="0" w:type="auto"/>
        <w:tblLook w:val="04A0" w:firstRow="1" w:lastRow="0" w:firstColumn="1" w:lastColumn="0" w:noHBand="0" w:noVBand="1"/>
      </w:tblPr>
      <w:tblGrid>
        <w:gridCol w:w="3366"/>
        <w:gridCol w:w="584"/>
        <w:gridCol w:w="1084"/>
        <w:gridCol w:w="632"/>
        <w:gridCol w:w="956"/>
        <w:gridCol w:w="1017"/>
        <w:gridCol w:w="620"/>
        <w:gridCol w:w="767"/>
      </w:tblGrid>
      <w:tr w:rsidR="00784DDA" w:rsidRPr="003D11B2" w14:paraId="4F6C4ED2" w14:textId="77777777" w:rsidTr="000635EE">
        <w:trPr>
          <w:cnfStyle w:val="100000000000" w:firstRow="1" w:lastRow="0" w:firstColumn="0" w:lastColumn="0" w:oddVBand="0" w:evenVBand="0" w:oddHBand="0" w:evenHBand="0" w:firstRowFirstColumn="0" w:firstRowLastColumn="0" w:lastRowFirstColumn="0" w:lastRowLastColumn="0"/>
          <w:trHeight w:val="569"/>
        </w:trPr>
        <w:tc>
          <w:tcPr>
            <w:cnfStyle w:val="001000000100" w:firstRow="0" w:lastRow="0" w:firstColumn="1" w:lastColumn="0" w:oddVBand="0" w:evenVBand="0" w:oddHBand="0" w:evenHBand="0" w:firstRowFirstColumn="1" w:firstRowLastColumn="0" w:lastRowFirstColumn="0" w:lastRowLastColumn="0"/>
            <w:tcW w:w="0" w:type="auto"/>
            <w:hideMark/>
          </w:tcPr>
          <w:p w14:paraId="4DC794A8" w14:textId="4BD8D1C0" w:rsidR="00784DDA" w:rsidRPr="003D11B2" w:rsidRDefault="00784DDA" w:rsidP="009769AE">
            <w:pPr>
              <w:rPr>
                <w:rFonts w:ascii="Arial" w:eastAsia="Times New Roman" w:hAnsi="Arial" w:cs="Arial"/>
                <w:color w:val="000000"/>
                <w:lang w:eastAsia="en-NZ"/>
              </w:rPr>
            </w:pPr>
            <w:r w:rsidRPr="003D11B2">
              <w:rPr>
                <w:rFonts w:ascii="Arial" w:eastAsia="Times New Roman" w:hAnsi="Arial" w:cs="Arial"/>
                <w:color w:val="000000"/>
                <w:lang w:eastAsia="en-NZ"/>
              </w:rPr>
              <w:t xml:space="preserve">DHB of </w:t>
            </w:r>
            <w:r w:rsidR="005A4E8B">
              <w:rPr>
                <w:rFonts w:ascii="Arial" w:eastAsia="Times New Roman" w:hAnsi="Arial" w:cs="Arial"/>
                <w:color w:val="000000"/>
                <w:lang w:eastAsia="en-NZ"/>
              </w:rPr>
              <w:t>INITIAL PRESENTATION</w:t>
            </w:r>
          </w:p>
        </w:tc>
        <w:tc>
          <w:tcPr>
            <w:tcW w:w="0" w:type="auto"/>
            <w:hideMark/>
          </w:tcPr>
          <w:p w14:paraId="7C9ECA0B" w14:textId="77777777" w:rsidR="00784DDA" w:rsidRPr="003D11B2" w:rsidRDefault="00784DDA" w:rsidP="009769A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n</w:t>
            </w:r>
          </w:p>
        </w:tc>
        <w:tc>
          <w:tcPr>
            <w:tcW w:w="0" w:type="auto"/>
            <w:hideMark/>
          </w:tcPr>
          <w:p w14:paraId="7DF1EAFD" w14:textId="34831613" w:rsidR="00784DDA" w:rsidRPr="003D11B2" w:rsidRDefault="00784DDA" w:rsidP="000635EE">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aps w:val="0"/>
                <w:color w:val="000000"/>
                <w:lang w:eastAsia="en-NZ"/>
              </w:rPr>
            </w:pPr>
            <w:r w:rsidRPr="003D11B2">
              <w:rPr>
                <w:rFonts w:ascii="Arial" w:eastAsia="Times New Roman" w:hAnsi="Arial" w:cs="Arial"/>
                <w:color w:val="000000"/>
                <w:lang w:eastAsia="en-NZ"/>
              </w:rPr>
              <w:t>Median</w:t>
            </w:r>
          </w:p>
          <w:p w14:paraId="72BA001A" w14:textId="50AECA57" w:rsidR="000635EE" w:rsidRPr="003D11B2" w:rsidRDefault="000635EE" w:rsidP="000635EE">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(Q50)</w:t>
            </w:r>
          </w:p>
        </w:tc>
        <w:tc>
          <w:tcPr>
            <w:tcW w:w="0" w:type="auto"/>
            <w:shd w:val="clear" w:color="auto" w:fill="D9E2F3" w:themeFill="accent1" w:themeFillTint="33"/>
            <w:hideMark/>
          </w:tcPr>
          <w:p w14:paraId="5C45C9DA" w14:textId="5AE87D82" w:rsidR="000635EE" w:rsidRPr="003D11B2" w:rsidRDefault="00784DDA" w:rsidP="000635EE">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aps w:val="0"/>
                <w:color w:val="000000"/>
                <w:lang w:eastAsia="en-NZ"/>
              </w:rPr>
            </w:pPr>
            <w:r w:rsidRPr="003D11B2">
              <w:rPr>
                <w:rFonts w:ascii="Arial" w:eastAsia="Times New Roman" w:hAnsi="Arial" w:cs="Arial"/>
                <w:color w:val="000000"/>
                <w:lang w:eastAsia="en-NZ"/>
              </w:rPr>
              <w:t>Q25</w:t>
            </w:r>
          </w:p>
          <w:p w14:paraId="64A2EC3D" w14:textId="34EBFC96" w:rsidR="000635EE" w:rsidRPr="003D11B2" w:rsidRDefault="000635EE" w:rsidP="000635EE">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aps w:val="0"/>
                <w:color w:val="000000"/>
                <w:lang w:eastAsia="en-NZ"/>
              </w:rPr>
            </w:pPr>
            <w:r w:rsidRPr="003D11B2">
              <w:rPr>
                <w:rFonts w:ascii="Arial" w:eastAsia="Times New Roman" w:hAnsi="Arial" w:cs="Arial"/>
                <w:color w:val="000000"/>
                <w:lang w:eastAsia="en-NZ"/>
              </w:rPr>
              <w:t>min</w:t>
            </w:r>
          </w:p>
        </w:tc>
        <w:tc>
          <w:tcPr>
            <w:tcW w:w="956" w:type="dxa"/>
            <w:hideMark/>
          </w:tcPr>
          <w:p w14:paraId="26A44858" w14:textId="11542BD5" w:rsidR="000635EE" w:rsidRPr="003D11B2" w:rsidRDefault="00784DDA" w:rsidP="000635EE">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aps w:val="0"/>
                <w:color w:val="000000"/>
                <w:lang w:eastAsia="en-NZ"/>
              </w:rPr>
            </w:pPr>
            <w:r w:rsidRPr="003D11B2">
              <w:rPr>
                <w:rFonts w:ascii="Arial" w:eastAsia="Times New Roman" w:hAnsi="Arial" w:cs="Arial"/>
                <w:color w:val="000000"/>
                <w:lang w:eastAsia="en-NZ"/>
              </w:rPr>
              <w:t>Q25</w:t>
            </w:r>
          </w:p>
          <w:p w14:paraId="594DD7AB" w14:textId="652257C7" w:rsidR="00784DDA" w:rsidRPr="003D11B2" w:rsidRDefault="000635EE" w:rsidP="000635EE">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H</w:t>
            </w:r>
            <w:r w:rsidR="00784DDA" w:rsidRPr="003D11B2">
              <w:rPr>
                <w:rFonts w:ascii="Arial" w:eastAsia="Times New Roman" w:hAnsi="Arial" w:cs="Arial"/>
                <w:color w:val="000000"/>
                <w:lang w:eastAsia="en-NZ"/>
              </w:rPr>
              <w:t>rs</w:t>
            </w:r>
          </w:p>
        </w:tc>
        <w:tc>
          <w:tcPr>
            <w:tcW w:w="1017" w:type="dxa"/>
            <w:hideMark/>
          </w:tcPr>
          <w:p w14:paraId="1A57B076" w14:textId="77777777" w:rsidR="00784DDA" w:rsidRPr="003D11B2" w:rsidRDefault="00784DDA" w:rsidP="009769A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Q75</w:t>
            </w:r>
          </w:p>
        </w:tc>
        <w:tc>
          <w:tcPr>
            <w:tcW w:w="0" w:type="auto"/>
            <w:hideMark/>
          </w:tcPr>
          <w:p w14:paraId="31196394" w14:textId="77777777" w:rsidR="00784DDA" w:rsidRPr="003D11B2" w:rsidRDefault="00784DDA" w:rsidP="009769A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min</w:t>
            </w:r>
          </w:p>
        </w:tc>
        <w:tc>
          <w:tcPr>
            <w:tcW w:w="0" w:type="auto"/>
            <w:hideMark/>
          </w:tcPr>
          <w:p w14:paraId="360DEDE6" w14:textId="77777777" w:rsidR="00784DDA" w:rsidRPr="003D11B2" w:rsidRDefault="00784DDA" w:rsidP="009769A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max</w:t>
            </w:r>
          </w:p>
        </w:tc>
      </w:tr>
      <w:tr w:rsidR="000635EE" w:rsidRPr="003D11B2" w14:paraId="245B510B" w14:textId="77777777" w:rsidTr="006B478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0" w:type="auto"/>
            <w:hideMark/>
          </w:tcPr>
          <w:p w14:paraId="0918A5F5"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Northland</w:t>
            </w:r>
          </w:p>
        </w:tc>
        <w:tc>
          <w:tcPr>
            <w:tcW w:w="0" w:type="auto"/>
            <w:hideMark/>
          </w:tcPr>
          <w:p w14:paraId="11A36F6A" w14:textId="483013C5"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16</w:t>
            </w:r>
          </w:p>
        </w:tc>
        <w:tc>
          <w:tcPr>
            <w:tcW w:w="0" w:type="auto"/>
            <w:hideMark/>
          </w:tcPr>
          <w:p w14:paraId="45F5ECF4" w14:textId="3B237484"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195</w:t>
            </w:r>
          </w:p>
        </w:tc>
        <w:tc>
          <w:tcPr>
            <w:tcW w:w="0" w:type="auto"/>
            <w:shd w:val="clear" w:color="auto" w:fill="D9E2F3" w:themeFill="accent1" w:themeFillTint="33"/>
            <w:hideMark/>
          </w:tcPr>
          <w:p w14:paraId="0690365E" w14:textId="0183544B"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177</w:t>
            </w:r>
          </w:p>
        </w:tc>
        <w:tc>
          <w:tcPr>
            <w:tcW w:w="956" w:type="dxa"/>
            <w:hideMark/>
          </w:tcPr>
          <w:p w14:paraId="658272F0" w14:textId="61FBEAA4"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w:t>
            </w:r>
            <w:r w:rsidR="00784DDA" w:rsidRPr="003D11B2">
              <w:rPr>
                <w:rFonts w:ascii="Arial" w:eastAsia="Times New Roman" w:hAnsi="Arial" w:cs="Arial"/>
                <w:color w:val="000000"/>
                <w:lang w:eastAsia="en-NZ"/>
              </w:rPr>
              <w:t>.</w:t>
            </w:r>
            <w:r w:rsidRPr="003D11B2">
              <w:rPr>
                <w:rFonts w:ascii="Arial" w:eastAsia="Times New Roman" w:hAnsi="Arial" w:cs="Arial"/>
                <w:color w:val="000000"/>
                <w:lang w:eastAsia="en-NZ"/>
              </w:rPr>
              <w:t>95</w:t>
            </w:r>
          </w:p>
        </w:tc>
        <w:tc>
          <w:tcPr>
            <w:tcW w:w="1017" w:type="dxa"/>
            <w:hideMark/>
          </w:tcPr>
          <w:p w14:paraId="58804344" w14:textId="2462DC40"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252</w:t>
            </w:r>
          </w:p>
        </w:tc>
        <w:tc>
          <w:tcPr>
            <w:tcW w:w="0" w:type="auto"/>
            <w:hideMark/>
          </w:tcPr>
          <w:p w14:paraId="4BA17EFD" w14:textId="36A4B6BF"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117</w:t>
            </w:r>
          </w:p>
        </w:tc>
        <w:tc>
          <w:tcPr>
            <w:tcW w:w="0" w:type="auto"/>
            <w:hideMark/>
          </w:tcPr>
          <w:p w14:paraId="0D919059" w14:textId="3064A809"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393</w:t>
            </w:r>
          </w:p>
        </w:tc>
      </w:tr>
      <w:tr w:rsidR="00784DDA" w:rsidRPr="003D11B2" w14:paraId="5F22E608"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E40DB00"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Waitemata</w:t>
            </w:r>
          </w:p>
        </w:tc>
        <w:tc>
          <w:tcPr>
            <w:tcW w:w="0" w:type="auto"/>
            <w:hideMark/>
          </w:tcPr>
          <w:p w14:paraId="791E7E31" w14:textId="7AA70F50" w:rsidR="00784DDA" w:rsidRPr="003D11B2" w:rsidRDefault="00C84DAB"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17</w:t>
            </w:r>
          </w:p>
        </w:tc>
        <w:tc>
          <w:tcPr>
            <w:tcW w:w="0" w:type="auto"/>
            <w:hideMark/>
          </w:tcPr>
          <w:p w14:paraId="21DC0CEC" w14:textId="7D249271" w:rsidR="00784DDA" w:rsidRPr="003D11B2" w:rsidRDefault="00C84DAB"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122</w:t>
            </w:r>
          </w:p>
        </w:tc>
        <w:tc>
          <w:tcPr>
            <w:tcW w:w="0" w:type="auto"/>
            <w:shd w:val="clear" w:color="auto" w:fill="D9E2F3" w:themeFill="accent1" w:themeFillTint="33"/>
            <w:hideMark/>
          </w:tcPr>
          <w:p w14:paraId="11E87B99" w14:textId="2483EDFE" w:rsidR="00784DDA" w:rsidRPr="003D11B2" w:rsidRDefault="00C84DAB"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116</w:t>
            </w:r>
          </w:p>
        </w:tc>
        <w:tc>
          <w:tcPr>
            <w:tcW w:w="956" w:type="dxa"/>
            <w:hideMark/>
          </w:tcPr>
          <w:p w14:paraId="1EDA6976" w14:textId="39B7C8CA" w:rsidR="00784DDA" w:rsidRPr="003D11B2" w:rsidRDefault="00C84DAB"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1.93</w:t>
            </w:r>
          </w:p>
        </w:tc>
        <w:tc>
          <w:tcPr>
            <w:tcW w:w="1017" w:type="dxa"/>
            <w:hideMark/>
          </w:tcPr>
          <w:p w14:paraId="3C0C9548" w14:textId="150E91C3" w:rsidR="00784DDA" w:rsidRPr="003D11B2" w:rsidRDefault="00C84DAB"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148</w:t>
            </w:r>
          </w:p>
        </w:tc>
        <w:tc>
          <w:tcPr>
            <w:tcW w:w="0" w:type="auto"/>
            <w:hideMark/>
          </w:tcPr>
          <w:p w14:paraId="49C7B496" w14:textId="14D8D79A" w:rsidR="00784DDA" w:rsidRPr="003D11B2" w:rsidRDefault="00C84DAB"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84</w:t>
            </w:r>
          </w:p>
        </w:tc>
        <w:tc>
          <w:tcPr>
            <w:tcW w:w="0" w:type="auto"/>
            <w:hideMark/>
          </w:tcPr>
          <w:p w14:paraId="0D67B8A2" w14:textId="7A240076" w:rsidR="00784DDA" w:rsidRPr="003D11B2" w:rsidRDefault="00C84DAB"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171</w:t>
            </w:r>
          </w:p>
        </w:tc>
      </w:tr>
      <w:tr w:rsidR="000635EE" w:rsidRPr="003D11B2" w14:paraId="25B848EE" w14:textId="77777777" w:rsidTr="000635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8DFB02C"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Auckland</w:t>
            </w:r>
          </w:p>
        </w:tc>
        <w:tc>
          <w:tcPr>
            <w:tcW w:w="0" w:type="auto"/>
            <w:hideMark/>
          </w:tcPr>
          <w:p w14:paraId="18767E13" w14:textId="5CF455BF"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1</w:t>
            </w:r>
            <w:r w:rsidR="00784DDA" w:rsidRPr="003D11B2">
              <w:rPr>
                <w:rFonts w:ascii="Arial" w:eastAsia="Times New Roman" w:hAnsi="Arial" w:cs="Arial"/>
                <w:color w:val="002639"/>
                <w:lang w:eastAsia="en-NZ"/>
              </w:rPr>
              <w:t>3</w:t>
            </w:r>
            <w:r w:rsidR="003F4134" w:rsidRPr="003D11B2">
              <w:rPr>
                <w:rFonts w:ascii="Arial" w:eastAsia="Times New Roman" w:hAnsi="Arial" w:cs="Arial"/>
                <w:color w:val="002639"/>
                <w:lang w:eastAsia="en-NZ"/>
              </w:rPr>
              <w:t>6</w:t>
            </w:r>
          </w:p>
        </w:tc>
        <w:tc>
          <w:tcPr>
            <w:tcW w:w="0" w:type="auto"/>
            <w:hideMark/>
          </w:tcPr>
          <w:p w14:paraId="14CF5C92" w14:textId="607FD9F5"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89</w:t>
            </w:r>
          </w:p>
        </w:tc>
        <w:tc>
          <w:tcPr>
            <w:tcW w:w="0" w:type="auto"/>
            <w:shd w:val="clear" w:color="auto" w:fill="D9E2F3" w:themeFill="accent1" w:themeFillTint="33"/>
            <w:hideMark/>
          </w:tcPr>
          <w:p w14:paraId="721F1352" w14:textId="6A812FC5"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66</w:t>
            </w:r>
          </w:p>
        </w:tc>
        <w:tc>
          <w:tcPr>
            <w:tcW w:w="956" w:type="dxa"/>
            <w:hideMark/>
          </w:tcPr>
          <w:p w14:paraId="2D35192A" w14:textId="5DB94E2C" w:rsidR="00784DDA" w:rsidRPr="003D11B2" w:rsidRDefault="00784DDA"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1.1</w:t>
            </w:r>
            <w:r w:rsidR="00620E3C" w:rsidRPr="003D11B2">
              <w:rPr>
                <w:rFonts w:ascii="Arial" w:eastAsia="Times New Roman" w:hAnsi="Arial" w:cs="Arial"/>
                <w:color w:val="000000"/>
                <w:lang w:eastAsia="en-NZ"/>
              </w:rPr>
              <w:t>0</w:t>
            </w:r>
          </w:p>
        </w:tc>
        <w:tc>
          <w:tcPr>
            <w:tcW w:w="1017" w:type="dxa"/>
            <w:hideMark/>
          </w:tcPr>
          <w:p w14:paraId="69133B25" w14:textId="54179E61"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118</w:t>
            </w:r>
          </w:p>
        </w:tc>
        <w:tc>
          <w:tcPr>
            <w:tcW w:w="0" w:type="auto"/>
            <w:hideMark/>
          </w:tcPr>
          <w:p w14:paraId="21D0E0F2" w14:textId="160BB19B"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27</w:t>
            </w:r>
          </w:p>
        </w:tc>
        <w:tc>
          <w:tcPr>
            <w:tcW w:w="0" w:type="auto"/>
            <w:hideMark/>
          </w:tcPr>
          <w:p w14:paraId="655269F8" w14:textId="482B5A35"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920</w:t>
            </w:r>
          </w:p>
        </w:tc>
      </w:tr>
      <w:tr w:rsidR="00784DDA" w:rsidRPr="003D11B2" w14:paraId="6D7E283E"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9D29347"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Counties Manukau</w:t>
            </w:r>
          </w:p>
        </w:tc>
        <w:tc>
          <w:tcPr>
            <w:tcW w:w="0" w:type="auto"/>
            <w:hideMark/>
          </w:tcPr>
          <w:p w14:paraId="0E68C2D8" w14:textId="6EEFE3FC"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2</w:t>
            </w:r>
            <w:r w:rsidR="003F4134" w:rsidRPr="003D11B2">
              <w:rPr>
                <w:rFonts w:ascii="Arial" w:eastAsia="Times New Roman" w:hAnsi="Arial" w:cs="Arial"/>
                <w:color w:val="002639"/>
                <w:lang w:eastAsia="en-NZ"/>
              </w:rPr>
              <w:t>3</w:t>
            </w:r>
          </w:p>
        </w:tc>
        <w:tc>
          <w:tcPr>
            <w:tcW w:w="0" w:type="auto"/>
            <w:hideMark/>
          </w:tcPr>
          <w:p w14:paraId="640786D9" w14:textId="54457035"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145</w:t>
            </w:r>
          </w:p>
        </w:tc>
        <w:tc>
          <w:tcPr>
            <w:tcW w:w="0" w:type="auto"/>
            <w:shd w:val="clear" w:color="auto" w:fill="D9E2F3" w:themeFill="accent1" w:themeFillTint="33"/>
            <w:hideMark/>
          </w:tcPr>
          <w:p w14:paraId="0FCD1D62" w14:textId="66167288"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111</w:t>
            </w:r>
          </w:p>
        </w:tc>
        <w:tc>
          <w:tcPr>
            <w:tcW w:w="956" w:type="dxa"/>
            <w:hideMark/>
          </w:tcPr>
          <w:p w14:paraId="4AECF751" w14:textId="647F008C"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w:t>
            </w:r>
            <w:r w:rsidR="00957CC6" w:rsidRPr="003D11B2">
              <w:rPr>
                <w:rFonts w:ascii="Arial" w:eastAsia="Times New Roman" w:hAnsi="Arial" w:cs="Arial"/>
                <w:color w:val="000000"/>
                <w:lang w:eastAsia="en-NZ"/>
              </w:rPr>
              <w:t>85</w:t>
            </w:r>
          </w:p>
        </w:tc>
        <w:tc>
          <w:tcPr>
            <w:tcW w:w="1017" w:type="dxa"/>
            <w:hideMark/>
          </w:tcPr>
          <w:p w14:paraId="7FD8B989" w14:textId="30F36B83"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156</w:t>
            </w:r>
          </w:p>
        </w:tc>
        <w:tc>
          <w:tcPr>
            <w:tcW w:w="0" w:type="auto"/>
            <w:hideMark/>
          </w:tcPr>
          <w:p w14:paraId="3852B82D" w14:textId="3A6822C2"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97</w:t>
            </w:r>
          </w:p>
        </w:tc>
        <w:tc>
          <w:tcPr>
            <w:tcW w:w="0" w:type="auto"/>
            <w:hideMark/>
          </w:tcPr>
          <w:p w14:paraId="5870767B" w14:textId="19BB7F1D"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1220</w:t>
            </w:r>
          </w:p>
        </w:tc>
      </w:tr>
      <w:tr w:rsidR="000635EE" w:rsidRPr="003D11B2" w14:paraId="7840605E" w14:textId="77777777" w:rsidTr="000635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BDAD161"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Waikato</w:t>
            </w:r>
          </w:p>
        </w:tc>
        <w:tc>
          <w:tcPr>
            <w:tcW w:w="0" w:type="auto"/>
            <w:hideMark/>
          </w:tcPr>
          <w:p w14:paraId="349F3DA5" w14:textId="119EB5C3"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29</w:t>
            </w:r>
          </w:p>
        </w:tc>
        <w:tc>
          <w:tcPr>
            <w:tcW w:w="0" w:type="auto"/>
            <w:hideMark/>
          </w:tcPr>
          <w:p w14:paraId="5C0CC0C0" w14:textId="1BF726FF"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209</w:t>
            </w:r>
          </w:p>
        </w:tc>
        <w:tc>
          <w:tcPr>
            <w:tcW w:w="0" w:type="auto"/>
            <w:shd w:val="clear" w:color="auto" w:fill="D9E2F3" w:themeFill="accent1" w:themeFillTint="33"/>
            <w:hideMark/>
          </w:tcPr>
          <w:p w14:paraId="704B6F79" w14:textId="3C99D77C"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186</w:t>
            </w:r>
          </w:p>
        </w:tc>
        <w:tc>
          <w:tcPr>
            <w:tcW w:w="956" w:type="dxa"/>
            <w:hideMark/>
          </w:tcPr>
          <w:p w14:paraId="19005A1D" w14:textId="5DEAA24C"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3.10</w:t>
            </w:r>
          </w:p>
        </w:tc>
        <w:tc>
          <w:tcPr>
            <w:tcW w:w="1017" w:type="dxa"/>
            <w:hideMark/>
          </w:tcPr>
          <w:p w14:paraId="3D8DC667" w14:textId="0F552D15"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251</w:t>
            </w:r>
          </w:p>
        </w:tc>
        <w:tc>
          <w:tcPr>
            <w:tcW w:w="0" w:type="auto"/>
            <w:hideMark/>
          </w:tcPr>
          <w:p w14:paraId="03013C48" w14:textId="6718CE2A"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151</w:t>
            </w:r>
          </w:p>
        </w:tc>
        <w:tc>
          <w:tcPr>
            <w:tcW w:w="0" w:type="auto"/>
            <w:hideMark/>
          </w:tcPr>
          <w:p w14:paraId="617247FB" w14:textId="5938E376"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1960</w:t>
            </w:r>
          </w:p>
        </w:tc>
      </w:tr>
      <w:tr w:rsidR="00784DDA" w:rsidRPr="003D11B2" w14:paraId="45B58C00"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8BDF47A"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Lakes</w:t>
            </w:r>
          </w:p>
        </w:tc>
        <w:tc>
          <w:tcPr>
            <w:tcW w:w="0" w:type="auto"/>
            <w:hideMark/>
          </w:tcPr>
          <w:p w14:paraId="0A58CFC1" w14:textId="6A7F3418"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6</w:t>
            </w:r>
          </w:p>
        </w:tc>
        <w:tc>
          <w:tcPr>
            <w:tcW w:w="0" w:type="auto"/>
            <w:hideMark/>
          </w:tcPr>
          <w:p w14:paraId="0C26D404" w14:textId="56E6F22E"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223</w:t>
            </w:r>
          </w:p>
        </w:tc>
        <w:tc>
          <w:tcPr>
            <w:tcW w:w="0" w:type="auto"/>
            <w:shd w:val="clear" w:color="auto" w:fill="D9E2F3" w:themeFill="accent1" w:themeFillTint="33"/>
            <w:hideMark/>
          </w:tcPr>
          <w:p w14:paraId="48A05A12" w14:textId="263316A7"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216</w:t>
            </w:r>
          </w:p>
        </w:tc>
        <w:tc>
          <w:tcPr>
            <w:tcW w:w="956" w:type="dxa"/>
            <w:hideMark/>
          </w:tcPr>
          <w:p w14:paraId="4AAC3C5B" w14:textId="15EDC6A7" w:rsidR="00784DDA"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3.60</w:t>
            </w:r>
          </w:p>
        </w:tc>
        <w:tc>
          <w:tcPr>
            <w:tcW w:w="1017" w:type="dxa"/>
            <w:hideMark/>
          </w:tcPr>
          <w:p w14:paraId="4C944467" w14:textId="60562267"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250</w:t>
            </w:r>
          </w:p>
        </w:tc>
        <w:tc>
          <w:tcPr>
            <w:tcW w:w="0" w:type="auto"/>
            <w:hideMark/>
          </w:tcPr>
          <w:p w14:paraId="6F10F8FC" w14:textId="4A80F722"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211</w:t>
            </w:r>
          </w:p>
        </w:tc>
        <w:tc>
          <w:tcPr>
            <w:tcW w:w="0" w:type="auto"/>
            <w:hideMark/>
          </w:tcPr>
          <w:p w14:paraId="792CC604" w14:textId="0DDF87A0"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309</w:t>
            </w:r>
          </w:p>
        </w:tc>
      </w:tr>
      <w:tr w:rsidR="000635EE" w:rsidRPr="003D11B2" w14:paraId="34C25328" w14:textId="77777777" w:rsidTr="000635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0C8C247"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Bay of Plenty</w:t>
            </w:r>
          </w:p>
        </w:tc>
        <w:tc>
          <w:tcPr>
            <w:tcW w:w="0" w:type="auto"/>
            <w:hideMark/>
          </w:tcPr>
          <w:p w14:paraId="10D1F550" w14:textId="38CE170A"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17</w:t>
            </w:r>
          </w:p>
        </w:tc>
        <w:tc>
          <w:tcPr>
            <w:tcW w:w="0" w:type="auto"/>
            <w:hideMark/>
          </w:tcPr>
          <w:p w14:paraId="61BCB788" w14:textId="3794FB7F"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248</w:t>
            </w:r>
          </w:p>
        </w:tc>
        <w:tc>
          <w:tcPr>
            <w:tcW w:w="0" w:type="auto"/>
            <w:shd w:val="clear" w:color="auto" w:fill="D9E2F3" w:themeFill="accent1" w:themeFillTint="33"/>
            <w:hideMark/>
          </w:tcPr>
          <w:p w14:paraId="1FD9C276" w14:textId="32286209" w:rsidR="00784DDA" w:rsidRPr="003D11B2" w:rsidRDefault="00C84DAB"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w:t>
            </w:r>
            <w:r w:rsidR="00957CC6" w:rsidRPr="003D11B2">
              <w:rPr>
                <w:rFonts w:ascii="Arial" w:eastAsia="Times New Roman" w:hAnsi="Arial" w:cs="Arial"/>
                <w:color w:val="000000"/>
                <w:lang w:eastAsia="en-NZ"/>
              </w:rPr>
              <w:t>25</w:t>
            </w:r>
          </w:p>
        </w:tc>
        <w:tc>
          <w:tcPr>
            <w:tcW w:w="956" w:type="dxa"/>
            <w:hideMark/>
          </w:tcPr>
          <w:p w14:paraId="0005EB7C" w14:textId="2F3108A5"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3.75</w:t>
            </w:r>
          </w:p>
        </w:tc>
        <w:tc>
          <w:tcPr>
            <w:tcW w:w="1017" w:type="dxa"/>
            <w:hideMark/>
          </w:tcPr>
          <w:p w14:paraId="7E279383" w14:textId="313F03F3"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295</w:t>
            </w:r>
          </w:p>
        </w:tc>
        <w:tc>
          <w:tcPr>
            <w:tcW w:w="0" w:type="auto"/>
            <w:hideMark/>
          </w:tcPr>
          <w:p w14:paraId="4F5313E2" w14:textId="54DACB76"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165</w:t>
            </w:r>
          </w:p>
        </w:tc>
        <w:tc>
          <w:tcPr>
            <w:tcW w:w="0" w:type="auto"/>
            <w:hideMark/>
          </w:tcPr>
          <w:p w14:paraId="412EA024" w14:textId="05FEE0DE"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416</w:t>
            </w:r>
          </w:p>
        </w:tc>
      </w:tr>
      <w:tr w:rsidR="00784DDA" w:rsidRPr="003D11B2" w14:paraId="00307D86"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DFCE359" w14:textId="1ED9073B" w:rsidR="00784DDA" w:rsidRPr="003D11B2" w:rsidRDefault="00784DDA" w:rsidP="006B4780">
            <w:pPr>
              <w:spacing w:after="0"/>
              <w:jc w:val="center"/>
              <w:rPr>
                <w:rFonts w:ascii="Arial" w:eastAsia="Times New Roman" w:hAnsi="Arial" w:cs="Arial"/>
                <w:color w:val="002639"/>
                <w:vertAlign w:val="superscript"/>
                <w:lang w:eastAsia="en-NZ"/>
              </w:rPr>
            </w:pPr>
            <w:r w:rsidRPr="003D11B2">
              <w:rPr>
                <w:rFonts w:ascii="Arial" w:eastAsia="Times New Roman" w:hAnsi="Arial" w:cs="Arial"/>
                <w:color w:val="002639"/>
                <w:lang w:eastAsia="en-NZ"/>
              </w:rPr>
              <w:t>Tairawhiti</w:t>
            </w:r>
            <w:r w:rsidR="00620E3C" w:rsidRPr="003D11B2">
              <w:rPr>
                <w:rFonts w:ascii="Arial" w:eastAsia="Times New Roman" w:hAnsi="Arial" w:cs="Arial"/>
                <w:color w:val="002639"/>
                <w:vertAlign w:val="superscript"/>
                <w:lang w:eastAsia="en-NZ"/>
              </w:rPr>
              <w:t>1</w:t>
            </w:r>
          </w:p>
        </w:tc>
        <w:tc>
          <w:tcPr>
            <w:tcW w:w="0" w:type="auto"/>
            <w:hideMark/>
          </w:tcPr>
          <w:p w14:paraId="09AAA18E" w14:textId="0E872FA7"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2</w:t>
            </w:r>
          </w:p>
        </w:tc>
        <w:tc>
          <w:tcPr>
            <w:tcW w:w="0" w:type="auto"/>
            <w:hideMark/>
          </w:tcPr>
          <w:p w14:paraId="72047E5A" w14:textId="4A61D2B7" w:rsidR="00784DDA" w:rsidRPr="003D11B2" w:rsidRDefault="00620E3C"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305</w:t>
            </w:r>
          </w:p>
        </w:tc>
        <w:tc>
          <w:tcPr>
            <w:tcW w:w="0" w:type="auto"/>
            <w:shd w:val="clear" w:color="auto" w:fill="D9E2F3" w:themeFill="accent1" w:themeFillTint="33"/>
            <w:hideMark/>
          </w:tcPr>
          <w:p w14:paraId="3170449F" w14:textId="4246A963" w:rsidR="00784DDA" w:rsidRPr="003D11B2" w:rsidRDefault="00620E3C"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D11B2">
              <w:rPr>
                <w:rFonts w:ascii="Arial" w:eastAsia="Times New Roman" w:hAnsi="Arial" w:cs="Arial"/>
                <w:lang w:eastAsia="en-NZ"/>
              </w:rPr>
              <w:t>287</w:t>
            </w:r>
          </w:p>
        </w:tc>
        <w:tc>
          <w:tcPr>
            <w:tcW w:w="956" w:type="dxa"/>
            <w:hideMark/>
          </w:tcPr>
          <w:p w14:paraId="3B056067" w14:textId="2937188C" w:rsidR="00784DDA"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D11B2">
              <w:rPr>
                <w:rFonts w:ascii="Arial" w:eastAsia="Times New Roman" w:hAnsi="Arial" w:cs="Arial"/>
                <w:lang w:eastAsia="en-NZ"/>
              </w:rPr>
              <w:t>4.82</w:t>
            </w:r>
          </w:p>
        </w:tc>
        <w:tc>
          <w:tcPr>
            <w:tcW w:w="1017" w:type="dxa"/>
            <w:hideMark/>
          </w:tcPr>
          <w:p w14:paraId="585024AF" w14:textId="61293671" w:rsidR="00784DDA" w:rsidRPr="003D11B2" w:rsidRDefault="00620E3C"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D11B2">
              <w:rPr>
                <w:rFonts w:ascii="Arial" w:eastAsia="Times New Roman" w:hAnsi="Arial" w:cs="Arial"/>
                <w:lang w:eastAsia="en-NZ"/>
              </w:rPr>
              <w:t>324</w:t>
            </w:r>
          </w:p>
        </w:tc>
        <w:tc>
          <w:tcPr>
            <w:tcW w:w="0" w:type="auto"/>
            <w:hideMark/>
          </w:tcPr>
          <w:p w14:paraId="159C428A" w14:textId="02838C4E" w:rsidR="00784DDA" w:rsidRPr="003D11B2" w:rsidRDefault="00620E3C"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D11B2">
              <w:rPr>
                <w:rFonts w:ascii="Arial" w:eastAsia="Times New Roman" w:hAnsi="Arial" w:cs="Arial"/>
                <w:lang w:eastAsia="en-NZ"/>
              </w:rPr>
              <w:t>270</w:t>
            </w:r>
          </w:p>
        </w:tc>
        <w:tc>
          <w:tcPr>
            <w:tcW w:w="0" w:type="auto"/>
            <w:hideMark/>
          </w:tcPr>
          <w:p w14:paraId="26B1705E" w14:textId="681975D2" w:rsidR="00784DDA" w:rsidRPr="003D11B2" w:rsidRDefault="00620E3C"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D11B2">
              <w:rPr>
                <w:rFonts w:ascii="Arial" w:eastAsia="Times New Roman" w:hAnsi="Arial" w:cs="Arial"/>
                <w:lang w:eastAsia="en-NZ"/>
              </w:rPr>
              <w:t>341</w:t>
            </w:r>
          </w:p>
        </w:tc>
      </w:tr>
      <w:tr w:rsidR="000635EE" w:rsidRPr="003D11B2" w14:paraId="38165E41" w14:textId="77777777" w:rsidTr="000635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F4C3A12"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Taranaki</w:t>
            </w:r>
          </w:p>
        </w:tc>
        <w:tc>
          <w:tcPr>
            <w:tcW w:w="0" w:type="auto"/>
            <w:hideMark/>
          </w:tcPr>
          <w:p w14:paraId="0A5CADD2" w14:textId="5A72FC81"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9</w:t>
            </w:r>
          </w:p>
        </w:tc>
        <w:tc>
          <w:tcPr>
            <w:tcW w:w="0" w:type="auto"/>
            <w:hideMark/>
          </w:tcPr>
          <w:p w14:paraId="2084F4A8" w14:textId="499DCBBC"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225</w:t>
            </w:r>
          </w:p>
        </w:tc>
        <w:tc>
          <w:tcPr>
            <w:tcW w:w="0" w:type="auto"/>
            <w:shd w:val="clear" w:color="auto" w:fill="D9E2F3" w:themeFill="accent1" w:themeFillTint="33"/>
            <w:hideMark/>
          </w:tcPr>
          <w:p w14:paraId="27AAA0AF" w14:textId="19769DE0"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189</w:t>
            </w:r>
          </w:p>
        </w:tc>
        <w:tc>
          <w:tcPr>
            <w:tcW w:w="956" w:type="dxa"/>
            <w:hideMark/>
          </w:tcPr>
          <w:p w14:paraId="57E31045" w14:textId="0B1DF592"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3.15</w:t>
            </w:r>
          </w:p>
        </w:tc>
        <w:tc>
          <w:tcPr>
            <w:tcW w:w="1017" w:type="dxa"/>
            <w:hideMark/>
          </w:tcPr>
          <w:p w14:paraId="3CF417D6" w14:textId="42C9BE46"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243</w:t>
            </w:r>
          </w:p>
        </w:tc>
        <w:tc>
          <w:tcPr>
            <w:tcW w:w="0" w:type="auto"/>
            <w:hideMark/>
          </w:tcPr>
          <w:p w14:paraId="7B432E60" w14:textId="4C4AEF75"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147</w:t>
            </w:r>
          </w:p>
        </w:tc>
        <w:tc>
          <w:tcPr>
            <w:tcW w:w="0" w:type="auto"/>
            <w:hideMark/>
          </w:tcPr>
          <w:p w14:paraId="5B571D92" w14:textId="5B894144"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320</w:t>
            </w:r>
          </w:p>
        </w:tc>
      </w:tr>
      <w:tr w:rsidR="00784DDA" w:rsidRPr="003D11B2" w14:paraId="489155F0"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D2AB2E3"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Hawke's Bay</w:t>
            </w:r>
          </w:p>
        </w:tc>
        <w:tc>
          <w:tcPr>
            <w:tcW w:w="0" w:type="auto"/>
            <w:hideMark/>
          </w:tcPr>
          <w:p w14:paraId="7A1D8F0B" w14:textId="77777777"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6</w:t>
            </w:r>
          </w:p>
        </w:tc>
        <w:tc>
          <w:tcPr>
            <w:tcW w:w="0" w:type="auto"/>
            <w:hideMark/>
          </w:tcPr>
          <w:p w14:paraId="5B059E5E" w14:textId="46287F84"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367</w:t>
            </w:r>
          </w:p>
        </w:tc>
        <w:tc>
          <w:tcPr>
            <w:tcW w:w="0" w:type="auto"/>
            <w:shd w:val="clear" w:color="auto" w:fill="D9E2F3" w:themeFill="accent1" w:themeFillTint="33"/>
            <w:hideMark/>
          </w:tcPr>
          <w:p w14:paraId="01996248" w14:textId="1F0A6B83"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319</w:t>
            </w:r>
          </w:p>
        </w:tc>
        <w:tc>
          <w:tcPr>
            <w:tcW w:w="956" w:type="dxa"/>
            <w:hideMark/>
          </w:tcPr>
          <w:p w14:paraId="745C075F" w14:textId="4918A35B" w:rsidR="00784DDA"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5.32</w:t>
            </w:r>
          </w:p>
        </w:tc>
        <w:tc>
          <w:tcPr>
            <w:tcW w:w="1017" w:type="dxa"/>
            <w:hideMark/>
          </w:tcPr>
          <w:p w14:paraId="0993AF98" w14:textId="0579F03B"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358</w:t>
            </w:r>
          </w:p>
        </w:tc>
        <w:tc>
          <w:tcPr>
            <w:tcW w:w="0" w:type="auto"/>
            <w:hideMark/>
          </w:tcPr>
          <w:p w14:paraId="01C3FE6A" w14:textId="6B75E6B5"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277</w:t>
            </w:r>
          </w:p>
        </w:tc>
        <w:tc>
          <w:tcPr>
            <w:tcW w:w="0" w:type="auto"/>
            <w:hideMark/>
          </w:tcPr>
          <w:p w14:paraId="5703D1B8" w14:textId="52261BD4" w:rsidR="00784DDA"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403</w:t>
            </w:r>
          </w:p>
        </w:tc>
      </w:tr>
      <w:tr w:rsidR="0024386F" w:rsidRPr="003D11B2" w14:paraId="765047BD" w14:textId="77777777" w:rsidTr="000635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5DFC031" w14:textId="0A3166A1" w:rsidR="0024386F" w:rsidRPr="003D11B2" w:rsidRDefault="0024386F" w:rsidP="006B4780">
            <w:pPr>
              <w:pStyle w:val="ListParagraph"/>
              <w:numPr>
                <w:ilvl w:val="0"/>
                <w:numId w:val="6"/>
              </w:num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WGTN</w:t>
            </w:r>
          </w:p>
        </w:tc>
        <w:tc>
          <w:tcPr>
            <w:tcW w:w="0" w:type="auto"/>
          </w:tcPr>
          <w:p w14:paraId="43DCCFD9" w14:textId="243AD24E" w:rsidR="0024386F"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3</w:t>
            </w:r>
          </w:p>
        </w:tc>
        <w:tc>
          <w:tcPr>
            <w:tcW w:w="0" w:type="auto"/>
          </w:tcPr>
          <w:p w14:paraId="091E8C94" w14:textId="2D24230C" w:rsidR="0024386F"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341</w:t>
            </w:r>
          </w:p>
        </w:tc>
        <w:tc>
          <w:tcPr>
            <w:tcW w:w="0" w:type="auto"/>
            <w:shd w:val="clear" w:color="auto" w:fill="D9E2F3" w:themeFill="accent1" w:themeFillTint="33"/>
          </w:tcPr>
          <w:p w14:paraId="7403CDF3" w14:textId="4A8DE916" w:rsidR="0024386F"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326</w:t>
            </w:r>
          </w:p>
        </w:tc>
        <w:tc>
          <w:tcPr>
            <w:tcW w:w="956" w:type="dxa"/>
          </w:tcPr>
          <w:p w14:paraId="5100C85B" w14:textId="33239EDB" w:rsidR="0024386F"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5.43</w:t>
            </w:r>
          </w:p>
        </w:tc>
        <w:tc>
          <w:tcPr>
            <w:tcW w:w="1017" w:type="dxa"/>
          </w:tcPr>
          <w:p w14:paraId="26132640" w14:textId="0ECE5E3A" w:rsidR="0024386F"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372</w:t>
            </w:r>
          </w:p>
        </w:tc>
        <w:tc>
          <w:tcPr>
            <w:tcW w:w="0" w:type="auto"/>
          </w:tcPr>
          <w:p w14:paraId="47AF1AE6" w14:textId="36682AF8" w:rsidR="0024386F"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312</w:t>
            </w:r>
          </w:p>
        </w:tc>
        <w:tc>
          <w:tcPr>
            <w:tcW w:w="0" w:type="auto"/>
          </w:tcPr>
          <w:p w14:paraId="23A7C57E" w14:textId="63AB2E56" w:rsidR="0024386F"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403</w:t>
            </w:r>
          </w:p>
        </w:tc>
      </w:tr>
      <w:tr w:rsidR="00957CC6" w:rsidRPr="003D11B2" w14:paraId="3AA6E77A"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9CAA31C" w14:textId="3443DEE9" w:rsidR="00957CC6" w:rsidRPr="003D11B2" w:rsidRDefault="00957CC6" w:rsidP="006B4780">
            <w:pPr>
              <w:pStyle w:val="ListParagraph"/>
              <w:numPr>
                <w:ilvl w:val="0"/>
                <w:numId w:val="6"/>
              </w:num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AKL</w:t>
            </w:r>
          </w:p>
        </w:tc>
        <w:tc>
          <w:tcPr>
            <w:tcW w:w="0" w:type="auto"/>
          </w:tcPr>
          <w:p w14:paraId="3DE02544" w14:textId="61F341DB" w:rsidR="00957CC6" w:rsidRPr="003D11B2" w:rsidRDefault="006B4780"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3</w:t>
            </w:r>
          </w:p>
        </w:tc>
        <w:tc>
          <w:tcPr>
            <w:tcW w:w="0" w:type="auto"/>
          </w:tcPr>
          <w:p w14:paraId="5B026F1A" w14:textId="5E3EF2EB" w:rsidR="00957CC6" w:rsidRPr="003D11B2" w:rsidRDefault="006B4780"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340</w:t>
            </w:r>
          </w:p>
        </w:tc>
        <w:tc>
          <w:tcPr>
            <w:tcW w:w="0" w:type="auto"/>
            <w:shd w:val="clear" w:color="auto" w:fill="D9E2F3" w:themeFill="accent1" w:themeFillTint="33"/>
          </w:tcPr>
          <w:p w14:paraId="076D2AA4" w14:textId="1A510300" w:rsidR="00957CC6" w:rsidRPr="003D11B2" w:rsidRDefault="006B4780"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308</w:t>
            </w:r>
          </w:p>
        </w:tc>
        <w:tc>
          <w:tcPr>
            <w:tcW w:w="956" w:type="dxa"/>
          </w:tcPr>
          <w:p w14:paraId="0209822A" w14:textId="3486B54B" w:rsidR="00957CC6" w:rsidRPr="003D11B2" w:rsidRDefault="006B4780"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5.13</w:t>
            </w:r>
          </w:p>
        </w:tc>
        <w:tc>
          <w:tcPr>
            <w:tcW w:w="1017" w:type="dxa"/>
          </w:tcPr>
          <w:p w14:paraId="41D33BA8" w14:textId="08B313FA" w:rsidR="00957CC6" w:rsidRPr="003D11B2" w:rsidRDefault="006B4780"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358</w:t>
            </w:r>
          </w:p>
        </w:tc>
        <w:tc>
          <w:tcPr>
            <w:tcW w:w="0" w:type="auto"/>
          </w:tcPr>
          <w:p w14:paraId="5FA470ED" w14:textId="48A7D15E" w:rsidR="00957CC6" w:rsidRPr="003D11B2" w:rsidRDefault="006B4780"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277</w:t>
            </w:r>
          </w:p>
        </w:tc>
        <w:tc>
          <w:tcPr>
            <w:tcW w:w="0" w:type="auto"/>
          </w:tcPr>
          <w:p w14:paraId="428D1D39" w14:textId="0C552E9E" w:rsidR="00957CC6" w:rsidRPr="003D11B2" w:rsidRDefault="006B4780"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376</w:t>
            </w:r>
          </w:p>
        </w:tc>
      </w:tr>
      <w:tr w:rsidR="000635EE" w:rsidRPr="003D11B2" w14:paraId="6C42583C" w14:textId="77777777" w:rsidTr="000635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A9ABDB8" w14:textId="350B3ED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Midcentral</w:t>
            </w:r>
          </w:p>
        </w:tc>
        <w:tc>
          <w:tcPr>
            <w:tcW w:w="0" w:type="auto"/>
            <w:hideMark/>
          </w:tcPr>
          <w:p w14:paraId="6D6CF40A" w14:textId="68CA6D75"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11</w:t>
            </w:r>
          </w:p>
        </w:tc>
        <w:tc>
          <w:tcPr>
            <w:tcW w:w="0" w:type="auto"/>
            <w:hideMark/>
          </w:tcPr>
          <w:p w14:paraId="07DB0651" w14:textId="12C985A2"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217</w:t>
            </w:r>
          </w:p>
        </w:tc>
        <w:tc>
          <w:tcPr>
            <w:tcW w:w="0" w:type="auto"/>
            <w:shd w:val="clear" w:color="auto" w:fill="D9E2F3" w:themeFill="accent1" w:themeFillTint="33"/>
            <w:hideMark/>
          </w:tcPr>
          <w:p w14:paraId="788E0D71" w14:textId="66E821FD"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136</w:t>
            </w:r>
          </w:p>
        </w:tc>
        <w:tc>
          <w:tcPr>
            <w:tcW w:w="956" w:type="dxa"/>
            <w:hideMark/>
          </w:tcPr>
          <w:p w14:paraId="7CA694D8" w14:textId="786EA81B"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2.27</w:t>
            </w:r>
          </w:p>
        </w:tc>
        <w:tc>
          <w:tcPr>
            <w:tcW w:w="1017" w:type="dxa"/>
            <w:hideMark/>
          </w:tcPr>
          <w:p w14:paraId="1DA918C8" w14:textId="4DAA7C37"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267</w:t>
            </w:r>
          </w:p>
        </w:tc>
        <w:tc>
          <w:tcPr>
            <w:tcW w:w="0" w:type="auto"/>
            <w:hideMark/>
          </w:tcPr>
          <w:p w14:paraId="7B28834D" w14:textId="36629C03"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113</w:t>
            </w:r>
          </w:p>
        </w:tc>
        <w:tc>
          <w:tcPr>
            <w:tcW w:w="0" w:type="auto"/>
            <w:hideMark/>
          </w:tcPr>
          <w:p w14:paraId="5C420839" w14:textId="7FFBCF69" w:rsidR="00784DDA" w:rsidRPr="003D11B2" w:rsidRDefault="003F4134"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372</w:t>
            </w:r>
          </w:p>
        </w:tc>
      </w:tr>
      <w:tr w:rsidR="003F4134" w:rsidRPr="003D11B2" w14:paraId="49BB8682"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AF362AE" w14:textId="6A157D64" w:rsidR="003F4134" w:rsidRPr="003D11B2" w:rsidRDefault="0024386F" w:rsidP="006B4780">
            <w:pPr>
              <w:pStyle w:val="ListParagraph"/>
              <w:numPr>
                <w:ilvl w:val="0"/>
                <w:numId w:val="5"/>
              </w:num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WGTN</w:t>
            </w:r>
          </w:p>
        </w:tc>
        <w:tc>
          <w:tcPr>
            <w:tcW w:w="0" w:type="auto"/>
          </w:tcPr>
          <w:p w14:paraId="661D9F8D" w14:textId="3A23F761" w:rsidR="003F4134"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9</w:t>
            </w:r>
          </w:p>
        </w:tc>
        <w:tc>
          <w:tcPr>
            <w:tcW w:w="0" w:type="auto"/>
          </w:tcPr>
          <w:p w14:paraId="197EC542" w14:textId="6BC8B34C" w:rsidR="003F4134"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159</w:t>
            </w:r>
          </w:p>
        </w:tc>
        <w:tc>
          <w:tcPr>
            <w:tcW w:w="0" w:type="auto"/>
            <w:shd w:val="clear" w:color="auto" w:fill="D9E2F3" w:themeFill="accent1" w:themeFillTint="33"/>
          </w:tcPr>
          <w:p w14:paraId="2F623112" w14:textId="3F07ECAE" w:rsidR="003F4134"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129</w:t>
            </w:r>
          </w:p>
        </w:tc>
        <w:tc>
          <w:tcPr>
            <w:tcW w:w="956" w:type="dxa"/>
          </w:tcPr>
          <w:p w14:paraId="65014CF0" w14:textId="4AC9F396" w:rsidR="003F4134"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2.15</w:t>
            </w:r>
          </w:p>
        </w:tc>
        <w:tc>
          <w:tcPr>
            <w:tcW w:w="1017" w:type="dxa"/>
          </w:tcPr>
          <w:p w14:paraId="7DF18560" w14:textId="343DFCF7" w:rsidR="003F4134" w:rsidRPr="003D11B2" w:rsidRDefault="003F4134"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155</w:t>
            </w:r>
          </w:p>
        </w:tc>
        <w:tc>
          <w:tcPr>
            <w:tcW w:w="0" w:type="auto"/>
          </w:tcPr>
          <w:p w14:paraId="3596AD2F" w14:textId="63C27D38" w:rsidR="003F4134"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113</w:t>
            </w:r>
          </w:p>
        </w:tc>
        <w:tc>
          <w:tcPr>
            <w:tcW w:w="0" w:type="auto"/>
          </w:tcPr>
          <w:p w14:paraId="707EC0E8" w14:textId="5DFAE1F5" w:rsidR="003F4134"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284</w:t>
            </w:r>
          </w:p>
        </w:tc>
      </w:tr>
      <w:tr w:rsidR="00957CC6" w:rsidRPr="003D11B2" w14:paraId="59DA302B" w14:textId="77777777" w:rsidTr="000635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EC50201" w14:textId="7F6432F5" w:rsidR="00957CC6" w:rsidRPr="003D11B2" w:rsidRDefault="00957CC6" w:rsidP="006B4780">
            <w:pPr>
              <w:pStyle w:val="ListParagraph"/>
              <w:numPr>
                <w:ilvl w:val="0"/>
                <w:numId w:val="5"/>
              </w:num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AKL</w:t>
            </w:r>
          </w:p>
        </w:tc>
        <w:tc>
          <w:tcPr>
            <w:tcW w:w="0" w:type="auto"/>
          </w:tcPr>
          <w:p w14:paraId="46EAD7CD" w14:textId="3C59BD47" w:rsidR="00957CC6"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1</w:t>
            </w:r>
          </w:p>
        </w:tc>
        <w:tc>
          <w:tcPr>
            <w:tcW w:w="0" w:type="auto"/>
          </w:tcPr>
          <w:p w14:paraId="3A659B7B" w14:textId="577094D6" w:rsidR="00957CC6"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372</w:t>
            </w:r>
          </w:p>
        </w:tc>
        <w:tc>
          <w:tcPr>
            <w:tcW w:w="0" w:type="auto"/>
            <w:shd w:val="clear" w:color="auto" w:fill="D9E2F3" w:themeFill="accent1" w:themeFillTint="33"/>
          </w:tcPr>
          <w:p w14:paraId="670A8683" w14:textId="2281147B" w:rsidR="00957CC6"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372</w:t>
            </w:r>
          </w:p>
        </w:tc>
        <w:tc>
          <w:tcPr>
            <w:tcW w:w="956" w:type="dxa"/>
          </w:tcPr>
          <w:p w14:paraId="19D73EB6" w14:textId="743DDBEF" w:rsidR="00957CC6" w:rsidRPr="003D11B2" w:rsidRDefault="006B4780"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6.2</w:t>
            </w:r>
          </w:p>
        </w:tc>
        <w:tc>
          <w:tcPr>
            <w:tcW w:w="1017" w:type="dxa"/>
          </w:tcPr>
          <w:p w14:paraId="718D8DE7" w14:textId="65233233" w:rsidR="00957CC6"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372</w:t>
            </w:r>
          </w:p>
        </w:tc>
        <w:tc>
          <w:tcPr>
            <w:tcW w:w="0" w:type="auto"/>
          </w:tcPr>
          <w:p w14:paraId="5E89C330" w14:textId="1249C48B" w:rsidR="00957CC6"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372</w:t>
            </w:r>
          </w:p>
        </w:tc>
        <w:tc>
          <w:tcPr>
            <w:tcW w:w="0" w:type="auto"/>
          </w:tcPr>
          <w:p w14:paraId="6611F468" w14:textId="3305BF32" w:rsidR="00957CC6"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372</w:t>
            </w:r>
          </w:p>
        </w:tc>
      </w:tr>
      <w:tr w:rsidR="00957CC6" w:rsidRPr="003D11B2" w14:paraId="1DD6F440"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5DD0493" w14:textId="37E3E1C9" w:rsidR="00957CC6" w:rsidRPr="003D11B2" w:rsidRDefault="00957CC6" w:rsidP="006B4780">
            <w:pPr>
              <w:pStyle w:val="ListParagraph"/>
              <w:numPr>
                <w:ilvl w:val="0"/>
                <w:numId w:val="5"/>
              </w:num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ChCh</w:t>
            </w:r>
          </w:p>
        </w:tc>
        <w:tc>
          <w:tcPr>
            <w:tcW w:w="0" w:type="auto"/>
          </w:tcPr>
          <w:p w14:paraId="0B052A9C" w14:textId="59BF1DCA" w:rsidR="00957CC6"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1</w:t>
            </w:r>
          </w:p>
        </w:tc>
        <w:tc>
          <w:tcPr>
            <w:tcW w:w="0" w:type="auto"/>
          </w:tcPr>
          <w:p w14:paraId="604066C8" w14:textId="7830E82E" w:rsidR="00957CC6"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258</w:t>
            </w:r>
          </w:p>
        </w:tc>
        <w:tc>
          <w:tcPr>
            <w:tcW w:w="0" w:type="auto"/>
            <w:shd w:val="clear" w:color="auto" w:fill="D9E2F3" w:themeFill="accent1" w:themeFillTint="33"/>
          </w:tcPr>
          <w:p w14:paraId="21B3E4C5" w14:textId="522935C8" w:rsidR="00957CC6"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258</w:t>
            </w:r>
          </w:p>
        </w:tc>
        <w:tc>
          <w:tcPr>
            <w:tcW w:w="956" w:type="dxa"/>
          </w:tcPr>
          <w:p w14:paraId="0D5C1271" w14:textId="7D69DCFD" w:rsidR="00957CC6" w:rsidRPr="003D11B2" w:rsidRDefault="006B4780"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4.1</w:t>
            </w:r>
          </w:p>
        </w:tc>
        <w:tc>
          <w:tcPr>
            <w:tcW w:w="1017" w:type="dxa"/>
          </w:tcPr>
          <w:p w14:paraId="203C275C" w14:textId="4D250E84" w:rsidR="00957CC6"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258</w:t>
            </w:r>
          </w:p>
        </w:tc>
        <w:tc>
          <w:tcPr>
            <w:tcW w:w="0" w:type="auto"/>
          </w:tcPr>
          <w:p w14:paraId="3EBEB1A4" w14:textId="21AAC62E" w:rsidR="00957CC6"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258</w:t>
            </w:r>
          </w:p>
        </w:tc>
        <w:tc>
          <w:tcPr>
            <w:tcW w:w="0" w:type="auto"/>
          </w:tcPr>
          <w:p w14:paraId="34B1A36A" w14:textId="2F819F97" w:rsidR="00957CC6"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258</w:t>
            </w:r>
          </w:p>
        </w:tc>
      </w:tr>
      <w:tr w:rsidR="00957CC6" w:rsidRPr="003D11B2" w14:paraId="254E12CF" w14:textId="77777777" w:rsidTr="000635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83FD45B" w14:textId="3129C2E0" w:rsidR="00784DDA" w:rsidRPr="003D11B2" w:rsidRDefault="00784DDA" w:rsidP="006B4780">
            <w:pPr>
              <w:spacing w:after="0"/>
              <w:jc w:val="center"/>
              <w:rPr>
                <w:rFonts w:ascii="Arial" w:eastAsia="Times New Roman" w:hAnsi="Arial" w:cs="Arial"/>
                <w:color w:val="002639"/>
                <w:vertAlign w:val="superscript"/>
                <w:lang w:eastAsia="en-NZ"/>
              </w:rPr>
            </w:pPr>
            <w:r w:rsidRPr="003D11B2">
              <w:rPr>
                <w:rFonts w:ascii="Arial" w:eastAsia="Times New Roman" w:hAnsi="Arial" w:cs="Arial"/>
                <w:color w:val="002639"/>
                <w:lang w:eastAsia="en-NZ"/>
              </w:rPr>
              <w:t>Whanganui</w:t>
            </w:r>
            <w:r w:rsidR="00957CC6" w:rsidRPr="003D11B2">
              <w:rPr>
                <w:rFonts w:ascii="Arial" w:eastAsia="Times New Roman" w:hAnsi="Arial" w:cs="Arial"/>
                <w:color w:val="002639"/>
                <w:vertAlign w:val="superscript"/>
                <w:lang w:eastAsia="en-NZ"/>
              </w:rPr>
              <w:t>2</w:t>
            </w:r>
          </w:p>
        </w:tc>
        <w:tc>
          <w:tcPr>
            <w:tcW w:w="0" w:type="auto"/>
            <w:hideMark/>
          </w:tcPr>
          <w:p w14:paraId="53C289E3" w14:textId="4F47CB5C" w:rsidR="00784DDA"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2</w:t>
            </w:r>
          </w:p>
        </w:tc>
        <w:tc>
          <w:tcPr>
            <w:tcW w:w="0" w:type="auto"/>
            <w:hideMark/>
          </w:tcPr>
          <w:p w14:paraId="6930B9B5" w14:textId="36A2BBB9" w:rsidR="00784DDA"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265</w:t>
            </w:r>
          </w:p>
        </w:tc>
        <w:tc>
          <w:tcPr>
            <w:tcW w:w="0" w:type="auto"/>
            <w:shd w:val="clear" w:color="auto" w:fill="D9E2F3" w:themeFill="accent1" w:themeFillTint="33"/>
            <w:hideMark/>
          </w:tcPr>
          <w:p w14:paraId="0D513258" w14:textId="76F831E8" w:rsidR="00784DDA"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260</w:t>
            </w:r>
          </w:p>
        </w:tc>
        <w:tc>
          <w:tcPr>
            <w:tcW w:w="956" w:type="dxa"/>
            <w:hideMark/>
          </w:tcPr>
          <w:p w14:paraId="7F05086C" w14:textId="2DCC0454"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4.33</w:t>
            </w:r>
          </w:p>
        </w:tc>
        <w:tc>
          <w:tcPr>
            <w:tcW w:w="1017" w:type="dxa"/>
            <w:hideMark/>
          </w:tcPr>
          <w:p w14:paraId="7F2108BF" w14:textId="7F414326" w:rsidR="00784DDA"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270</w:t>
            </w:r>
          </w:p>
        </w:tc>
        <w:tc>
          <w:tcPr>
            <w:tcW w:w="0" w:type="auto"/>
            <w:hideMark/>
          </w:tcPr>
          <w:p w14:paraId="31598EC9" w14:textId="54A299CD" w:rsidR="00784DDA"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255</w:t>
            </w:r>
          </w:p>
        </w:tc>
        <w:tc>
          <w:tcPr>
            <w:tcW w:w="0" w:type="auto"/>
            <w:hideMark/>
          </w:tcPr>
          <w:p w14:paraId="53C77130" w14:textId="5621CF89" w:rsidR="00784DDA"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276</w:t>
            </w:r>
          </w:p>
        </w:tc>
      </w:tr>
      <w:tr w:rsidR="006B4780" w:rsidRPr="003D11B2" w14:paraId="29D807A8"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F3456E8" w14:textId="540FAF47" w:rsidR="00784DDA" w:rsidRPr="003D11B2" w:rsidRDefault="00784DDA" w:rsidP="006B4780">
            <w:pPr>
              <w:spacing w:after="0"/>
              <w:jc w:val="center"/>
              <w:rPr>
                <w:rFonts w:ascii="Arial" w:eastAsia="Times New Roman" w:hAnsi="Arial" w:cs="Arial"/>
                <w:color w:val="002639"/>
                <w:vertAlign w:val="superscript"/>
                <w:lang w:eastAsia="en-NZ"/>
              </w:rPr>
            </w:pPr>
            <w:r w:rsidRPr="003D11B2">
              <w:rPr>
                <w:rFonts w:ascii="Arial" w:eastAsia="Times New Roman" w:hAnsi="Arial" w:cs="Arial"/>
                <w:color w:val="002639"/>
                <w:lang w:eastAsia="en-NZ"/>
              </w:rPr>
              <w:t>Capital and Coast</w:t>
            </w:r>
            <w:r w:rsidR="00620E3C" w:rsidRPr="003D11B2">
              <w:rPr>
                <w:rFonts w:ascii="Arial" w:eastAsia="Times New Roman" w:hAnsi="Arial" w:cs="Arial"/>
                <w:color w:val="002639"/>
                <w:vertAlign w:val="superscript"/>
                <w:lang w:eastAsia="en-NZ"/>
              </w:rPr>
              <w:t>2</w:t>
            </w:r>
          </w:p>
        </w:tc>
        <w:tc>
          <w:tcPr>
            <w:tcW w:w="0" w:type="auto"/>
            <w:hideMark/>
          </w:tcPr>
          <w:p w14:paraId="55F6D59A" w14:textId="2F330FAD"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30</w:t>
            </w:r>
          </w:p>
        </w:tc>
        <w:tc>
          <w:tcPr>
            <w:tcW w:w="0" w:type="auto"/>
            <w:hideMark/>
          </w:tcPr>
          <w:p w14:paraId="796D4E2F" w14:textId="6B285BE2"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82</w:t>
            </w:r>
          </w:p>
        </w:tc>
        <w:tc>
          <w:tcPr>
            <w:tcW w:w="0" w:type="auto"/>
            <w:shd w:val="clear" w:color="auto" w:fill="D9E2F3" w:themeFill="accent1" w:themeFillTint="33"/>
            <w:hideMark/>
          </w:tcPr>
          <w:p w14:paraId="715D47B9" w14:textId="7FDDE30F"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65</w:t>
            </w:r>
          </w:p>
        </w:tc>
        <w:tc>
          <w:tcPr>
            <w:tcW w:w="956" w:type="dxa"/>
            <w:hideMark/>
          </w:tcPr>
          <w:p w14:paraId="22957EB8" w14:textId="538E6D32" w:rsidR="00784DDA"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1.08</w:t>
            </w:r>
          </w:p>
        </w:tc>
        <w:tc>
          <w:tcPr>
            <w:tcW w:w="1017" w:type="dxa"/>
            <w:hideMark/>
          </w:tcPr>
          <w:p w14:paraId="5C2B0BB8" w14:textId="6195F261"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97</w:t>
            </w:r>
          </w:p>
        </w:tc>
        <w:tc>
          <w:tcPr>
            <w:tcW w:w="0" w:type="auto"/>
            <w:hideMark/>
          </w:tcPr>
          <w:p w14:paraId="7A6D787E" w14:textId="7DBA8791"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38</w:t>
            </w:r>
          </w:p>
        </w:tc>
        <w:tc>
          <w:tcPr>
            <w:tcW w:w="0" w:type="auto"/>
            <w:hideMark/>
          </w:tcPr>
          <w:p w14:paraId="54B47421" w14:textId="2C7D753A"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454</w:t>
            </w:r>
          </w:p>
        </w:tc>
      </w:tr>
      <w:tr w:rsidR="006B4780" w:rsidRPr="003D11B2" w14:paraId="2D5EB844" w14:textId="77777777" w:rsidTr="000635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FAA808F" w14:textId="78C406E3" w:rsidR="00784DDA" w:rsidRPr="003D11B2" w:rsidRDefault="00784DDA" w:rsidP="006B4780">
            <w:pPr>
              <w:spacing w:after="0"/>
              <w:jc w:val="center"/>
              <w:rPr>
                <w:rFonts w:ascii="Arial" w:eastAsia="Times New Roman" w:hAnsi="Arial" w:cs="Arial"/>
                <w:color w:val="002639"/>
                <w:vertAlign w:val="superscript"/>
                <w:lang w:eastAsia="en-NZ"/>
              </w:rPr>
            </w:pPr>
            <w:r w:rsidRPr="003D11B2">
              <w:rPr>
                <w:rFonts w:ascii="Arial" w:eastAsia="Times New Roman" w:hAnsi="Arial" w:cs="Arial"/>
                <w:color w:val="002639"/>
                <w:lang w:eastAsia="en-NZ"/>
              </w:rPr>
              <w:t>Hutt</w:t>
            </w:r>
            <w:r w:rsidR="00620E3C" w:rsidRPr="003D11B2">
              <w:rPr>
                <w:rFonts w:ascii="Arial" w:eastAsia="Times New Roman" w:hAnsi="Arial" w:cs="Arial"/>
                <w:color w:val="002639"/>
                <w:vertAlign w:val="superscript"/>
                <w:lang w:eastAsia="en-NZ"/>
              </w:rPr>
              <w:t>2</w:t>
            </w:r>
          </w:p>
        </w:tc>
        <w:tc>
          <w:tcPr>
            <w:tcW w:w="0" w:type="auto"/>
            <w:hideMark/>
          </w:tcPr>
          <w:p w14:paraId="2B12E78F" w14:textId="365B9B5F" w:rsidR="00784DDA"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3</w:t>
            </w:r>
          </w:p>
        </w:tc>
        <w:tc>
          <w:tcPr>
            <w:tcW w:w="0" w:type="auto"/>
            <w:hideMark/>
          </w:tcPr>
          <w:p w14:paraId="0F4A2B39" w14:textId="3E408D79" w:rsidR="00784DDA"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140</w:t>
            </w:r>
          </w:p>
        </w:tc>
        <w:tc>
          <w:tcPr>
            <w:tcW w:w="0" w:type="auto"/>
            <w:shd w:val="clear" w:color="auto" w:fill="D9E2F3" w:themeFill="accent1" w:themeFillTint="33"/>
            <w:hideMark/>
          </w:tcPr>
          <w:p w14:paraId="2B68EE1E" w14:textId="0C614269" w:rsidR="00784DDA"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121</w:t>
            </w:r>
          </w:p>
        </w:tc>
        <w:tc>
          <w:tcPr>
            <w:tcW w:w="956" w:type="dxa"/>
            <w:hideMark/>
          </w:tcPr>
          <w:p w14:paraId="7383C884" w14:textId="6EACDD76"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2.07</w:t>
            </w:r>
          </w:p>
        </w:tc>
        <w:tc>
          <w:tcPr>
            <w:tcW w:w="1017" w:type="dxa"/>
            <w:hideMark/>
          </w:tcPr>
          <w:p w14:paraId="21B06511" w14:textId="690E2286" w:rsidR="00784DDA"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143</w:t>
            </w:r>
          </w:p>
        </w:tc>
        <w:tc>
          <w:tcPr>
            <w:tcW w:w="0" w:type="auto"/>
            <w:hideMark/>
          </w:tcPr>
          <w:p w14:paraId="0722136C" w14:textId="5EF448A1" w:rsidR="00784DDA"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102</w:t>
            </w:r>
          </w:p>
        </w:tc>
        <w:tc>
          <w:tcPr>
            <w:tcW w:w="0" w:type="auto"/>
            <w:hideMark/>
          </w:tcPr>
          <w:p w14:paraId="414FCC55" w14:textId="62A16F05" w:rsidR="00784DDA"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146</w:t>
            </w:r>
          </w:p>
        </w:tc>
      </w:tr>
      <w:tr w:rsidR="00957CC6" w:rsidRPr="003D11B2" w14:paraId="1CE9F3B4"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5CFC4F3"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Wairarapa</w:t>
            </w:r>
          </w:p>
        </w:tc>
        <w:tc>
          <w:tcPr>
            <w:tcW w:w="0" w:type="auto"/>
            <w:hideMark/>
          </w:tcPr>
          <w:p w14:paraId="2EC35341" w14:textId="37D176AC"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3</w:t>
            </w:r>
          </w:p>
        </w:tc>
        <w:tc>
          <w:tcPr>
            <w:tcW w:w="0" w:type="auto"/>
            <w:hideMark/>
          </w:tcPr>
          <w:p w14:paraId="165DA834" w14:textId="40ABBCE1"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200</w:t>
            </w:r>
          </w:p>
        </w:tc>
        <w:tc>
          <w:tcPr>
            <w:tcW w:w="0" w:type="auto"/>
            <w:shd w:val="clear" w:color="auto" w:fill="D9E2F3" w:themeFill="accent1" w:themeFillTint="33"/>
            <w:hideMark/>
          </w:tcPr>
          <w:p w14:paraId="220A8039" w14:textId="68A6C494"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198</w:t>
            </w:r>
          </w:p>
        </w:tc>
        <w:tc>
          <w:tcPr>
            <w:tcW w:w="956" w:type="dxa"/>
            <w:hideMark/>
          </w:tcPr>
          <w:p w14:paraId="07E5E06E" w14:textId="03D72034" w:rsidR="00784DDA"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3.30</w:t>
            </w:r>
          </w:p>
        </w:tc>
        <w:tc>
          <w:tcPr>
            <w:tcW w:w="1017" w:type="dxa"/>
            <w:hideMark/>
          </w:tcPr>
          <w:p w14:paraId="18DF87A6" w14:textId="5EAE468C"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236</w:t>
            </w:r>
          </w:p>
        </w:tc>
        <w:tc>
          <w:tcPr>
            <w:tcW w:w="0" w:type="auto"/>
            <w:hideMark/>
          </w:tcPr>
          <w:p w14:paraId="52639ACF" w14:textId="149B9EBD"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195</w:t>
            </w:r>
          </w:p>
        </w:tc>
        <w:tc>
          <w:tcPr>
            <w:tcW w:w="0" w:type="auto"/>
            <w:hideMark/>
          </w:tcPr>
          <w:p w14:paraId="5236D72E" w14:textId="25FD1B1A"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273</w:t>
            </w:r>
          </w:p>
        </w:tc>
      </w:tr>
      <w:tr w:rsidR="00957CC6" w:rsidRPr="003D11B2" w14:paraId="6AAE44F4" w14:textId="77777777" w:rsidTr="000635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636FAC2"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Nelson Marlborough</w:t>
            </w:r>
          </w:p>
        </w:tc>
        <w:tc>
          <w:tcPr>
            <w:tcW w:w="0" w:type="auto"/>
            <w:hideMark/>
          </w:tcPr>
          <w:p w14:paraId="163ED16D" w14:textId="05D13CF2"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9</w:t>
            </w:r>
          </w:p>
        </w:tc>
        <w:tc>
          <w:tcPr>
            <w:tcW w:w="0" w:type="auto"/>
            <w:hideMark/>
          </w:tcPr>
          <w:p w14:paraId="02F4FA20" w14:textId="3569E7BC"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223</w:t>
            </w:r>
          </w:p>
        </w:tc>
        <w:tc>
          <w:tcPr>
            <w:tcW w:w="0" w:type="auto"/>
            <w:shd w:val="clear" w:color="auto" w:fill="D9E2F3" w:themeFill="accent1" w:themeFillTint="33"/>
            <w:hideMark/>
          </w:tcPr>
          <w:p w14:paraId="0B2C4198" w14:textId="7632213C"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168</w:t>
            </w:r>
          </w:p>
        </w:tc>
        <w:tc>
          <w:tcPr>
            <w:tcW w:w="956" w:type="dxa"/>
            <w:hideMark/>
          </w:tcPr>
          <w:p w14:paraId="3BDD1EE4" w14:textId="438CD363"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2.8</w:t>
            </w:r>
          </w:p>
        </w:tc>
        <w:tc>
          <w:tcPr>
            <w:tcW w:w="1017" w:type="dxa"/>
            <w:hideMark/>
          </w:tcPr>
          <w:p w14:paraId="2CF6E3EA" w14:textId="4D0B4087"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302</w:t>
            </w:r>
          </w:p>
        </w:tc>
        <w:tc>
          <w:tcPr>
            <w:tcW w:w="0" w:type="auto"/>
            <w:hideMark/>
          </w:tcPr>
          <w:p w14:paraId="1692636C" w14:textId="55422471"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160</w:t>
            </w:r>
          </w:p>
        </w:tc>
        <w:tc>
          <w:tcPr>
            <w:tcW w:w="0" w:type="auto"/>
            <w:hideMark/>
          </w:tcPr>
          <w:p w14:paraId="08FCF0CB" w14:textId="2E01F32D" w:rsidR="00784DDA" w:rsidRPr="003D11B2" w:rsidRDefault="00957CC6"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379</w:t>
            </w:r>
          </w:p>
        </w:tc>
      </w:tr>
      <w:tr w:rsidR="00957CC6" w:rsidRPr="003D11B2" w14:paraId="60378C09"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DCB0F89" w14:textId="2A25D8B4" w:rsidR="00957CC6" w:rsidRPr="003D11B2" w:rsidRDefault="00957CC6" w:rsidP="006B4780">
            <w:pPr>
              <w:pStyle w:val="ListParagraph"/>
              <w:numPr>
                <w:ilvl w:val="0"/>
                <w:numId w:val="5"/>
              </w:num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WGTN</w:t>
            </w:r>
          </w:p>
        </w:tc>
        <w:tc>
          <w:tcPr>
            <w:tcW w:w="0" w:type="auto"/>
          </w:tcPr>
          <w:p w14:paraId="421FB3A4" w14:textId="507191A0" w:rsidR="00957CC6"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6</w:t>
            </w:r>
          </w:p>
        </w:tc>
        <w:tc>
          <w:tcPr>
            <w:tcW w:w="0" w:type="auto"/>
          </w:tcPr>
          <w:p w14:paraId="553B6F3F" w14:textId="675BF30D" w:rsidR="00957CC6"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165</w:t>
            </w:r>
          </w:p>
        </w:tc>
        <w:tc>
          <w:tcPr>
            <w:tcW w:w="0" w:type="auto"/>
            <w:shd w:val="clear" w:color="auto" w:fill="D9E2F3" w:themeFill="accent1" w:themeFillTint="33"/>
          </w:tcPr>
          <w:p w14:paraId="6427A777" w14:textId="29F57A11" w:rsidR="00957CC6"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162</w:t>
            </w:r>
          </w:p>
        </w:tc>
        <w:tc>
          <w:tcPr>
            <w:tcW w:w="956" w:type="dxa"/>
          </w:tcPr>
          <w:p w14:paraId="6050696E" w14:textId="541B99B7" w:rsidR="00957CC6"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2.7</w:t>
            </w:r>
          </w:p>
        </w:tc>
        <w:tc>
          <w:tcPr>
            <w:tcW w:w="1017" w:type="dxa"/>
          </w:tcPr>
          <w:p w14:paraId="07E97BB4" w14:textId="532DC67C" w:rsidR="00957CC6"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168</w:t>
            </w:r>
          </w:p>
        </w:tc>
        <w:tc>
          <w:tcPr>
            <w:tcW w:w="0" w:type="auto"/>
          </w:tcPr>
          <w:p w14:paraId="233B5A98" w14:textId="66375349" w:rsidR="00957CC6"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160</w:t>
            </w:r>
          </w:p>
        </w:tc>
        <w:tc>
          <w:tcPr>
            <w:tcW w:w="0" w:type="auto"/>
          </w:tcPr>
          <w:p w14:paraId="370F4785" w14:textId="6B3F1CE8" w:rsidR="00957CC6" w:rsidRPr="003D11B2" w:rsidRDefault="00957CC6"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170</w:t>
            </w:r>
          </w:p>
        </w:tc>
      </w:tr>
      <w:tr w:rsidR="006B4780" w:rsidRPr="003D11B2" w14:paraId="132967E4" w14:textId="77777777" w:rsidTr="000635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FF28523" w14:textId="6B91E7E9" w:rsidR="006B4780" w:rsidRPr="003D11B2" w:rsidRDefault="006B4780" w:rsidP="006B4780">
            <w:pPr>
              <w:pStyle w:val="ListParagraph"/>
              <w:numPr>
                <w:ilvl w:val="0"/>
                <w:numId w:val="5"/>
              </w:num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ChCh</w:t>
            </w:r>
          </w:p>
        </w:tc>
        <w:tc>
          <w:tcPr>
            <w:tcW w:w="0" w:type="auto"/>
          </w:tcPr>
          <w:p w14:paraId="75EA735E" w14:textId="577ABE78" w:rsidR="006B4780" w:rsidRPr="003D11B2" w:rsidRDefault="006B4780"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1</w:t>
            </w:r>
          </w:p>
        </w:tc>
        <w:tc>
          <w:tcPr>
            <w:tcW w:w="0" w:type="auto"/>
          </w:tcPr>
          <w:p w14:paraId="3E58CD51" w14:textId="1085879C" w:rsidR="006B4780" w:rsidRPr="003D11B2" w:rsidRDefault="006B4780"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276</w:t>
            </w:r>
          </w:p>
        </w:tc>
        <w:tc>
          <w:tcPr>
            <w:tcW w:w="0" w:type="auto"/>
            <w:shd w:val="clear" w:color="auto" w:fill="D9E2F3" w:themeFill="accent1" w:themeFillTint="33"/>
          </w:tcPr>
          <w:p w14:paraId="6FC9731D" w14:textId="11763471" w:rsidR="006B4780" w:rsidRPr="003D11B2" w:rsidRDefault="006B4780"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276</w:t>
            </w:r>
          </w:p>
        </w:tc>
        <w:tc>
          <w:tcPr>
            <w:tcW w:w="956" w:type="dxa"/>
          </w:tcPr>
          <w:p w14:paraId="1E5225CF" w14:textId="7EC68DC1" w:rsidR="006B4780" w:rsidRPr="003D11B2" w:rsidRDefault="006B4780"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276</w:t>
            </w:r>
          </w:p>
        </w:tc>
        <w:tc>
          <w:tcPr>
            <w:tcW w:w="1017" w:type="dxa"/>
          </w:tcPr>
          <w:p w14:paraId="50813CDB" w14:textId="22391E3D" w:rsidR="006B4780" w:rsidRPr="003D11B2" w:rsidRDefault="006B4780"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276</w:t>
            </w:r>
          </w:p>
        </w:tc>
        <w:tc>
          <w:tcPr>
            <w:tcW w:w="0" w:type="auto"/>
          </w:tcPr>
          <w:p w14:paraId="0908826A" w14:textId="0449C26F" w:rsidR="006B4780" w:rsidRPr="003D11B2" w:rsidRDefault="006B4780"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276</w:t>
            </w:r>
          </w:p>
        </w:tc>
        <w:tc>
          <w:tcPr>
            <w:tcW w:w="0" w:type="auto"/>
          </w:tcPr>
          <w:p w14:paraId="267FE2B8" w14:textId="1CB4DF9D" w:rsidR="006B4780" w:rsidRPr="003D11B2" w:rsidRDefault="006B4780"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276</w:t>
            </w:r>
          </w:p>
        </w:tc>
      </w:tr>
      <w:tr w:rsidR="006B4780" w:rsidRPr="003D11B2" w14:paraId="5F3DB15B"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A984119"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West Coast</w:t>
            </w:r>
          </w:p>
        </w:tc>
        <w:tc>
          <w:tcPr>
            <w:tcW w:w="0" w:type="auto"/>
            <w:hideMark/>
          </w:tcPr>
          <w:p w14:paraId="7E062A9A" w14:textId="3E5384AE"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2</w:t>
            </w:r>
          </w:p>
        </w:tc>
        <w:tc>
          <w:tcPr>
            <w:tcW w:w="0" w:type="auto"/>
            <w:hideMark/>
          </w:tcPr>
          <w:p w14:paraId="4D9D63EF" w14:textId="64CB032D"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285</w:t>
            </w:r>
          </w:p>
        </w:tc>
        <w:tc>
          <w:tcPr>
            <w:tcW w:w="0" w:type="auto"/>
            <w:shd w:val="clear" w:color="auto" w:fill="D9E2F3" w:themeFill="accent1" w:themeFillTint="33"/>
            <w:hideMark/>
          </w:tcPr>
          <w:p w14:paraId="2A0FA9C2" w14:textId="0AF7BCA1"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267</w:t>
            </w:r>
          </w:p>
        </w:tc>
        <w:tc>
          <w:tcPr>
            <w:tcW w:w="956" w:type="dxa"/>
            <w:hideMark/>
          </w:tcPr>
          <w:p w14:paraId="35F03A77" w14:textId="77777777"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3.61</w:t>
            </w:r>
          </w:p>
        </w:tc>
        <w:tc>
          <w:tcPr>
            <w:tcW w:w="1017" w:type="dxa"/>
            <w:hideMark/>
          </w:tcPr>
          <w:p w14:paraId="5BFFA98A" w14:textId="1E159C59"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304</w:t>
            </w:r>
          </w:p>
        </w:tc>
        <w:tc>
          <w:tcPr>
            <w:tcW w:w="0" w:type="auto"/>
            <w:hideMark/>
          </w:tcPr>
          <w:p w14:paraId="7A1809D1" w14:textId="2AFDBE49"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249</w:t>
            </w:r>
          </w:p>
        </w:tc>
        <w:tc>
          <w:tcPr>
            <w:tcW w:w="0" w:type="auto"/>
            <w:hideMark/>
          </w:tcPr>
          <w:p w14:paraId="073D8C58" w14:textId="306E5103" w:rsidR="00784DDA" w:rsidRPr="003D11B2" w:rsidRDefault="0024386F"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322</w:t>
            </w:r>
          </w:p>
        </w:tc>
      </w:tr>
      <w:tr w:rsidR="00957CC6" w:rsidRPr="003D11B2" w14:paraId="34EC55F7" w14:textId="77777777" w:rsidTr="000635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CC9E266"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Canterbury</w:t>
            </w:r>
          </w:p>
        </w:tc>
        <w:tc>
          <w:tcPr>
            <w:tcW w:w="0" w:type="auto"/>
            <w:hideMark/>
          </w:tcPr>
          <w:p w14:paraId="47FF43F0" w14:textId="1C760B9C" w:rsidR="00784DDA" w:rsidRPr="003D11B2" w:rsidRDefault="0024386F"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97</w:t>
            </w:r>
          </w:p>
        </w:tc>
        <w:tc>
          <w:tcPr>
            <w:tcW w:w="0" w:type="auto"/>
            <w:hideMark/>
          </w:tcPr>
          <w:p w14:paraId="26DE22B5" w14:textId="1B0D2A85" w:rsidR="00784DDA" w:rsidRPr="003D11B2" w:rsidRDefault="00620E3C"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88</w:t>
            </w:r>
          </w:p>
        </w:tc>
        <w:tc>
          <w:tcPr>
            <w:tcW w:w="0" w:type="auto"/>
            <w:shd w:val="clear" w:color="auto" w:fill="D9E2F3" w:themeFill="accent1" w:themeFillTint="33"/>
            <w:hideMark/>
          </w:tcPr>
          <w:p w14:paraId="32E64F66" w14:textId="1742FCE7" w:rsidR="00784DDA" w:rsidRPr="003D11B2" w:rsidRDefault="00620E3C"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70</w:t>
            </w:r>
          </w:p>
        </w:tc>
        <w:tc>
          <w:tcPr>
            <w:tcW w:w="956" w:type="dxa"/>
            <w:hideMark/>
          </w:tcPr>
          <w:p w14:paraId="4880C722" w14:textId="77777777" w:rsidR="00784DDA" w:rsidRPr="003D11B2" w:rsidRDefault="00784DDA"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1.05</w:t>
            </w:r>
          </w:p>
        </w:tc>
        <w:tc>
          <w:tcPr>
            <w:tcW w:w="1017" w:type="dxa"/>
            <w:hideMark/>
          </w:tcPr>
          <w:p w14:paraId="0F643D58" w14:textId="12455D40" w:rsidR="00784DDA" w:rsidRPr="003D11B2" w:rsidRDefault="00620E3C"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111</w:t>
            </w:r>
          </w:p>
        </w:tc>
        <w:tc>
          <w:tcPr>
            <w:tcW w:w="0" w:type="auto"/>
            <w:hideMark/>
          </w:tcPr>
          <w:p w14:paraId="13921238" w14:textId="77777777" w:rsidR="00784DDA" w:rsidRPr="003D11B2" w:rsidRDefault="00784DDA"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18</w:t>
            </w:r>
          </w:p>
        </w:tc>
        <w:tc>
          <w:tcPr>
            <w:tcW w:w="0" w:type="auto"/>
            <w:hideMark/>
          </w:tcPr>
          <w:p w14:paraId="65D19920" w14:textId="6B2FB52C" w:rsidR="00784DDA" w:rsidRPr="003D11B2" w:rsidRDefault="00620E3C"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385</w:t>
            </w:r>
          </w:p>
        </w:tc>
      </w:tr>
      <w:tr w:rsidR="006B4780" w:rsidRPr="003D11B2" w14:paraId="18E939DE"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9AAA970" w14:textId="7B297048" w:rsidR="00784DDA" w:rsidRPr="003D11B2" w:rsidRDefault="00784DDA" w:rsidP="006B4780">
            <w:pPr>
              <w:spacing w:after="0"/>
              <w:jc w:val="center"/>
              <w:rPr>
                <w:rFonts w:ascii="Arial" w:eastAsia="Times New Roman" w:hAnsi="Arial" w:cs="Arial"/>
                <w:color w:val="002639"/>
                <w:vertAlign w:val="superscript"/>
                <w:lang w:eastAsia="en-NZ"/>
              </w:rPr>
            </w:pPr>
            <w:r w:rsidRPr="003D11B2">
              <w:rPr>
                <w:rFonts w:ascii="Arial" w:eastAsia="Times New Roman" w:hAnsi="Arial" w:cs="Arial"/>
                <w:color w:val="002639"/>
                <w:lang w:eastAsia="en-NZ"/>
              </w:rPr>
              <w:t>South Canterbury</w:t>
            </w:r>
            <w:r w:rsidR="00620E3C" w:rsidRPr="003D11B2">
              <w:rPr>
                <w:rFonts w:ascii="Arial" w:eastAsia="Times New Roman" w:hAnsi="Arial" w:cs="Arial"/>
                <w:color w:val="002639"/>
                <w:vertAlign w:val="superscript"/>
                <w:lang w:eastAsia="en-NZ"/>
              </w:rPr>
              <w:t>3</w:t>
            </w:r>
          </w:p>
        </w:tc>
        <w:tc>
          <w:tcPr>
            <w:tcW w:w="0" w:type="auto"/>
            <w:hideMark/>
          </w:tcPr>
          <w:p w14:paraId="53331D2E" w14:textId="77777777"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4</w:t>
            </w:r>
          </w:p>
        </w:tc>
        <w:tc>
          <w:tcPr>
            <w:tcW w:w="0" w:type="auto"/>
            <w:hideMark/>
          </w:tcPr>
          <w:p w14:paraId="6AF35256" w14:textId="77777777"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287</w:t>
            </w:r>
          </w:p>
        </w:tc>
        <w:tc>
          <w:tcPr>
            <w:tcW w:w="0" w:type="auto"/>
            <w:shd w:val="clear" w:color="auto" w:fill="D9E2F3" w:themeFill="accent1" w:themeFillTint="33"/>
            <w:hideMark/>
          </w:tcPr>
          <w:p w14:paraId="13AAAB46" w14:textId="77777777"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262</w:t>
            </w:r>
          </w:p>
        </w:tc>
        <w:tc>
          <w:tcPr>
            <w:tcW w:w="956" w:type="dxa"/>
            <w:hideMark/>
          </w:tcPr>
          <w:p w14:paraId="157963FD" w14:textId="77777777"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4.36</w:t>
            </w:r>
          </w:p>
        </w:tc>
        <w:tc>
          <w:tcPr>
            <w:tcW w:w="1017" w:type="dxa"/>
            <w:hideMark/>
          </w:tcPr>
          <w:p w14:paraId="6CFDA64B" w14:textId="77777777"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312</w:t>
            </w:r>
          </w:p>
        </w:tc>
        <w:tc>
          <w:tcPr>
            <w:tcW w:w="0" w:type="auto"/>
            <w:hideMark/>
          </w:tcPr>
          <w:p w14:paraId="59E16CBA" w14:textId="77777777"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245</w:t>
            </w:r>
          </w:p>
        </w:tc>
        <w:tc>
          <w:tcPr>
            <w:tcW w:w="0" w:type="auto"/>
            <w:hideMark/>
          </w:tcPr>
          <w:p w14:paraId="3815018C" w14:textId="77777777"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329</w:t>
            </w:r>
          </w:p>
        </w:tc>
      </w:tr>
      <w:tr w:rsidR="00957CC6" w:rsidRPr="003D11B2" w14:paraId="595700D7" w14:textId="77777777" w:rsidTr="000635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65DC39A"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Southern</w:t>
            </w:r>
          </w:p>
        </w:tc>
        <w:tc>
          <w:tcPr>
            <w:tcW w:w="0" w:type="auto"/>
            <w:hideMark/>
          </w:tcPr>
          <w:p w14:paraId="1625CF81" w14:textId="77777777" w:rsidR="00784DDA" w:rsidRPr="003D11B2" w:rsidRDefault="00784DDA"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15</w:t>
            </w:r>
          </w:p>
        </w:tc>
        <w:tc>
          <w:tcPr>
            <w:tcW w:w="0" w:type="auto"/>
            <w:hideMark/>
          </w:tcPr>
          <w:p w14:paraId="43963233" w14:textId="7B47132C" w:rsidR="00784DDA" w:rsidRPr="003D11B2" w:rsidRDefault="00620E3C"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303</w:t>
            </w:r>
          </w:p>
        </w:tc>
        <w:tc>
          <w:tcPr>
            <w:tcW w:w="0" w:type="auto"/>
            <w:shd w:val="clear" w:color="auto" w:fill="D9E2F3" w:themeFill="accent1" w:themeFillTint="33"/>
            <w:hideMark/>
          </w:tcPr>
          <w:p w14:paraId="74109A0D" w14:textId="7AAE2B5C" w:rsidR="00784DDA" w:rsidRPr="003D11B2" w:rsidRDefault="00620E3C"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225</w:t>
            </w:r>
          </w:p>
        </w:tc>
        <w:tc>
          <w:tcPr>
            <w:tcW w:w="956" w:type="dxa"/>
            <w:hideMark/>
          </w:tcPr>
          <w:p w14:paraId="3BF2E886" w14:textId="77777777" w:rsidR="00784DDA" w:rsidRPr="003D11B2" w:rsidRDefault="00784DDA"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3.52</w:t>
            </w:r>
          </w:p>
        </w:tc>
        <w:tc>
          <w:tcPr>
            <w:tcW w:w="1017" w:type="dxa"/>
            <w:hideMark/>
          </w:tcPr>
          <w:p w14:paraId="70CF23A2" w14:textId="34B52BE6" w:rsidR="00784DDA" w:rsidRPr="003D11B2" w:rsidRDefault="00620E3C"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398</w:t>
            </w:r>
          </w:p>
        </w:tc>
        <w:tc>
          <w:tcPr>
            <w:tcW w:w="0" w:type="auto"/>
            <w:hideMark/>
          </w:tcPr>
          <w:p w14:paraId="5596FE94" w14:textId="3B6FA304" w:rsidR="00784DDA" w:rsidRPr="003D11B2" w:rsidRDefault="00620E3C"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211</w:t>
            </w:r>
          </w:p>
        </w:tc>
        <w:tc>
          <w:tcPr>
            <w:tcW w:w="0" w:type="auto"/>
            <w:hideMark/>
          </w:tcPr>
          <w:p w14:paraId="1CB15001" w14:textId="09B225B4" w:rsidR="00784DDA" w:rsidRPr="003D11B2" w:rsidRDefault="00620E3C" w:rsidP="006B478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1510</w:t>
            </w:r>
          </w:p>
        </w:tc>
      </w:tr>
      <w:tr w:rsidR="006B4780" w:rsidRPr="003D11B2" w14:paraId="357C407B" w14:textId="77777777" w:rsidTr="000635E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9C82712" w14:textId="77777777" w:rsidR="00784DDA" w:rsidRPr="003D11B2" w:rsidRDefault="00784DDA" w:rsidP="006B4780">
            <w:pPr>
              <w:spacing w:after="0"/>
              <w:jc w:val="center"/>
              <w:rPr>
                <w:rFonts w:ascii="Arial" w:eastAsia="Times New Roman" w:hAnsi="Arial" w:cs="Arial"/>
                <w:color w:val="002639"/>
                <w:lang w:eastAsia="en-NZ"/>
              </w:rPr>
            </w:pPr>
            <w:r w:rsidRPr="003D11B2">
              <w:rPr>
                <w:rFonts w:ascii="Arial" w:eastAsia="Times New Roman" w:hAnsi="Arial" w:cs="Arial"/>
                <w:color w:val="002639"/>
                <w:lang w:eastAsia="en-NZ"/>
              </w:rPr>
              <w:t>National</w:t>
            </w:r>
          </w:p>
        </w:tc>
        <w:tc>
          <w:tcPr>
            <w:tcW w:w="0" w:type="auto"/>
            <w:hideMark/>
          </w:tcPr>
          <w:p w14:paraId="0E8FDE1F" w14:textId="20CD5DC7" w:rsidR="00784DDA" w:rsidRPr="003D11B2" w:rsidRDefault="00620E3C"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639"/>
                <w:lang w:eastAsia="en-NZ"/>
              </w:rPr>
            </w:pPr>
            <w:r w:rsidRPr="003D11B2">
              <w:rPr>
                <w:rFonts w:ascii="Arial" w:eastAsia="Times New Roman" w:hAnsi="Arial" w:cs="Arial"/>
                <w:color w:val="002639"/>
                <w:lang w:eastAsia="en-NZ"/>
              </w:rPr>
              <w:t>433</w:t>
            </w:r>
          </w:p>
        </w:tc>
        <w:tc>
          <w:tcPr>
            <w:tcW w:w="0" w:type="auto"/>
            <w:hideMark/>
          </w:tcPr>
          <w:p w14:paraId="4048F30D" w14:textId="36593A93" w:rsidR="00784DDA" w:rsidRPr="003D11B2" w:rsidRDefault="00620E3C"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122</w:t>
            </w:r>
          </w:p>
        </w:tc>
        <w:tc>
          <w:tcPr>
            <w:tcW w:w="0" w:type="auto"/>
            <w:shd w:val="clear" w:color="auto" w:fill="D9E2F3" w:themeFill="accent1" w:themeFillTint="33"/>
            <w:hideMark/>
          </w:tcPr>
          <w:p w14:paraId="49A0FE82" w14:textId="4753ACE6" w:rsidR="00784DDA" w:rsidRPr="003D11B2" w:rsidRDefault="00620E3C"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82</w:t>
            </w:r>
          </w:p>
        </w:tc>
        <w:tc>
          <w:tcPr>
            <w:tcW w:w="956" w:type="dxa"/>
            <w:hideMark/>
          </w:tcPr>
          <w:p w14:paraId="40509153" w14:textId="77777777"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1.23</w:t>
            </w:r>
          </w:p>
        </w:tc>
        <w:tc>
          <w:tcPr>
            <w:tcW w:w="1017" w:type="dxa"/>
            <w:hideMark/>
          </w:tcPr>
          <w:p w14:paraId="6DE3FDA8" w14:textId="2BC7F00C" w:rsidR="00784DDA" w:rsidRPr="003D11B2" w:rsidRDefault="00620E3C"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212</w:t>
            </w:r>
          </w:p>
        </w:tc>
        <w:tc>
          <w:tcPr>
            <w:tcW w:w="0" w:type="auto"/>
            <w:hideMark/>
          </w:tcPr>
          <w:p w14:paraId="5E87146F" w14:textId="77777777"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18</w:t>
            </w:r>
          </w:p>
        </w:tc>
        <w:tc>
          <w:tcPr>
            <w:tcW w:w="0" w:type="auto"/>
            <w:hideMark/>
          </w:tcPr>
          <w:p w14:paraId="7F27D0A5" w14:textId="77777777" w:rsidR="00784DDA" w:rsidRPr="003D11B2" w:rsidRDefault="00784DDA" w:rsidP="006B47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NZ"/>
              </w:rPr>
            </w:pPr>
            <w:r w:rsidRPr="003D11B2">
              <w:rPr>
                <w:rFonts w:ascii="Arial" w:eastAsia="Times New Roman" w:hAnsi="Arial" w:cs="Arial"/>
                <w:color w:val="000000"/>
                <w:lang w:eastAsia="en-NZ"/>
              </w:rPr>
              <w:t>1,534</w:t>
            </w:r>
          </w:p>
        </w:tc>
      </w:tr>
    </w:tbl>
    <w:p w14:paraId="63FBD929" w14:textId="77777777" w:rsidR="003D11B2" w:rsidRDefault="003D11B2" w:rsidP="00620E3C">
      <w:pPr>
        <w:spacing w:after="160" w:line="259" w:lineRule="auto"/>
        <w:rPr>
          <w:rFonts w:ascii="Arial" w:hAnsi="Arial" w:cs="Arial"/>
          <w:sz w:val="18"/>
          <w:szCs w:val="18"/>
          <w:vertAlign w:val="superscript"/>
        </w:rPr>
      </w:pPr>
    </w:p>
    <w:p w14:paraId="4B539373" w14:textId="06F79AD7" w:rsidR="00784DDA" w:rsidRPr="003D11B2" w:rsidRDefault="00620E3C" w:rsidP="00620E3C">
      <w:pPr>
        <w:spacing w:after="160" w:line="259" w:lineRule="auto"/>
        <w:rPr>
          <w:rFonts w:ascii="Arial" w:hAnsi="Arial" w:cs="Arial"/>
          <w:sz w:val="18"/>
          <w:szCs w:val="18"/>
        </w:rPr>
      </w:pPr>
      <w:r w:rsidRPr="003D11B2">
        <w:rPr>
          <w:rFonts w:ascii="Arial" w:hAnsi="Arial" w:cs="Arial"/>
          <w:sz w:val="18"/>
          <w:szCs w:val="18"/>
          <w:vertAlign w:val="superscript"/>
        </w:rPr>
        <w:t>1</w:t>
      </w:r>
      <w:r w:rsidRPr="003D11B2">
        <w:rPr>
          <w:rFonts w:ascii="Arial" w:hAnsi="Arial" w:cs="Arial"/>
          <w:sz w:val="18"/>
          <w:szCs w:val="18"/>
        </w:rPr>
        <w:t xml:space="preserve">CT times not </w:t>
      </w:r>
      <w:r w:rsidR="003D11B2" w:rsidRPr="003D11B2">
        <w:rPr>
          <w:rFonts w:ascii="Arial" w:hAnsi="Arial" w:cs="Arial"/>
          <w:sz w:val="18"/>
          <w:szCs w:val="18"/>
        </w:rPr>
        <w:t>available</w:t>
      </w:r>
      <w:r w:rsidRPr="003D11B2">
        <w:rPr>
          <w:rFonts w:ascii="Arial" w:hAnsi="Arial" w:cs="Arial"/>
          <w:sz w:val="18"/>
          <w:szCs w:val="18"/>
        </w:rPr>
        <w:t xml:space="preserve"> so used regional centre arrival to groin time – times will thus be overestimates</w:t>
      </w:r>
    </w:p>
    <w:p w14:paraId="5703FF3B" w14:textId="2F9E02B6" w:rsidR="00620E3C" w:rsidRPr="003D11B2" w:rsidRDefault="00620E3C" w:rsidP="00620E3C">
      <w:pPr>
        <w:spacing w:after="160" w:line="259" w:lineRule="auto"/>
        <w:rPr>
          <w:rFonts w:ascii="Arial" w:hAnsi="Arial" w:cs="Arial"/>
          <w:sz w:val="18"/>
          <w:szCs w:val="18"/>
        </w:rPr>
      </w:pPr>
      <w:r w:rsidRPr="003D11B2">
        <w:rPr>
          <w:rFonts w:ascii="Arial" w:hAnsi="Arial" w:cs="Arial"/>
          <w:sz w:val="18"/>
          <w:szCs w:val="18"/>
          <w:vertAlign w:val="superscript"/>
        </w:rPr>
        <w:t>2</w:t>
      </w:r>
      <w:r w:rsidRPr="003D11B2">
        <w:rPr>
          <w:rFonts w:ascii="Arial" w:hAnsi="Arial" w:cs="Arial"/>
          <w:sz w:val="18"/>
          <w:szCs w:val="18"/>
        </w:rPr>
        <w:t>Neither CCDHB nor Hutt or Wairarapa Hospitals had any patients accepted for SCR At Auckland Hospital</w:t>
      </w:r>
    </w:p>
    <w:p w14:paraId="5BDADD7A" w14:textId="7B165CDE" w:rsidR="00620E3C" w:rsidRPr="003D11B2" w:rsidRDefault="00620E3C" w:rsidP="00620E3C">
      <w:pPr>
        <w:spacing w:after="160" w:line="259" w:lineRule="auto"/>
        <w:rPr>
          <w:rFonts w:ascii="Arial" w:hAnsi="Arial" w:cs="Arial"/>
          <w:sz w:val="18"/>
          <w:szCs w:val="18"/>
        </w:rPr>
      </w:pPr>
      <w:r w:rsidRPr="003D11B2">
        <w:rPr>
          <w:rFonts w:ascii="Arial" w:hAnsi="Arial" w:cs="Arial"/>
          <w:sz w:val="18"/>
          <w:szCs w:val="18"/>
          <w:vertAlign w:val="superscript"/>
        </w:rPr>
        <w:t>3</w:t>
      </w:r>
      <w:r w:rsidRPr="003D11B2">
        <w:rPr>
          <w:rFonts w:ascii="Arial" w:hAnsi="Arial" w:cs="Arial"/>
          <w:sz w:val="18"/>
          <w:szCs w:val="18"/>
        </w:rPr>
        <w:t>No South Canterbury patients this period so used calendar year 2020 data</w:t>
      </w:r>
    </w:p>
    <w:p w14:paraId="7614593A" w14:textId="545E4283" w:rsidR="000635EE" w:rsidRPr="003D11B2" w:rsidRDefault="00620E3C" w:rsidP="00620E3C">
      <w:pPr>
        <w:spacing w:after="160" w:line="259" w:lineRule="auto"/>
        <w:rPr>
          <w:rFonts w:ascii="Arial" w:hAnsi="Arial" w:cs="Arial"/>
          <w:sz w:val="18"/>
          <w:szCs w:val="18"/>
        </w:rPr>
      </w:pPr>
      <w:r w:rsidRPr="003D11B2">
        <w:rPr>
          <w:rFonts w:ascii="Arial" w:hAnsi="Arial" w:cs="Arial"/>
          <w:sz w:val="18"/>
          <w:szCs w:val="18"/>
        </w:rPr>
        <w:t xml:space="preserve">NB In Q25 Hrs column </w:t>
      </w:r>
      <w:r w:rsidR="000635EE" w:rsidRPr="003D11B2">
        <w:rPr>
          <w:rFonts w:ascii="Arial" w:hAnsi="Arial" w:cs="Arial"/>
          <w:sz w:val="18"/>
          <w:szCs w:val="18"/>
        </w:rPr>
        <w:t>2.5 hours means 2 ½ hours not 2 hours and 50 minutes.</w:t>
      </w:r>
    </w:p>
    <w:p w14:paraId="5230AAA4" w14:textId="77777777" w:rsidR="000B6B1B" w:rsidRPr="003D11B2" w:rsidRDefault="000B6B1B">
      <w:pPr>
        <w:rPr>
          <w:rFonts w:ascii="Arial" w:hAnsi="Arial" w:cs="Arial"/>
        </w:rPr>
      </w:pPr>
    </w:p>
    <w:sectPr w:rsidR="000B6B1B" w:rsidRPr="003D11B2" w:rsidSect="003D11B2">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C69B9" w14:textId="77777777" w:rsidR="00734A5A" w:rsidRDefault="00734A5A" w:rsidP="00784DDA">
      <w:pPr>
        <w:spacing w:after="0" w:line="240" w:lineRule="auto"/>
      </w:pPr>
      <w:r>
        <w:separator/>
      </w:r>
    </w:p>
  </w:endnote>
  <w:endnote w:type="continuationSeparator" w:id="0">
    <w:p w14:paraId="5AB42624" w14:textId="77777777" w:rsidR="00734A5A" w:rsidRDefault="00734A5A" w:rsidP="0078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25999"/>
      <w:docPartObj>
        <w:docPartGallery w:val="Page Numbers (Bottom of Page)"/>
        <w:docPartUnique/>
      </w:docPartObj>
    </w:sdtPr>
    <w:sdtEndPr/>
    <w:sdtContent>
      <w:sdt>
        <w:sdtPr>
          <w:id w:val="-1769616900"/>
          <w:docPartObj>
            <w:docPartGallery w:val="Page Numbers (Top of Page)"/>
            <w:docPartUnique/>
          </w:docPartObj>
        </w:sdtPr>
        <w:sdtEndPr/>
        <w:sdtContent>
          <w:p w14:paraId="56438FAC" w14:textId="7FF88EE6" w:rsidR="003D11B2" w:rsidRDefault="003D11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E0AEEB" w14:textId="77777777" w:rsidR="003D11B2" w:rsidRDefault="003D1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279F" w14:textId="1FC7FE7F" w:rsidR="003D11B2" w:rsidRPr="00EA2027" w:rsidRDefault="003D11B2" w:rsidP="003D11B2">
    <w:pPr>
      <w:pStyle w:val="Footer"/>
      <w:rPr>
        <w:rFonts w:ascii="Segoe UI" w:hAnsi="Segoe UI" w:cs="Segoe UI"/>
        <w:sz w:val="18"/>
        <w:szCs w:val="18"/>
      </w:rPr>
    </w:pPr>
    <w:r>
      <w:rPr>
        <w:rFonts w:ascii="Segoe UI" w:hAnsi="Segoe UI" w:cs="Segoe UI"/>
        <w:b/>
        <w:bCs/>
        <w:sz w:val="18"/>
        <w:szCs w:val="18"/>
      </w:rPr>
      <w:t>National Stroke Clot Retrieval Referral Criteria.</w:t>
    </w:r>
    <w:r w:rsidRPr="00EA2027">
      <w:rPr>
        <w:rFonts w:ascii="Segoe UI" w:hAnsi="Segoe UI" w:cs="Segoe UI"/>
        <w:sz w:val="18"/>
        <w:szCs w:val="18"/>
      </w:rPr>
      <w:t xml:space="preserve"> version 1.</w:t>
    </w:r>
    <w:r w:rsidR="00E81E00">
      <w:rPr>
        <w:rFonts w:ascii="Segoe UI" w:hAnsi="Segoe UI" w:cs="Segoe UI"/>
        <w:sz w:val="18"/>
        <w:szCs w:val="18"/>
      </w:rPr>
      <w:t>1</w:t>
    </w:r>
    <w:r w:rsidRPr="00EA2027">
      <w:rPr>
        <w:rFonts w:ascii="Segoe UI" w:hAnsi="Segoe UI" w:cs="Segoe UI"/>
        <w:sz w:val="18"/>
        <w:szCs w:val="18"/>
      </w:rPr>
      <w:t>. Date:</w:t>
    </w:r>
    <w:r>
      <w:rPr>
        <w:rFonts w:ascii="Segoe UI" w:hAnsi="Segoe UI" w:cs="Segoe UI"/>
        <w:sz w:val="18"/>
        <w:szCs w:val="18"/>
      </w:rPr>
      <w:t xml:space="preserve"> </w:t>
    </w:r>
    <w:r w:rsidR="00E81E00">
      <w:rPr>
        <w:rFonts w:ascii="Segoe UI" w:hAnsi="Segoe UI" w:cs="Segoe UI"/>
        <w:sz w:val="18"/>
        <w:szCs w:val="18"/>
      </w:rPr>
      <w:t>20.04</w:t>
    </w:r>
    <w:r w:rsidRPr="00EA2027">
      <w:rPr>
        <w:rFonts w:ascii="Segoe UI" w:hAnsi="Segoe UI" w:cs="Segoe UI"/>
        <w:sz w:val="18"/>
        <w:szCs w:val="18"/>
      </w:rPr>
      <w:t>.2022</w:t>
    </w:r>
  </w:p>
  <w:p w14:paraId="442049FD" w14:textId="0579A0B1" w:rsidR="003D11B2" w:rsidRPr="003D11B2" w:rsidRDefault="003D11B2">
    <w:pPr>
      <w:pStyle w:val="Footer"/>
      <w:rPr>
        <w:rFonts w:ascii="Segoe UI" w:hAnsi="Segoe UI" w:cs="Segoe UI"/>
        <w:sz w:val="16"/>
        <w:szCs w:val="16"/>
      </w:rPr>
    </w:pPr>
    <w:r w:rsidRPr="00EA2027">
      <w:rPr>
        <w:rFonts w:ascii="Segoe UI" w:hAnsi="Segoe UI" w:cs="Segoe UI"/>
        <w:sz w:val="16"/>
        <w:szCs w:val="16"/>
      </w:rPr>
      <w:t xml:space="preserve">Developed by the </w:t>
    </w:r>
    <w:r>
      <w:rPr>
        <w:rFonts w:ascii="Segoe UI" w:hAnsi="Segoe UI" w:cs="Segoe UI"/>
        <w:sz w:val="16"/>
        <w:szCs w:val="16"/>
      </w:rPr>
      <w:t>Stroke Clot Retrieval</w:t>
    </w:r>
    <w:r w:rsidRPr="00EA2027">
      <w:rPr>
        <w:rFonts w:ascii="Segoe UI" w:hAnsi="Segoe UI" w:cs="Segoe UI"/>
        <w:sz w:val="16"/>
        <w:szCs w:val="16"/>
      </w:rPr>
      <w:t xml:space="preserve"> </w:t>
    </w:r>
    <w:r w:rsidR="00AE31D3">
      <w:rPr>
        <w:rFonts w:ascii="Segoe UI" w:hAnsi="Segoe UI" w:cs="Segoe UI"/>
        <w:sz w:val="16"/>
        <w:szCs w:val="16"/>
      </w:rPr>
      <w:t xml:space="preserve">Telestroke subgroup </w:t>
    </w:r>
    <w:r w:rsidRPr="00EA2027">
      <w:rPr>
        <w:rFonts w:ascii="Segoe UI" w:hAnsi="Segoe UI" w:cs="Segoe UI"/>
        <w:sz w:val="16"/>
        <w:szCs w:val="16"/>
      </w:rPr>
      <w:t xml:space="preserve">as part of the </w:t>
    </w:r>
    <w:r>
      <w:rPr>
        <w:rFonts w:ascii="Segoe UI" w:hAnsi="Segoe UI" w:cs="Segoe UI"/>
        <w:sz w:val="16"/>
        <w:szCs w:val="16"/>
      </w:rPr>
      <w:t>New Zealand</w:t>
    </w:r>
    <w:r w:rsidRPr="00EA2027">
      <w:rPr>
        <w:rFonts w:ascii="Segoe UI" w:hAnsi="Segoe UI" w:cs="Segoe UI"/>
        <w:sz w:val="16"/>
        <w:szCs w:val="16"/>
      </w:rPr>
      <w:t xml:space="preserve"> </w:t>
    </w:r>
    <w:r>
      <w:rPr>
        <w:rFonts w:ascii="Segoe UI" w:hAnsi="Segoe UI" w:cs="Segoe UI"/>
        <w:sz w:val="16"/>
        <w:szCs w:val="16"/>
      </w:rPr>
      <w:t>Ministry of Health</w:t>
    </w:r>
    <w:r w:rsidRPr="00EA2027">
      <w:rPr>
        <w:rFonts w:ascii="Segoe UI" w:hAnsi="Segoe UI" w:cs="Segoe UI"/>
        <w:sz w:val="16"/>
        <w:szCs w:val="16"/>
      </w:rPr>
      <w:t xml:space="preserve"> funded National Stroke Clot Retrieval Improvement Programme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58AE" w14:textId="77777777" w:rsidR="00734A5A" w:rsidRDefault="00734A5A" w:rsidP="00784DDA">
      <w:pPr>
        <w:spacing w:after="0" w:line="240" w:lineRule="auto"/>
      </w:pPr>
      <w:r>
        <w:separator/>
      </w:r>
    </w:p>
  </w:footnote>
  <w:footnote w:type="continuationSeparator" w:id="0">
    <w:p w14:paraId="29DF6A6B" w14:textId="77777777" w:rsidR="00734A5A" w:rsidRDefault="00734A5A" w:rsidP="00784DDA">
      <w:pPr>
        <w:spacing w:after="0" w:line="240" w:lineRule="auto"/>
      </w:pPr>
      <w:r>
        <w:continuationSeparator/>
      </w:r>
    </w:p>
  </w:footnote>
  <w:footnote w:id="1">
    <w:p w14:paraId="4B3455E8" w14:textId="77777777" w:rsidR="00784DDA" w:rsidRDefault="00784DDA" w:rsidP="00784DDA">
      <w:pPr>
        <w:pStyle w:val="FootnoteText"/>
      </w:pPr>
      <w:r>
        <w:rPr>
          <w:rStyle w:val="FootnoteReference"/>
        </w:rPr>
        <w:footnoteRef/>
      </w:r>
      <w:r>
        <w:t xml:space="preserve"> NIHSS= National Health Stroke Scale; </w:t>
      </w:r>
      <w:proofErr w:type="spellStart"/>
      <w:r>
        <w:t>mRS</w:t>
      </w:r>
      <w:proofErr w:type="spellEnd"/>
      <w:r>
        <w:t xml:space="preserve">=modified Rankin Scale; NCCT=Non-contrast Computed tomography scan; ICA=internal carotid artery; M1 and 2=middle cerebral artery segment 1 and 2 respectively; BA=basilar artery; P1/2 =posterior cerebral artery segment 1 and 2; A1/2=anterior cerebral artery segment 1 and 2; CTP=CT perfusion scan.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8C5F" w14:textId="77777777" w:rsidR="003D11B2" w:rsidRDefault="003D11B2" w:rsidP="003D11B2">
    <w:pPr>
      <w:pStyle w:val="Footer"/>
      <w:rPr>
        <w:rFonts w:ascii="Segoe UI" w:hAnsi="Segoe UI" w:cs="Segoe UI"/>
        <w:sz w:val="18"/>
        <w:szCs w:val="18"/>
      </w:rPr>
    </w:pPr>
    <w:r>
      <w:rPr>
        <w:rFonts w:ascii="Segoe UI" w:hAnsi="Segoe UI" w:cs="Segoe UI"/>
        <w:b/>
        <w:bCs/>
        <w:sz w:val="18"/>
        <w:szCs w:val="18"/>
      </w:rPr>
      <w:t>National Stroke Clot Retrieval Referral Criteria</w:t>
    </w:r>
    <w:r w:rsidRPr="00EA2027">
      <w:rPr>
        <w:rFonts w:ascii="Segoe UI" w:hAnsi="Segoe UI" w:cs="Segoe UI"/>
        <w:sz w:val="18"/>
        <w:szCs w:val="18"/>
      </w:rPr>
      <w:t xml:space="preserve"> </w:t>
    </w:r>
  </w:p>
  <w:p w14:paraId="55AAAEC6" w14:textId="07A09D83" w:rsidR="000635EE" w:rsidRPr="003D11B2" w:rsidRDefault="003D11B2" w:rsidP="003D11B2">
    <w:pPr>
      <w:pStyle w:val="Footer"/>
      <w:rPr>
        <w:rFonts w:ascii="Segoe UI" w:hAnsi="Segoe UI" w:cs="Segoe UI"/>
        <w:sz w:val="18"/>
        <w:szCs w:val="18"/>
      </w:rPr>
    </w:pPr>
    <w:r w:rsidRPr="00EA2027">
      <w:rPr>
        <w:rFonts w:ascii="Segoe UI" w:hAnsi="Segoe UI" w:cs="Segoe UI"/>
        <w:sz w:val="18"/>
        <w:szCs w:val="18"/>
      </w:rPr>
      <w:t>version 1.</w:t>
    </w:r>
    <w:r w:rsidR="00553199">
      <w:rPr>
        <w:rFonts w:ascii="Segoe UI" w:hAnsi="Segoe UI" w:cs="Segoe UI"/>
        <w:sz w:val="18"/>
        <w:szCs w:val="18"/>
      </w:rPr>
      <w:t>1</w:t>
    </w:r>
    <w:r w:rsidRPr="00EA2027">
      <w:rPr>
        <w:rFonts w:ascii="Segoe UI" w:hAnsi="Segoe UI" w:cs="Segoe UI"/>
        <w:sz w:val="18"/>
        <w:szCs w:val="18"/>
      </w:rPr>
      <w:t>. Date:</w:t>
    </w:r>
    <w:r>
      <w:rPr>
        <w:rFonts w:ascii="Segoe UI" w:hAnsi="Segoe UI" w:cs="Segoe UI"/>
        <w:sz w:val="18"/>
        <w:szCs w:val="18"/>
      </w:rPr>
      <w:t xml:space="preserve"> </w:t>
    </w:r>
    <w:r w:rsidR="00553199">
      <w:rPr>
        <w:rFonts w:ascii="Segoe UI" w:hAnsi="Segoe UI" w:cs="Segoe UI"/>
        <w:sz w:val="18"/>
        <w:szCs w:val="18"/>
      </w:rPr>
      <w:t>20.04</w:t>
    </w:r>
    <w:r w:rsidRPr="00EA2027">
      <w:rPr>
        <w:rFonts w:ascii="Segoe UI" w:hAnsi="Segoe UI" w:cs="Segoe UI"/>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C566" w14:textId="16B2AC9B" w:rsidR="006B4780" w:rsidRDefault="003D11B2">
    <w:pPr>
      <w:pStyle w:val="Header"/>
    </w:pPr>
    <w:r w:rsidRPr="00CF324A">
      <w:rPr>
        <w:noProof/>
      </w:rPr>
      <mc:AlternateContent>
        <mc:Choice Requires="wps">
          <w:drawing>
            <wp:anchor distT="0" distB="0" distL="114300" distR="114300" simplePos="0" relativeHeight="251659264" behindDoc="0" locked="0" layoutInCell="1" allowOverlap="1" wp14:anchorId="5F9484C2" wp14:editId="30081FF4">
              <wp:simplePos x="0" y="0"/>
              <wp:positionH relativeFrom="page">
                <wp:posOffset>9525</wp:posOffset>
              </wp:positionH>
              <wp:positionV relativeFrom="paragraph">
                <wp:posOffset>-153035</wp:posOffset>
              </wp:positionV>
              <wp:extent cx="7556500" cy="433705"/>
              <wp:effectExtent l="0" t="0" r="6350" b="4445"/>
              <wp:wrapNone/>
              <wp:docPr id="10" name="Rectangle 10"/>
              <wp:cNvGraphicFramePr/>
              <a:graphic xmlns:a="http://schemas.openxmlformats.org/drawingml/2006/main">
                <a:graphicData uri="http://schemas.microsoft.com/office/word/2010/wordprocessingShape">
                  <wps:wsp>
                    <wps:cNvSpPr/>
                    <wps:spPr>
                      <a:xfrm>
                        <a:off x="0" y="0"/>
                        <a:ext cx="7556500" cy="433705"/>
                      </a:xfrm>
                      <a:prstGeom prst="rect">
                        <a:avLst/>
                      </a:prstGeom>
                      <a:solidFill>
                        <a:srgbClr val="C00000"/>
                      </a:solidFill>
                      <a:ln w="12700" cap="flat" cmpd="sng" algn="ctr">
                        <a:noFill/>
                        <a:prstDash val="solid"/>
                        <a:miter lim="800000"/>
                      </a:ln>
                      <a:effectLst/>
                    </wps:spPr>
                    <wps:txbx>
                      <w:txbxContent>
                        <w:p w14:paraId="4D660BC5" w14:textId="77777777" w:rsidR="003D11B2" w:rsidRPr="00EA14BE" w:rsidRDefault="003D11B2" w:rsidP="003D11B2">
                          <w:pPr>
                            <w:spacing w:after="0"/>
                            <w:ind w:left="142"/>
                            <w:jc w:val="center"/>
                            <w:rPr>
                              <w:rFonts w:ascii="Arial" w:hAnsi="Arial" w:cs="Arial"/>
                              <w:sz w:val="28"/>
                              <w:szCs w:val="28"/>
                            </w:rPr>
                          </w:pPr>
                          <w:r w:rsidRPr="00EA14BE">
                            <w:rPr>
                              <w:rFonts w:ascii="Arial" w:hAnsi="Arial" w:cs="Arial"/>
                              <w:b/>
                              <w:bCs/>
                              <w:sz w:val="28"/>
                              <w:szCs w:val="28"/>
                            </w:rPr>
                            <w:t>NATIONAL STROKE CLOT RETRIEVAL IMPROVEMENT PROGRAMME</w:t>
                          </w:r>
                        </w:p>
                      </w:txbxContent>
                    </wps:txbx>
                    <wps:bodyPr rtlCol="0" anchor="ctr"/>
                  </wps:wsp>
                </a:graphicData>
              </a:graphic>
            </wp:anchor>
          </w:drawing>
        </mc:Choice>
        <mc:Fallback>
          <w:pict>
            <v:rect w14:anchorId="5F9484C2" id="Rectangle 10" o:spid="_x0000_s1026" style="position:absolute;margin-left:.75pt;margin-top:-12.05pt;width:595pt;height:34.1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" fillcolor="#c00000" stroked="f" strokeweight="1pt">
              <v:textbox>
                <w:txbxContent>
                  <w:p w14:paraId="4D660BC5" w14:textId="77777777" w:rsidR="003D11B2" w:rsidRPr="00EA14BE" w:rsidRDefault="003D11B2" w:rsidP="003D11B2">
                    <w:pPr>
                      <w:spacing w:after="0"/>
                      <w:ind w:left="142"/>
                      <w:jc w:val="center"/>
                      <w:rPr>
                        <w:rFonts w:ascii="Arial" w:hAnsi="Arial" w:cs="Arial"/>
                        <w:sz w:val="28"/>
                        <w:szCs w:val="28"/>
                      </w:rPr>
                    </w:pPr>
                    <w:r w:rsidRPr="00EA14BE">
                      <w:rPr>
                        <w:rFonts w:ascii="Arial" w:hAnsi="Arial" w:cs="Arial"/>
                        <w:b/>
                        <w:bCs/>
                        <w:sz w:val="28"/>
                        <w:szCs w:val="28"/>
                      </w:rPr>
                      <w:t>NATIONAL STROKE CLOT RETRIEVAL IMPROVEMENT PROGRAMME</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3C81"/>
    <w:multiLevelType w:val="hybridMultilevel"/>
    <w:tmpl w:val="6E7AA516"/>
    <w:lvl w:ilvl="0" w:tplc="47AE75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8160903"/>
    <w:multiLevelType w:val="hybridMultilevel"/>
    <w:tmpl w:val="D3C25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61157C4"/>
    <w:multiLevelType w:val="hybridMultilevel"/>
    <w:tmpl w:val="A8EE1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9287798"/>
    <w:multiLevelType w:val="hybridMultilevel"/>
    <w:tmpl w:val="03F42810"/>
    <w:lvl w:ilvl="0" w:tplc="CADCDE42">
      <w:start w:val="1"/>
      <w:numFmt w:val="bullet"/>
      <w:lvlText w:val=""/>
      <w:lvlJc w:val="left"/>
      <w:pPr>
        <w:ind w:left="720" w:hanging="360"/>
      </w:pPr>
      <w:rPr>
        <w:rFonts w:ascii="Wingdings" w:eastAsia="Times New Roman" w:hAnsi="Wingdings"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C3759A0"/>
    <w:multiLevelType w:val="hybridMultilevel"/>
    <w:tmpl w:val="189460BE"/>
    <w:lvl w:ilvl="0" w:tplc="C2FE242C">
      <w:start w:val="1"/>
      <w:numFmt w:val="bullet"/>
      <w:lvlText w:val=""/>
      <w:lvlJc w:val="left"/>
      <w:pPr>
        <w:ind w:left="720" w:hanging="360"/>
      </w:pPr>
      <w:rPr>
        <w:rFonts w:ascii="Wingdings" w:eastAsia="Times New Roman" w:hAnsi="Wingdings"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E695758"/>
    <w:multiLevelType w:val="hybridMultilevel"/>
    <w:tmpl w:val="698A5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DA"/>
    <w:rsid w:val="00032548"/>
    <w:rsid w:val="000635EE"/>
    <w:rsid w:val="000B6B1B"/>
    <w:rsid w:val="00171CD8"/>
    <w:rsid w:val="001B388D"/>
    <w:rsid w:val="0024386F"/>
    <w:rsid w:val="00267CA3"/>
    <w:rsid w:val="002B6A82"/>
    <w:rsid w:val="002D5C88"/>
    <w:rsid w:val="00320708"/>
    <w:rsid w:val="003D11B2"/>
    <w:rsid w:val="003F4134"/>
    <w:rsid w:val="004A4CF7"/>
    <w:rsid w:val="004A5411"/>
    <w:rsid w:val="00514CAB"/>
    <w:rsid w:val="00553199"/>
    <w:rsid w:val="005A4E8B"/>
    <w:rsid w:val="005E69F5"/>
    <w:rsid w:val="00620E3C"/>
    <w:rsid w:val="006B4780"/>
    <w:rsid w:val="006F51D2"/>
    <w:rsid w:val="00734A5A"/>
    <w:rsid w:val="00784DDA"/>
    <w:rsid w:val="007C29F9"/>
    <w:rsid w:val="007E68DA"/>
    <w:rsid w:val="00843DA4"/>
    <w:rsid w:val="008722B1"/>
    <w:rsid w:val="00952ECC"/>
    <w:rsid w:val="00957CC6"/>
    <w:rsid w:val="0098705B"/>
    <w:rsid w:val="00AE31D3"/>
    <w:rsid w:val="00B62998"/>
    <w:rsid w:val="00B63421"/>
    <w:rsid w:val="00B63DF7"/>
    <w:rsid w:val="00B92B91"/>
    <w:rsid w:val="00B9722E"/>
    <w:rsid w:val="00C70D08"/>
    <w:rsid w:val="00C84DAB"/>
    <w:rsid w:val="00C853A2"/>
    <w:rsid w:val="00CE55CC"/>
    <w:rsid w:val="00D041EE"/>
    <w:rsid w:val="00E81E00"/>
    <w:rsid w:val="00F761CE"/>
    <w:rsid w:val="455A082C"/>
    <w:rsid w:val="4A6AE90F"/>
    <w:rsid w:val="5851037A"/>
    <w:rsid w:val="670F1EE2"/>
    <w:rsid w:val="6C3A3217"/>
    <w:rsid w:val="6DD60278"/>
    <w:rsid w:val="7E2801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3EE94"/>
  <w15:chartTrackingRefBased/>
  <w15:docId w15:val="{9C379FB2-293F-4D46-BEF7-372D2DB3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DA"/>
    <w:pPr>
      <w:spacing w:after="200" w:line="276" w:lineRule="auto"/>
    </w:pPr>
  </w:style>
  <w:style w:type="paragraph" w:styleId="Heading1">
    <w:name w:val="heading 1"/>
    <w:basedOn w:val="Normal"/>
    <w:next w:val="Normal"/>
    <w:link w:val="Heading1Char"/>
    <w:uiPriority w:val="9"/>
    <w:qFormat/>
    <w:rsid w:val="003D11B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11B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DDA"/>
    <w:pPr>
      <w:ind w:left="720"/>
      <w:contextualSpacing/>
    </w:pPr>
  </w:style>
  <w:style w:type="table" w:customStyle="1" w:styleId="PlainTable31">
    <w:name w:val="Plain Table 31"/>
    <w:basedOn w:val="TableNormal"/>
    <w:uiPriority w:val="43"/>
    <w:rsid w:val="00784D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784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DDA"/>
    <w:rPr>
      <w:sz w:val="20"/>
      <w:szCs w:val="20"/>
    </w:rPr>
  </w:style>
  <w:style w:type="character" w:styleId="FootnoteReference">
    <w:name w:val="footnote reference"/>
    <w:basedOn w:val="DefaultParagraphFont"/>
    <w:uiPriority w:val="99"/>
    <w:semiHidden/>
    <w:unhideWhenUsed/>
    <w:rsid w:val="00784DDA"/>
    <w:rPr>
      <w:vertAlign w:val="superscript"/>
    </w:rPr>
  </w:style>
  <w:style w:type="character" w:styleId="CommentReference">
    <w:name w:val="annotation reference"/>
    <w:basedOn w:val="DefaultParagraphFont"/>
    <w:uiPriority w:val="99"/>
    <w:semiHidden/>
    <w:unhideWhenUsed/>
    <w:rsid w:val="00784DDA"/>
    <w:rPr>
      <w:sz w:val="16"/>
      <w:szCs w:val="16"/>
    </w:rPr>
  </w:style>
  <w:style w:type="paragraph" w:styleId="CommentText">
    <w:name w:val="annotation text"/>
    <w:basedOn w:val="Normal"/>
    <w:link w:val="CommentTextChar"/>
    <w:uiPriority w:val="99"/>
    <w:semiHidden/>
    <w:unhideWhenUsed/>
    <w:rsid w:val="00784DDA"/>
    <w:pPr>
      <w:spacing w:line="240" w:lineRule="auto"/>
    </w:pPr>
    <w:rPr>
      <w:sz w:val="20"/>
      <w:szCs w:val="20"/>
    </w:rPr>
  </w:style>
  <w:style w:type="character" w:customStyle="1" w:styleId="CommentTextChar">
    <w:name w:val="Comment Text Char"/>
    <w:basedOn w:val="DefaultParagraphFont"/>
    <w:link w:val="CommentText"/>
    <w:uiPriority w:val="99"/>
    <w:semiHidden/>
    <w:rsid w:val="00784DDA"/>
    <w:rPr>
      <w:sz w:val="20"/>
      <w:szCs w:val="20"/>
    </w:rPr>
  </w:style>
  <w:style w:type="paragraph" w:styleId="CommentSubject">
    <w:name w:val="annotation subject"/>
    <w:basedOn w:val="CommentText"/>
    <w:next w:val="CommentText"/>
    <w:link w:val="CommentSubjectChar"/>
    <w:uiPriority w:val="99"/>
    <w:semiHidden/>
    <w:unhideWhenUsed/>
    <w:rsid w:val="00784DDA"/>
    <w:rPr>
      <w:b/>
      <w:bCs/>
    </w:rPr>
  </w:style>
  <w:style w:type="character" w:customStyle="1" w:styleId="CommentSubjectChar">
    <w:name w:val="Comment Subject Char"/>
    <w:basedOn w:val="CommentTextChar"/>
    <w:link w:val="CommentSubject"/>
    <w:uiPriority w:val="99"/>
    <w:semiHidden/>
    <w:rsid w:val="00784DDA"/>
    <w:rPr>
      <w:b/>
      <w:bCs/>
      <w:sz w:val="20"/>
      <w:szCs w:val="20"/>
    </w:rPr>
  </w:style>
  <w:style w:type="paragraph" w:styleId="Header">
    <w:name w:val="header"/>
    <w:basedOn w:val="Normal"/>
    <w:link w:val="HeaderChar"/>
    <w:uiPriority w:val="99"/>
    <w:unhideWhenUsed/>
    <w:rsid w:val="00063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5EE"/>
  </w:style>
  <w:style w:type="paragraph" w:styleId="Footer">
    <w:name w:val="footer"/>
    <w:basedOn w:val="Normal"/>
    <w:link w:val="FooterChar"/>
    <w:uiPriority w:val="99"/>
    <w:unhideWhenUsed/>
    <w:rsid w:val="00063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5EE"/>
  </w:style>
  <w:style w:type="character" w:customStyle="1" w:styleId="Heading1Char">
    <w:name w:val="Heading 1 Char"/>
    <w:basedOn w:val="DefaultParagraphFont"/>
    <w:link w:val="Heading1"/>
    <w:uiPriority w:val="9"/>
    <w:rsid w:val="003D1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11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8F48419BE469448265D6A066A148A7" ma:contentTypeVersion="4" ma:contentTypeDescription="Create a new document." ma:contentTypeScope="" ma:versionID="abdfd085d0d2ecc1b4b8166f02ecb4da">
  <xsd:schema xmlns:xsd="http://www.w3.org/2001/XMLSchema" xmlns:xs="http://www.w3.org/2001/XMLSchema" xmlns:p="http://schemas.microsoft.com/office/2006/metadata/properties" xmlns:ns2="97b2105c-4bbe-4c3b-9704-95ad1ddefb9a" targetNamespace="http://schemas.microsoft.com/office/2006/metadata/properties" ma:root="true" ma:fieldsID="ff9936ef7c01eb40c72050e2d0d27472" ns2:_="">
    <xsd:import namespace="97b2105c-4bbe-4c3b-9704-95ad1ddef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105c-4bbe-4c3b-9704-95ad1ddef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906DB-6D6E-48FD-A589-4ED626833257}">
  <ds:schemaRefs>
    <ds:schemaRef ds:uri="http://schemas.microsoft.com/sharepoint/v3/contenttype/forms"/>
  </ds:schemaRefs>
</ds:datastoreItem>
</file>

<file path=customXml/itemProps2.xml><?xml version="1.0" encoding="utf-8"?>
<ds:datastoreItem xmlns:ds="http://schemas.openxmlformats.org/officeDocument/2006/customXml" ds:itemID="{F3E0D1D1-1E7E-46C5-A742-5522BAF76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3201E-1907-40EA-9FE9-D3A4024D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105c-4bbe-4c3b-9704-95ad1ddef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C771E-5488-4332-AD69-E610A3A4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Stroke Clot Retrieval Referral Criteria</dc:title>
  <dc:subject/>
  <dc:creator/>
  <cp:keywords/>
  <dc:description/>
  <cp:lastModifiedBy>Allan Potter</cp:lastModifiedBy>
  <cp:revision>3</cp:revision>
  <dcterms:created xsi:type="dcterms:W3CDTF">2022-04-28T21:51:00Z</dcterms:created>
  <dcterms:modified xsi:type="dcterms:W3CDTF">2022-04-28T22:13:00Z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0x010100E08F48419BE469448265D6A066A148A7</vt:lpwstr>
  </property>
</Properties>
</file>