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9AFC" w14:textId="77777777" w:rsidR="00817A32" w:rsidRDefault="00817A32" w:rsidP="00817A32">
      <w:pPr>
        <w:jc w:val="right"/>
      </w:pPr>
      <w:r>
        <w:rPr>
          <w:noProof/>
        </w:rPr>
        <w:drawing>
          <wp:inline distT="0" distB="0" distL="0" distR="0" wp14:anchorId="6BA64465" wp14:editId="649AD3AB">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2C2D75E9" w14:textId="7C18B55C" w:rsidR="005561E4" w:rsidRDefault="00B622E0" w:rsidP="00B622E0">
      <w:pPr>
        <w:pStyle w:val="Heading3"/>
      </w:pPr>
      <w:r>
        <w:t>Appendix 1: Table A1: Recommended Testing by Target Group</w:t>
      </w:r>
    </w:p>
    <w:p w14:paraId="294F8B78" w14:textId="77777777" w:rsidR="00E52968" w:rsidRPr="00B622E0" w:rsidRDefault="00E52968" w:rsidP="006534F8">
      <w:pPr>
        <w:spacing w:after="120" w:line="240" w:lineRule="auto"/>
        <w:rPr>
          <w:sz w:val="8"/>
          <w:szCs w:val="6"/>
        </w:rPr>
      </w:pPr>
    </w:p>
    <w:tbl>
      <w:tblPr>
        <w:tblStyle w:val="TeWhatuOra"/>
        <w:tblpPr w:leftFromText="180" w:rightFromText="180" w:vertAnchor="page" w:horzAnchor="margin" w:tblpY="3125"/>
        <w:tblW w:w="5000" w:type="pct"/>
        <w:tblLook w:val="04A0" w:firstRow="1" w:lastRow="0" w:firstColumn="1" w:lastColumn="0" w:noHBand="0" w:noVBand="1"/>
      </w:tblPr>
      <w:tblGrid>
        <w:gridCol w:w="2045"/>
        <w:gridCol w:w="4729"/>
        <w:gridCol w:w="14759"/>
      </w:tblGrid>
      <w:tr w:rsidR="00B622E0" w:rsidRPr="00B622E0" w14:paraId="6F19B0CE" w14:textId="77777777" w:rsidTr="00B622E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hideMark/>
          </w:tcPr>
          <w:p w14:paraId="28B1590E" w14:textId="77777777" w:rsidR="00B622E0" w:rsidRPr="00B622E0" w:rsidRDefault="00B622E0" w:rsidP="00B622E0">
            <w:pPr>
              <w:pStyle w:val="TableText"/>
              <w:spacing w:before="40" w:beforeAutospacing="0" w:after="40" w:afterAutospacing="0" w:line="240" w:lineRule="auto"/>
            </w:pPr>
            <w:r w:rsidRPr="00B622E0">
              <w:t>Symptomology</w:t>
            </w:r>
          </w:p>
        </w:tc>
        <w:tc>
          <w:tcPr>
            <w:tcW w:w="4525" w:type="pct"/>
            <w:gridSpan w:val="2"/>
          </w:tcPr>
          <w:p w14:paraId="36B23EA2" w14:textId="77777777" w:rsidR="00B622E0" w:rsidRPr="00B622E0" w:rsidRDefault="00B622E0" w:rsidP="00B622E0">
            <w:pPr>
              <w:pStyle w:val="TableText"/>
              <w:spacing w:before="40" w:beforeAutospacing="0" w:after="40" w:afterAutospacing="0" w:line="240" w:lineRule="auto"/>
              <w:jc w:val="center"/>
              <w:cnfStyle w:val="100000000000" w:firstRow="1" w:lastRow="0" w:firstColumn="0" w:lastColumn="0" w:oddVBand="0" w:evenVBand="0" w:oddHBand="0" w:evenHBand="0" w:firstRowFirstColumn="0" w:firstRowLastColumn="0" w:lastRowFirstColumn="0" w:lastRowLastColumn="0"/>
            </w:pPr>
            <w:r w:rsidRPr="00B622E0">
              <w:t>RECOMMENDED TESTING</w:t>
            </w:r>
          </w:p>
        </w:tc>
      </w:tr>
      <w:tr w:rsidR="00B622E0" w:rsidRPr="00B622E0" w14:paraId="7B39F228" w14:textId="77777777" w:rsidTr="00B622E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3"/>
          </w:tcPr>
          <w:p w14:paraId="47A0B483" w14:textId="77777777" w:rsidR="00B622E0" w:rsidRPr="00B622E0" w:rsidRDefault="00B622E0" w:rsidP="00B622E0">
            <w:pPr>
              <w:pStyle w:val="TableText"/>
              <w:spacing w:before="40" w:beforeAutospacing="0" w:after="40" w:afterAutospacing="0" w:line="240" w:lineRule="auto"/>
            </w:pPr>
            <w:r w:rsidRPr="00B622E0">
              <w:t xml:space="preserve">Factors for service managers to consider implementing testing and response to management of an outbreak: </w:t>
            </w:r>
            <w:r w:rsidRPr="00B622E0">
              <w:rPr>
                <w:b w:val="0"/>
                <w:bCs/>
              </w:rPr>
              <w:t>hospital bed capacity + laboratory testing capacity + capability + testing supplies + staffing levels + demands for testing services + case rates +hospitalisation rates</w:t>
            </w:r>
          </w:p>
        </w:tc>
      </w:tr>
      <w:tr w:rsidR="00B622E0" w:rsidRPr="00B622E0" w14:paraId="4930CF43" w14:textId="77777777" w:rsidTr="00B622E0">
        <w:trPr>
          <w:trHeight w:val="20"/>
        </w:trPr>
        <w:tc>
          <w:tcPr>
            <w:cnfStyle w:val="001000000000" w:firstRow="0" w:lastRow="0" w:firstColumn="1" w:lastColumn="0" w:oddVBand="0" w:evenVBand="0" w:oddHBand="0" w:evenHBand="0" w:firstRowFirstColumn="0" w:firstRowLastColumn="0" w:lastRowFirstColumn="0" w:lastRowLastColumn="0"/>
            <w:tcW w:w="475" w:type="pct"/>
            <w:vMerge w:val="restart"/>
            <w:hideMark/>
          </w:tcPr>
          <w:p w14:paraId="790BF04C" w14:textId="77777777" w:rsidR="00B622E0" w:rsidRPr="00B622E0" w:rsidRDefault="00B622E0" w:rsidP="00B622E0">
            <w:pPr>
              <w:pStyle w:val="TableText"/>
              <w:spacing w:before="40" w:beforeAutospacing="0" w:after="40" w:afterAutospacing="0" w:line="240" w:lineRule="auto"/>
            </w:pPr>
            <w:r w:rsidRPr="00B622E0">
              <w:t xml:space="preserve">Symptomatic </w:t>
            </w:r>
          </w:p>
        </w:tc>
        <w:tc>
          <w:tcPr>
            <w:tcW w:w="1098" w:type="pct"/>
          </w:tcPr>
          <w:p w14:paraId="5A0E98E8" w14:textId="77777777"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General population (community and self-testing)</w:t>
            </w:r>
          </w:p>
        </w:tc>
        <w:tc>
          <w:tcPr>
            <w:tcW w:w="3427" w:type="pct"/>
          </w:tcPr>
          <w:p w14:paraId="714E2B9F" w14:textId="50D593D1"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RAT</w:t>
            </w:r>
          </w:p>
          <w:p w14:paraId="5721DD3A" w14:textId="2C948B93"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t>If RAT is negative, and COVID-19 symptoms persist, repeat RAT in 24 and 48 hours</w:t>
            </w:r>
          </w:p>
        </w:tc>
      </w:tr>
      <w:tr w:rsidR="00B622E0" w:rsidRPr="00B622E0" w14:paraId="33CC4396" w14:textId="77777777" w:rsidTr="00B622E0">
        <w:trPr>
          <w:trHeight w:val="20"/>
        </w:trPr>
        <w:tc>
          <w:tcPr>
            <w:cnfStyle w:val="001000000000" w:firstRow="0" w:lastRow="0" w:firstColumn="1" w:lastColumn="0" w:oddVBand="0" w:evenVBand="0" w:oddHBand="0" w:evenHBand="0" w:firstRowFirstColumn="0" w:firstRowLastColumn="0" w:lastRowFirstColumn="0" w:lastRowLastColumn="0"/>
            <w:tcW w:w="475" w:type="pct"/>
            <w:vMerge/>
          </w:tcPr>
          <w:p w14:paraId="708C2B55" w14:textId="77777777" w:rsidR="00B622E0" w:rsidRPr="00B622E0" w:rsidRDefault="00B622E0" w:rsidP="00B622E0">
            <w:pPr>
              <w:pStyle w:val="TableText"/>
              <w:spacing w:before="40" w:beforeAutospacing="0" w:after="40" w:afterAutospacing="0" w:line="240" w:lineRule="auto"/>
            </w:pPr>
          </w:p>
        </w:tc>
        <w:tc>
          <w:tcPr>
            <w:tcW w:w="1098" w:type="pct"/>
          </w:tcPr>
          <w:p w14:paraId="4C674E98" w14:textId="77777777"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Facilities (Aged Residential Care, Community Residential Care, Hospices, Correctional and Youth Justice)</w:t>
            </w:r>
          </w:p>
          <w:p w14:paraId="323EFAA8" w14:textId="77777777"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Hospitals</w:t>
            </w:r>
          </w:p>
          <w:p w14:paraId="3522C5EA" w14:textId="77777777"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Outpatients</w:t>
            </w:r>
          </w:p>
          <w:p w14:paraId="120F7568" w14:textId="77777777"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Emergency services</w:t>
            </w:r>
          </w:p>
        </w:tc>
        <w:tc>
          <w:tcPr>
            <w:tcW w:w="3427" w:type="pct"/>
          </w:tcPr>
          <w:p w14:paraId="0AAB6CA9" w14:textId="77777777"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RAT (to inform clinical and public health management decisions)</w:t>
            </w:r>
          </w:p>
          <w:p w14:paraId="1F673FFF" w14:textId="31A7A770"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Cs/>
              </w:rPr>
            </w:pPr>
            <w:r w:rsidRPr="00B622E0">
              <w:t xml:space="preserve">If </w:t>
            </w:r>
            <w:r w:rsidRPr="00B622E0">
              <w:rPr>
                <w:bCs/>
              </w:rPr>
              <w:t>RAT</w:t>
            </w:r>
            <w:r w:rsidRPr="00B622E0">
              <w:t xml:space="preserve"> is negative, and COVID-19 symptoms persist, repeat </w:t>
            </w:r>
            <w:r w:rsidRPr="00B622E0">
              <w:rPr>
                <w:bCs/>
              </w:rPr>
              <w:t>RAT</w:t>
            </w:r>
            <w:r w:rsidRPr="00B622E0">
              <w:t xml:space="preserve"> in 24 and 48 hours</w:t>
            </w:r>
          </w:p>
          <w:p w14:paraId="720CF318" w14:textId="07CF315B"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Cs/>
              </w:rPr>
            </w:pPr>
            <w:r w:rsidRPr="00B622E0">
              <w:rPr>
                <w:bCs/>
              </w:rPr>
              <w:t>PCR</w:t>
            </w:r>
            <w:r w:rsidRPr="00B622E0">
              <w:t xml:space="preserve"> </w:t>
            </w:r>
            <w:r w:rsidRPr="00B622E0">
              <w:rPr>
                <w:bCs/>
              </w:rPr>
              <w:t>where a result can influence treatment options</w:t>
            </w:r>
            <w:r w:rsidRPr="00B622E0">
              <w:t xml:space="preserve"> </w:t>
            </w:r>
            <w:r w:rsidRPr="00B622E0">
              <w:rPr>
                <w:bCs/>
              </w:rPr>
              <w:t>for priority people</w:t>
            </w:r>
            <w:r w:rsidRPr="00B622E0">
              <w:rPr>
                <w:bCs/>
                <w:vertAlign w:val="superscript"/>
              </w:rPr>
              <w:t>1</w:t>
            </w:r>
            <w:r w:rsidRPr="00B622E0">
              <w:rPr>
                <w:bCs/>
              </w:rPr>
              <w:t xml:space="preserve"> and those at risk of severe illness from COVID-19(vulnerable)</w:t>
            </w:r>
            <w:r w:rsidRPr="00B622E0">
              <w:rPr>
                <w:bCs/>
                <w:vertAlign w:val="superscript"/>
              </w:rPr>
              <w:t>2</w:t>
            </w:r>
          </w:p>
          <w:p w14:paraId="4F8170AC" w14:textId="77777777"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t>(For all hospitalised positive PCR cases, refer samples for Whole Genome Sequencing WGS)</w:t>
            </w:r>
          </w:p>
        </w:tc>
      </w:tr>
      <w:tr w:rsidR="00B622E0" w:rsidRPr="00B622E0" w14:paraId="0D2A3B0B" w14:textId="77777777" w:rsidTr="00B622E0">
        <w:trPr>
          <w:trHeight w:val="20"/>
        </w:trPr>
        <w:tc>
          <w:tcPr>
            <w:cnfStyle w:val="001000000000" w:firstRow="0" w:lastRow="0" w:firstColumn="1" w:lastColumn="0" w:oddVBand="0" w:evenVBand="0" w:oddHBand="0" w:evenHBand="0" w:firstRowFirstColumn="0" w:firstRowLastColumn="0" w:lastRowFirstColumn="0" w:lastRowLastColumn="0"/>
            <w:tcW w:w="475" w:type="pct"/>
            <w:vMerge/>
          </w:tcPr>
          <w:p w14:paraId="3E49A7CF" w14:textId="77777777" w:rsidR="00B622E0" w:rsidRPr="00B622E0" w:rsidRDefault="00B622E0" w:rsidP="00B622E0">
            <w:pPr>
              <w:pStyle w:val="TableText"/>
              <w:spacing w:before="40" w:beforeAutospacing="0" w:after="40" w:afterAutospacing="0" w:line="240" w:lineRule="auto"/>
            </w:pPr>
          </w:p>
        </w:tc>
        <w:tc>
          <w:tcPr>
            <w:tcW w:w="1098" w:type="pct"/>
          </w:tcPr>
          <w:p w14:paraId="2AB793A1" w14:textId="77777777"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B622E0">
              <w:rPr>
                <w:b/>
                <w:bCs/>
              </w:rPr>
              <w:t>Priority People</w:t>
            </w:r>
            <w:r w:rsidRPr="00B622E0">
              <w:rPr>
                <w:b/>
                <w:bCs/>
                <w:vertAlign w:val="superscript"/>
              </w:rPr>
              <w:t>1</w:t>
            </w:r>
            <w:r w:rsidRPr="00B622E0">
              <w:rPr>
                <w:b/>
                <w:bCs/>
              </w:rPr>
              <w:t xml:space="preserve"> and those at higher risk of severe illness from COVID-19 (vulnerable)</w:t>
            </w:r>
            <w:r w:rsidRPr="00B622E0">
              <w:rPr>
                <w:b/>
                <w:bCs/>
                <w:vertAlign w:val="superscript"/>
              </w:rPr>
              <w:t>2</w:t>
            </w:r>
          </w:p>
        </w:tc>
        <w:tc>
          <w:tcPr>
            <w:tcW w:w="3427" w:type="pct"/>
          </w:tcPr>
          <w:p w14:paraId="5FA762C0" w14:textId="77777777"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rPr>
                <w:b/>
              </w:rPr>
            </w:pPr>
            <w:r w:rsidRPr="00B622E0">
              <w:rPr>
                <w:b/>
              </w:rPr>
              <w:t>SELF-TEST RAT</w:t>
            </w:r>
          </w:p>
          <w:p w14:paraId="338442BB" w14:textId="32A53658"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rPr>
                <w:bCs/>
              </w:rPr>
              <w:t xml:space="preserve">If unable to self-test - ASSISTED RAT </w:t>
            </w:r>
            <w:r w:rsidRPr="00B622E0">
              <w:t>(Community Provider or GP)</w:t>
            </w:r>
          </w:p>
          <w:p w14:paraId="5F61B617" w14:textId="77777777"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t>If RAT is negative, and COVID-19 symptoms persist, repeat RAT in 24 and 48 hours</w:t>
            </w:r>
          </w:p>
          <w:p w14:paraId="13B47647" w14:textId="07228FFC" w:rsidR="00B622E0" w:rsidRPr="00B622E0" w:rsidRDefault="00B622E0" w:rsidP="00B622E0">
            <w:pPr>
              <w:pStyle w:val="TableText"/>
              <w:spacing w:before="40" w:beforeAutospacing="0" w:after="40" w:afterAutospacing="0" w:line="240" w:lineRule="auto"/>
              <w:jc w:val="center"/>
              <w:cnfStyle w:val="000000000000" w:firstRow="0" w:lastRow="0" w:firstColumn="0" w:lastColumn="0" w:oddVBand="0" w:evenVBand="0" w:oddHBand="0" w:evenHBand="0" w:firstRowFirstColumn="0" w:firstRowLastColumn="0" w:lastRowFirstColumn="0" w:lastRowLastColumn="0"/>
            </w:pPr>
            <w:r w:rsidRPr="00B622E0">
              <w:t>PCR where a result can influence treatment options</w:t>
            </w:r>
          </w:p>
        </w:tc>
      </w:tr>
      <w:tr w:rsidR="00B622E0" w:rsidRPr="00B622E0" w14:paraId="17F52AA2" w14:textId="77777777" w:rsidTr="00B622E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3"/>
          </w:tcPr>
          <w:p w14:paraId="2827BFC8" w14:textId="07BC9AAD" w:rsidR="00B622E0" w:rsidRPr="00B622E0" w:rsidRDefault="00B622E0" w:rsidP="00B622E0">
            <w:pPr>
              <w:pStyle w:val="TableText"/>
              <w:spacing w:before="40" w:beforeAutospacing="0" w:after="40" w:afterAutospacing="0" w:line="240" w:lineRule="auto"/>
              <w:rPr>
                <w:b w:val="0"/>
                <w:bCs/>
              </w:rPr>
            </w:pPr>
            <w:r w:rsidRPr="00B622E0">
              <w:rPr>
                <w:b w:val="0"/>
                <w:bCs/>
              </w:rPr>
              <w:t xml:space="preserve">Symptomatic patient presenting to General Practice (GP) – please refer to the </w:t>
            </w:r>
            <w:hyperlink r:id="rId9" w:history="1">
              <w:r w:rsidR="000F1101" w:rsidRPr="00155C8E">
                <w:rPr>
                  <w:rFonts w:ascii="Arial" w:hAnsi="Arial" w:cs="Arial"/>
                  <w:b w:val="0"/>
                  <w:bCs/>
                  <w:color w:val="0000FF"/>
                  <w:szCs w:val="24"/>
                  <w:u w:val="single"/>
                </w:rPr>
                <w:t>COVID-19 Testing Operational Guidance for General Practice and Urgent Care</w:t>
              </w:r>
            </w:hyperlink>
          </w:p>
        </w:tc>
      </w:tr>
      <w:tr w:rsidR="00B622E0" w:rsidRPr="00B622E0" w14:paraId="0D3611AF" w14:textId="77777777" w:rsidTr="00B622E0">
        <w:trPr>
          <w:trHeight w:val="20"/>
        </w:trPr>
        <w:tc>
          <w:tcPr>
            <w:cnfStyle w:val="001000000000" w:firstRow="0" w:lastRow="0" w:firstColumn="1" w:lastColumn="0" w:oddVBand="0" w:evenVBand="0" w:oddHBand="0" w:evenHBand="0" w:firstRowFirstColumn="0" w:firstRowLastColumn="0" w:lastRowFirstColumn="0" w:lastRowLastColumn="0"/>
            <w:tcW w:w="475" w:type="pct"/>
            <w:hideMark/>
          </w:tcPr>
          <w:p w14:paraId="33714D90" w14:textId="77777777" w:rsidR="00B622E0" w:rsidRPr="00B622E0" w:rsidRDefault="00B622E0" w:rsidP="00B622E0">
            <w:pPr>
              <w:pStyle w:val="TableText"/>
              <w:spacing w:before="40" w:beforeAutospacing="0" w:after="40" w:afterAutospacing="0" w:line="240" w:lineRule="auto"/>
            </w:pPr>
            <w:r w:rsidRPr="00B622E0">
              <w:t>Symptomatic international arrival</w:t>
            </w:r>
          </w:p>
        </w:tc>
        <w:tc>
          <w:tcPr>
            <w:tcW w:w="4525" w:type="pct"/>
            <w:gridSpan w:val="2"/>
            <w:hideMark/>
          </w:tcPr>
          <w:p w14:paraId="1CB95672" w14:textId="77777777" w:rsidR="00B622E0" w:rsidRPr="00B622E0" w:rsidRDefault="00B622E0" w:rsidP="00B622E0">
            <w:pPr>
              <w:pStyle w:val="TableText"/>
              <w:spacing w:before="40" w:beforeAutospacing="0" w:after="40" w:afterAutospacing="0" w:line="240" w:lineRule="auto"/>
              <w:cnfStyle w:val="000000000000" w:firstRow="0" w:lastRow="0" w:firstColumn="0" w:lastColumn="0" w:oddVBand="0" w:evenVBand="0" w:oddHBand="0" w:evenHBand="0" w:firstRowFirstColumn="0" w:firstRowLastColumn="0" w:lastRowFirstColumn="0" w:lastRowLastColumn="0"/>
            </w:pPr>
            <w:r w:rsidRPr="00B622E0">
              <w:t xml:space="preserve">Self-test with </w:t>
            </w:r>
            <w:r w:rsidRPr="00B622E0">
              <w:rPr>
                <w:b/>
                <w:bCs/>
              </w:rPr>
              <w:t>RAT</w:t>
            </w:r>
            <w:r w:rsidRPr="00B622E0">
              <w:t xml:space="preserve"> - if positive, get a </w:t>
            </w:r>
            <w:r w:rsidRPr="00B622E0">
              <w:rPr>
                <w:b/>
                <w:bCs/>
              </w:rPr>
              <w:t>PCR</w:t>
            </w:r>
            <w:r w:rsidRPr="00B622E0">
              <w:t xml:space="preserve"> to enable Whole Genome Sequencing (</w:t>
            </w:r>
            <w:r w:rsidRPr="00B622E0">
              <w:rPr>
                <w:b/>
                <w:bCs/>
              </w:rPr>
              <w:t>WGS</w:t>
            </w:r>
            <w:r w:rsidRPr="00B622E0">
              <w:t>)</w:t>
            </w:r>
          </w:p>
        </w:tc>
      </w:tr>
      <w:tr w:rsidR="00B622E0" w:rsidRPr="00B622E0" w14:paraId="0033D281" w14:textId="77777777" w:rsidTr="00B622E0">
        <w:trPr>
          <w:trHeight w:val="20"/>
        </w:trPr>
        <w:tc>
          <w:tcPr>
            <w:cnfStyle w:val="001000000000" w:firstRow="0" w:lastRow="0" w:firstColumn="1" w:lastColumn="0" w:oddVBand="0" w:evenVBand="0" w:oddHBand="0" w:evenHBand="0" w:firstRowFirstColumn="0" w:firstRowLastColumn="0" w:lastRowFirstColumn="0" w:lastRowLastColumn="0"/>
            <w:tcW w:w="475" w:type="pct"/>
            <w:hideMark/>
          </w:tcPr>
          <w:p w14:paraId="6E5117E0" w14:textId="77777777" w:rsidR="00B622E0" w:rsidRPr="00B622E0" w:rsidRDefault="00B622E0" w:rsidP="00B622E0">
            <w:pPr>
              <w:pStyle w:val="TableText"/>
              <w:spacing w:before="40" w:beforeAutospacing="0" w:after="40" w:afterAutospacing="0" w:line="240" w:lineRule="auto"/>
            </w:pPr>
            <w:r w:rsidRPr="00B622E0">
              <w:t>Asymptomatic (household contacts)</w:t>
            </w:r>
          </w:p>
        </w:tc>
        <w:tc>
          <w:tcPr>
            <w:tcW w:w="4525" w:type="pct"/>
            <w:gridSpan w:val="2"/>
          </w:tcPr>
          <w:p w14:paraId="06769B55" w14:textId="451B087A" w:rsidR="00B622E0" w:rsidRPr="00B622E0" w:rsidRDefault="00B622E0" w:rsidP="00B622E0">
            <w:pPr>
              <w:pStyle w:val="TableText"/>
              <w:spacing w:before="40" w:beforeAutospacing="0" w:after="40" w:afterAutospacing="0" w:line="240" w:lineRule="auto"/>
              <w:cnfStyle w:val="000000000000" w:firstRow="0" w:lastRow="0" w:firstColumn="0" w:lastColumn="0" w:oddVBand="0" w:evenVBand="0" w:oddHBand="0" w:evenHBand="0" w:firstRowFirstColumn="0" w:firstRowLastColumn="0" w:lastRowFirstColumn="0" w:lastRowLastColumn="0"/>
              <w:rPr>
                <w:u w:val="single"/>
              </w:rPr>
            </w:pPr>
            <w:r w:rsidRPr="00B622E0">
              <w:rPr>
                <w:b/>
              </w:rPr>
              <w:t>Household contacts</w:t>
            </w:r>
            <w:r w:rsidRPr="00B622E0">
              <w:t xml:space="preserve">: for definition, testing, and management </w:t>
            </w:r>
            <w:hyperlink r:id="rId10" w:anchor="guidance-on-managing-community-cases-and-contacts" w:history="1">
              <w:r w:rsidR="005D389D">
                <w:rPr>
                  <w:rStyle w:val="Hyperlink"/>
                  <w:rFonts w:ascii="Arial" w:hAnsi="Arial" w:cs="Arial"/>
                  <w:b w:val="0"/>
                  <w:bCs/>
                  <w:szCs w:val="24"/>
                </w:rPr>
                <w:t>see here</w:t>
              </w:r>
            </w:hyperlink>
          </w:p>
          <w:p w14:paraId="0F31AFD9" w14:textId="77777777" w:rsidR="00B622E0" w:rsidRPr="00B622E0" w:rsidRDefault="00B622E0" w:rsidP="00B622E0">
            <w:pPr>
              <w:pStyle w:val="TableText"/>
              <w:spacing w:before="40" w:beforeAutospacing="0" w:after="40" w:afterAutospacing="0" w:line="240" w:lineRule="auto"/>
              <w:cnfStyle w:val="000000000000" w:firstRow="0" w:lastRow="0" w:firstColumn="0" w:lastColumn="0" w:oddVBand="0" w:evenVBand="0" w:oddHBand="0" w:evenHBand="0" w:firstRowFirstColumn="0" w:firstRowLastColumn="0" w:lastRowFirstColumn="0" w:lastRowLastColumn="0"/>
            </w:pPr>
            <w:r w:rsidRPr="00B622E0">
              <w:t>No other asymptomatic testing is recommended</w:t>
            </w:r>
          </w:p>
        </w:tc>
      </w:tr>
    </w:tbl>
    <w:p w14:paraId="27E71B82" w14:textId="77777777" w:rsidR="00B622E0" w:rsidRDefault="00B622E0" w:rsidP="006534F8">
      <w:pPr>
        <w:spacing w:after="120"/>
      </w:pPr>
      <w:r>
        <w:t xml:space="preserve">Priority people1 are defined as those who are inequitably impacted by COVID-19. People in this group are eligible for targeted assessments regarding additional clinical and social support. The COVID-19 pandemic has exacerbated existing inequities for specific groups, including: </w:t>
      </w:r>
      <w:r w:rsidRPr="00194229">
        <w:rPr>
          <w:b/>
          <w:bCs/>
        </w:rPr>
        <w:t>Māori</w:t>
      </w:r>
      <w:r>
        <w:t xml:space="preserve"> who experience greater inequity and disadvantage due to COVID-19 resulting in poorer outcomes, </w:t>
      </w:r>
      <w:r w:rsidRPr="00194229">
        <w:rPr>
          <w:b/>
          <w:bCs/>
        </w:rPr>
        <w:t>Pacific People</w:t>
      </w:r>
      <w:r>
        <w:t xml:space="preserve"> who have had the highest age-standardised hospitalisation rates for COVID-19, and experienced age-standardised mortality rates 2.4 times greater than European and other population groups. Other priority groups within our population who may also experience inequity due to poorer health or social outcomes and/or barriers to accessing testing include: </w:t>
      </w:r>
      <w:r w:rsidRPr="00194229">
        <w:rPr>
          <w:b/>
          <w:bCs/>
        </w:rPr>
        <w:t>Elderly (65 years and over)</w:t>
      </w:r>
      <w:r>
        <w:t xml:space="preserve"> experience inequity as this age group collectively has the highest rate of poor outcomes including total numbers hospitalised, average length of stay and/or death from COVID-19. Māori and Pacific people are overrepresented in case numbers for the 65 years and over age group as well as other age groups </w:t>
      </w:r>
      <w:r w:rsidRPr="00194229">
        <w:rPr>
          <w:b/>
          <w:bCs/>
        </w:rPr>
        <w:t>Disabled people</w:t>
      </w:r>
      <w:r>
        <w:t xml:space="preserve"> (including </w:t>
      </w:r>
      <w:proofErr w:type="spellStart"/>
      <w:r>
        <w:t>tāngata</w:t>
      </w:r>
      <w:proofErr w:type="spellEnd"/>
      <w:r>
        <w:t xml:space="preserve"> </w:t>
      </w:r>
      <w:proofErr w:type="spellStart"/>
      <w:r>
        <w:t>whaikaha</w:t>
      </w:r>
      <w:proofErr w:type="spellEnd"/>
      <w:r>
        <w:t xml:space="preserve"> Māori and Pacific disabled people) experience inequities due to greater barriers to access, and for some within this group, increased susceptibility to COVID-19 infection and/or complications. </w:t>
      </w:r>
      <w:r w:rsidRPr="00194229">
        <w:rPr>
          <w:b/>
          <w:bCs/>
        </w:rPr>
        <w:t xml:space="preserve">People with severe mental health and addiction, other inequitably impacted populations </w:t>
      </w:r>
      <w:r>
        <w:t xml:space="preserve">including refugee and asylum seekers, remote and rural people1, rough sleepers and those in transitional housing, and those not enrolled in primary practices. </w:t>
      </w:r>
    </w:p>
    <w:p w14:paraId="6E4F6F68" w14:textId="2F99418D" w:rsidR="00B622E0" w:rsidRPr="00E52968" w:rsidRDefault="00B622E0" w:rsidP="006534F8">
      <w:pPr>
        <w:spacing w:after="120"/>
      </w:pPr>
      <w:r>
        <w:t xml:space="preserve">The following group are those at higher risk of severe illness from COVID-19 </w:t>
      </w:r>
      <w:r w:rsidRPr="00194229">
        <w:rPr>
          <w:b/>
          <w:bCs/>
        </w:rPr>
        <w:t>(vulnerable people)</w:t>
      </w:r>
      <w:r w:rsidRPr="00194229">
        <w:rPr>
          <w:b/>
          <w:bCs/>
          <w:vertAlign w:val="superscript"/>
        </w:rPr>
        <w:t>2</w:t>
      </w:r>
      <w:r w:rsidRPr="00194229">
        <w:rPr>
          <w:b/>
          <w:bCs/>
        </w:rPr>
        <w:t xml:space="preserve"> People with high-risk medical conditions (long-term health conditions and/or immunocompromised) </w:t>
      </w:r>
      <w:r>
        <w:t xml:space="preserve">are </w:t>
      </w:r>
      <w:hyperlink r:id="rId11" w:history="1">
        <w:r w:rsidRPr="006534F8">
          <w:rPr>
            <w:rStyle w:val="Hyperlink"/>
          </w:rPr>
          <w:t>inequitably impacted due to increased susceptibility to COVID-19 infection and/or complications</w:t>
        </w:r>
      </w:hyperlink>
      <w:r>
        <w:t xml:space="preserve">, </w:t>
      </w:r>
      <w:r w:rsidRPr="008C6B93">
        <w:rPr>
          <w:b/>
          <w:bCs/>
        </w:rPr>
        <w:t>Pregnant people</w:t>
      </w:r>
      <w:r>
        <w:t xml:space="preserve">. (Note this group includes Māori, Pacific people and the elderly over 65).  </w:t>
      </w:r>
    </w:p>
    <w:sectPr w:rsidR="00B622E0" w:rsidRPr="00E52968" w:rsidSect="00B622E0">
      <w:footerReference w:type="default" r:id="rId12"/>
      <w:pgSz w:w="23811" w:h="16838" w:orient="landscape" w:code="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69ED" w14:textId="77777777" w:rsidR="00C8225E" w:rsidRDefault="00C8225E" w:rsidP="00817A32">
      <w:pPr>
        <w:spacing w:before="0" w:after="0" w:line="240" w:lineRule="auto"/>
      </w:pPr>
      <w:r>
        <w:separator/>
      </w:r>
    </w:p>
  </w:endnote>
  <w:endnote w:type="continuationSeparator" w:id="0">
    <w:p w14:paraId="280F8A9F" w14:textId="77777777" w:rsidR="00C8225E" w:rsidRDefault="00C8225E"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24F4" w14:textId="560AE4A7" w:rsidR="00222274" w:rsidRPr="00630DE1" w:rsidRDefault="00390680"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 xml:space="preserve">Updated August </w:t>
    </w:r>
    <w:r w:rsidR="00230D2A">
      <w:rPr>
        <w:rFonts w:ascii="Arial" w:eastAsia="Calibri" w:hAnsi="Arial" w:cs="Arial"/>
        <w:noProof/>
        <w:szCs w:val="24"/>
      </w:rPr>
      <w:t>2023</w:t>
    </w:r>
    <w:r w:rsidR="00222274" w:rsidRPr="00222274">
      <w:rPr>
        <w:rFonts w:ascii="Arial" w:eastAsia="Calibri" w:hAnsi="Arial" w:cs="Arial"/>
        <w:noProof/>
        <w:szCs w:val="24"/>
      </w:rPr>
      <w:tab/>
    </w:r>
    <w:r w:rsidR="00B622E0">
      <w:rPr>
        <w:rFonts w:ascii="Arial" w:eastAsia="Calibri" w:hAnsi="Arial" w:cs="Arial"/>
        <w:noProof/>
        <w:szCs w:val="24"/>
      </w:rPr>
      <w:ptab w:relativeTo="margin" w:alignment="right" w:leader="none"/>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DF6D" w14:textId="77777777" w:rsidR="00C8225E" w:rsidRDefault="00C8225E" w:rsidP="00817A32">
      <w:pPr>
        <w:spacing w:before="0" w:after="0" w:line="240" w:lineRule="auto"/>
      </w:pPr>
    </w:p>
  </w:footnote>
  <w:footnote w:type="continuationSeparator" w:id="0">
    <w:p w14:paraId="57DAF605" w14:textId="77777777" w:rsidR="00C8225E" w:rsidRDefault="00C8225E"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D05531"/>
    <w:multiLevelType w:val="hybridMultilevel"/>
    <w:tmpl w:val="F720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1C43E5"/>
    <w:multiLevelType w:val="hybridMultilevel"/>
    <w:tmpl w:val="F40C0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157B4040"/>
    <w:multiLevelType w:val="multilevel"/>
    <w:tmpl w:val="2C5E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070BC"/>
    <w:multiLevelType w:val="hybridMultilevel"/>
    <w:tmpl w:val="57F48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B05372"/>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010BBD"/>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704A4"/>
    <w:multiLevelType w:val="hybridMultilevel"/>
    <w:tmpl w:val="CA84A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325B96"/>
    <w:multiLevelType w:val="hybridMultilevel"/>
    <w:tmpl w:val="8592B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7A16CB"/>
    <w:multiLevelType w:val="hybridMultilevel"/>
    <w:tmpl w:val="35068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A4206E6"/>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1F17C2"/>
    <w:multiLevelType w:val="multilevel"/>
    <w:tmpl w:val="3B2A1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CE6659"/>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934F17"/>
    <w:multiLevelType w:val="hybridMultilevel"/>
    <w:tmpl w:val="CC0C9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B25D67"/>
    <w:multiLevelType w:val="hybridMultilevel"/>
    <w:tmpl w:val="F6941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E51083B"/>
    <w:multiLevelType w:val="hybridMultilevel"/>
    <w:tmpl w:val="BBB6B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5E136E"/>
    <w:multiLevelType w:val="hybridMultilevel"/>
    <w:tmpl w:val="36408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0557831"/>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EC52CF"/>
    <w:multiLevelType w:val="hybridMultilevel"/>
    <w:tmpl w:val="45A2B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4B647A"/>
    <w:multiLevelType w:val="hybridMultilevel"/>
    <w:tmpl w:val="B5D2C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AD408F6"/>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13717E"/>
    <w:multiLevelType w:val="multilevel"/>
    <w:tmpl w:val="53C41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97" w:hanging="227"/>
      </w:pPr>
      <w:rPr>
        <w:rFonts w:ascii="Symbol" w:hAnsi="Symbol" w:hint="default"/>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A9609B"/>
    <w:multiLevelType w:val="hybridMultilevel"/>
    <w:tmpl w:val="3CB8E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F916242"/>
    <w:multiLevelType w:val="hybridMultilevel"/>
    <w:tmpl w:val="B6160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6044CB3"/>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5E0297"/>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6F4ED9"/>
    <w:multiLevelType w:val="hybridMultilevel"/>
    <w:tmpl w:val="4ECE9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3"/>
  </w:num>
  <w:num w:numId="6">
    <w:abstractNumId w:val="0"/>
  </w:num>
  <w:num w:numId="7">
    <w:abstractNumId w:val="7"/>
  </w:num>
  <w:num w:numId="8">
    <w:abstractNumId w:val="8"/>
  </w:num>
  <w:num w:numId="9">
    <w:abstractNumId w:val="17"/>
  </w:num>
  <w:num w:numId="10">
    <w:abstractNumId w:val="14"/>
  </w:num>
  <w:num w:numId="11">
    <w:abstractNumId w:val="16"/>
  </w:num>
  <w:num w:numId="12">
    <w:abstractNumId w:val="22"/>
  </w:num>
  <w:num w:numId="13">
    <w:abstractNumId w:val="23"/>
  </w:num>
  <w:num w:numId="14">
    <w:abstractNumId w:val="27"/>
  </w:num>
  <w:num w:numId="15">
    <w:abstractNumId w:val="24"/>
  </w:num>
  <w:num w:numId="16">
    <w:abstractNumId w:val="10"/>
  </w:num>
  <w:num w:numId="17">
    <w:abstractNumId w:val="9"/>
  </w:num>
  <w:num w:numId="18">
    <w:abstractNumId w:val="18"/>
  </w:num>
  <w:num w:numId="19">
    <w:abstractNumId w:val="29"/>
  </w:num>
  <w:num w:numId="20">
    <w:abstractNumId w:val="31"/>
  </w:num>
  <w:num w:numId="21">
    <w:abstractNumId w:val="30"/>
  </w:num>
  <w:num w:numId="22">
    <w:abstractNumId w:val="6"/>
  </w:num>
  <w:num w:numId="23">
    <w:abstractNumId w:val="26"/>
  </w:num>
  <w:num w:numId="24">
    <w:abstractNumId w:val="15"/>
  </w:num>
  <w:num w:numId="25">
    <w:abstractNumId w:val="25"/>
  </w:num>
  <w:num w:numId="26">
    <w:abstractNumId w:val="12"/>
  </w:num>
  <w:num w:numId="27">
    <w:abstractNumId w:val="5"/>
  </w:num>
  <w:num w:numId="28">
    <w:abstractNumId w:val="19"/>
  </w:num>
  <w:num w:numId="29">
    <w:abstractNumId w:val="32"/>
  </w:num>
  <w:num w:numId="30">
    <w:abstractNumId w:val="28"/>
  </w:num>
  <w:num w:numId="31">
    <w:abstractNumId w:val="20"/>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6E"/>
    <w:rsid w:val="0000497C"/>
    <w:rsid w:val="00014BB0"/>
    <w:rsid w:val="00027E62"/>
    <w:rsid w:val="0004750A"/>
    <w:rsid w:val="000960F6"/>
    <w:rsid w:val="000974B3"/>
    <w:rsid w:val="000A4F6E"/>
    <w:rsid w:val="000A5357"/>
    <w:rsid w:val="000D0501"/>
    <w:rsid w:val="000F1101"/>
    <w:rsid w:val="00194229"/>
    <w:rsid w:val="001A078F"/>
    <w:rsid w:val="001C37CA"/>
    <w:rsid w:val="001C6320"/>
    <w:rsid w:val="002122D2"/>
    <w:rsid w:val="00222274"/>
    <w:rsid w:val="00230D2A"/>
    <w:rsid w:val="002D04A4"/>
    <w:rsid w:val="00303FDD"/>
    <w:rsid w:val="00310FC3"/>
    <w:rsid w:val="00332DA5"/>
    <w:rsid w:val="003742BB"/>
    <w:rsid w:val="00390680"/>
    <w:rsid w:val="003E2C36"/>
    <w:rsid w:val="00407875"/>
    <w:rsid w:val="00422623"/>
    <w:rsid w:val="00435C95"/>
    <w:rsid w:val="004753F0"/>
    <w:rsid w:val="004C2E5B"/>
    <w:rsid w:val="004C7B54"/>
    <w:rsid w:val="00514FDF"/>
    <w:rsid w:val="00533781"/>
    <w:rsid w:val="00552738"/>
    <w:rsid w:val="005561E4"/>
    <w:rsid w:val="005938BD"/>
    <w:rsid w:val="005B1D62"/>
    <w:rsid w:val="005B7200"/>
    <w:rsid w:val="005D389D"/>
    <w:rsid w:val="006239E7"/>
    <w:rsid w:val="00625412"/>
    <w:rsid w:val="006264A4"/>
    <w:rsid w:val="00630DE1"/>
    <w:rsid w:val="006534F8"/>
    <w:rsid w:val="00691E25"/>
    <w:rsid w:val="006D4D3F"/>
    <w:rsid w:val="006F24B2"/>
    <w:rsid w:val="007231F3"/>
    <w:rsid w:val="007443B9"/>
    <w:rsid w:val="007A2B86"/>
    <w:rsid w:val="007A38E4"/>
    <w:rsid w:val="007C2904"/>
    <w:rsid w:val="007E3475"/>
    <w:rsid w:val="00817A32"/>
    <w:rsid w:val="00852A28"/>
    <w:rsid w:val="0087795F"/>
    <w:rsid w:val="008A7A5F"/>
    <w:rsid w:val="008C6802"/>
    <w:rsid w:val="008C6B93"/>
    <w:rsid w:val="008D15C3"/>
    <w:rsid w:val="008D78D9"/>
    <w:rsid w:val="008E04A8"/>
    <w:rsid w:val="009104F7"/>
    <w:rsid w:val="0092286A"/>
    <w:rsid w:val="009C155A"/>
    <w:rsid w:val="00A45F28"/>
    <w:rsid w:val="00AA57D3"/>
    <w:rsid w:val="00AB5739"/>
    <w:rsid w:val="00B05BEA"/>
    <w:rsid w:val="00B622E0"/>
    <w:rsid w:val="00B75F7F"/>
    <w:rsid w:val="00BA73F5"/>
    <w:rsid w:val="00BC0C81"/>
    <w:rsid w:val="00BD69DF"/>
    <w:rsid w:val="00C0313E"/>
    <w:rsid w:val="00C033FA"/>
    <w:rsid w:val="00C5139C"/>
    <w:rsid w:val="00C8225E"/>
    <w:rsid w:val="00C822AD"/>
    <w:rsid w:val="00CB26AB"/>
    <w:rsid w:val="00CB7093"/>
    <w:rsid w:val="00CD398B"/>
    <w:rsid w:val="00D0703D"/>
    <w:rsid w:val="00E16976"/>
    <w:rsid w:val="00E52968"/>
    <w:rsid w:val="00E73F30"/>
    <w:rsid w:val="00E866BB"/>
    <w:rsid w:val="00E91E14"/>
    <w:rsid w:val="00EC27E8"/>
    <w:rsid w:val="00EC430E"/>
    <w:rsid w:val="00ED0E3D"/>
    <w:rsid w:val="00ED4008"/>
    <w:rsid w:val="00F10DE1"/>
    <w:rsid w:val="00F84F7E"/>
    <w:rsid w:val="00F979A1"/>
    <w:rsid w:val="00FF2B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798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table" w:styleId="GridTable1Light-Accent4">
    <w:name w:val="Grid Table 1 Light Accent 4"/>
    <w:basedOn w:val="TableNormal"/>
    <w:uiPriority w:val="46"/>
    <w:rsid w:val="000A4F6E"/>
    <w:pPr>
      <w:spacing w:after="0" w:line="240" w:lineRule="auto"/>
    </w:pPr>
    <w:tblPr>
      <w:tblStyleRowBandSize w:val="1"/>
      <w:tblStyleColBandSize w:val="1"/>
      <w:tblBorders>
        <w:top w:val="single" w:sz="4" w:space="0" w:color="F9F4EF" w:themeColor="accent4" w:themeTint="66"/>
        <w:left w:val="single" w:sz="4" w:space="0" w:color="F9F4EF" w:themeColor="accent4" w:themeTint="66"/>
        <w:bottom w:val="single" w:sz="4" w:space="0" w:color="F9F4EF" w:themeColor="accent4" w:themeTint="66"/>
        <w:right w:val="single" w:sz="4" w:space="0" w:color="F9F4EF" w:themeColor="accent4" w:themeTint="66"/>
        <w:insideH w:val="single" w:sz="4" w:space="0" w:color="F9F4EF" w:themeColor="accent4" w:themeTint="66"/>
        <w:insideV w:val="single" w:sz="4" w:space="0" w:color="F9F4EF" w:themeColor="accent4" w:themeTint="66"/>
      </w:tblBorders>
    </w:tblPr>
    <w:tblStylePr w:type="firstRow">
      <w:rPr>
        <w:b/>
        <w:bCs/>
      </w:rPr>
      <w:tblPr/>
      <w:tcPr>
        <w:tcBorders>
          <w:bottom w:val="single" w:sz="12" w:space="0" w:color="F6EFE7" w:themeColor="accent4" w:themeTint="99"/>
        </w:tcBorders>
      </w:tcPr>
    </w:tblStylePr>
    <w:tblStylePr w:type="lastRow">
      <w:rPr>
        <w:b/>
        <w:bCs/>
      </w:rPr>
      <w:tblPr/>
      <w:tcPr>
        <w:tcBorders>
          <w:top w:val="double" w:sz="2" w:space="0" w:color="F6EFE7"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A38E4"/>
    <w:rPr>
      <w:color w:val="0055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prepare-and-stay-safe/people-at-higher-risk-of-severe-illness-from-covid-19/" TargetMode="External"/><Relationship Id="rId5" Type="http://schemas.openxmlformats.org/officeDocument/2006/relationships/webSettings" Target="webSettings.xml"/><Relationship Id="rId10" Type="http://schemas.openxmlformats.org/officeDocument/2006/relationships/hyperlink" Target="https://www.tewhatuora.govt.nz/for-the-health-sector/covid-19-information-for-health-professionals/covid-19-information-for-all-health-professionals/covid-19-advice-for-all-health-professionals" TargetMode="External"/><Relationship Id="rId4" Type="http://schemas.openxmlformats.org/officeDocument/2006/relationships/settings" Target="settings.xml"/><Relationship Id="rId9" Type="http://schemas.openxmlformats.org/officeDocument/2006/relationships/hyperlink" Target="https://www.tewhatuora.govt.nz/assets/COVID-19-/Testing-Plan-and-Guidance/COVID-19-Primary-Care-and-Other-Clinic-based-Settings-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2023-08-09T01:16:00Z</dcterms:created>
  <dcterms:modified xsi:type="dcterms:W3CDTF">2023-08-09T04:02:00Z</dcterms:modified>
</cp:coreProperties>
</file>