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807A" w14:textId="77777777" w:rsidR="00817A32" w:rsidRDefault="00817A32" w:rsidP="00817A32">
      <w:pPr>
        <w:jc w:val="right"/>
      </w:pPr>
      <w:r>
        <w:rPr>
          <w:noProof/>
        </w:rPr>
        <w:drawing>
          <wp:inline distT="0" distB="0" distL="0" distR="0" wp14:anchorId="67B5EBF6" wp14:editId="492A2F15">
            <wp:extent cx="2160000" cy="47610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7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99B90" w14:textId="30D11461" w:rsidR="005561E4" w:rsidRDefault="002C4073" w:rsidP="00BA53ED">
      <w:pPr>
        <w:pStyle w:val="Heading2"/>
      </w:pPr>
      <w:r>
        <w:t xml:space="preserve">COVID-19 Testing </w:t>
      </w:r>
      <w:r w:rsidRPr="002C4073">
        <w:t>for Māori and Pacific People within Healthcare Settings Guidance</w:t>
      </w:r>
    </w:p>
    <w:p w14:paraId="2C71DBF3" w14:textId="77777777" w:rsidR="00902436" w:rsidRPr="00902436" w:rsidRDefault="00902436" w:rsidP="00902436">
      <w:pPr>
        <w:pStyle w:val="Heading3"/>
        <w:rPr>
          <w:bCs/>
        </w:rPr>
      </w:pPr>
      <w:r w:rsidRPr="00902436">
        <w:t>Context</w:t>
      </w:r>
    </w:p>
    <w:p w14:paraId="270FBDD7" w14:textId="624327FE" w:rsidR="00902436" w:rsidRDefault="002C4073" w:rsidP="002C4073">
      <w:r w:rsidRPr="002C4073">
        <w:t>The focus of this guidance is to support healthcare providers with COVID-19 testing services, in relation to Māori and Pacific people. There is a need to continue to ensure there is access to testing for priority people, throughout the healthcare sector, to provide the community with the support they need.</w:t>
      </w:r>
    </w:p>
    <w:p w14:paraId="4CB0F260" w14:textId="77777777" w:rsidR="002C4073" w:rsidRPr="002C4073" w:rsidRDefault="002C4073" w:rsidP="002C4073">
      <w:pPr>
        <w:pStyle w:val="Heading3"/>
      </w:pPr>
      <w:r w:rsidRPr="002C4073">
        <w:t xml:space="preserve">Priority access to COVID-19 Testing </w:t>
      </w:r>
    </w:p>
    <w:p w14:paraId="3B4F2FB5" w14:textId="77777777" w:rsidR="002C4073" w:rsidRPr="002C4073" w:rsidRDefault="002C4073" w:rsidP="002C4073">
      <w:r w:rsidRPr="002C4073">
        <w:t>People who experience the highest level of inequity and/or greatest risk of harm or poor health outcomes are identified in the priority groups for access to COVID-19 Testing.</w:t>
      </w:r>
    </w:p>
    <w:p w14:paraId="67E5FCA2" w14:textId="77777777" w:rsidR="002C4073" w:rsidRPr="002C4073" w:rsidRDefault="002C4073" w:rsidP="002C4073">
      <w:r w:rsidRPr="002C4073">
        <w:t xml:space="preserve">The Plan prioritises people who have higher rates of morbidity, hospitalisation and length of stay, mortality, and hardship due to COVID-19. Expedited access to testing and accurate early identification of infection in these groups allows early intervention of treatment and support to reduce the burden of disease for individuals and their </w:t>
      </w:r>
      <w:proofErr w:type="spellStart"/>
      <w:r w:rsidRPr="002C4073">
        <w:t>whānau</w:t>
      </w:r>
      <w:proofErr w:type="spellEnd"/>
      <w:r w:rsidRPr="002C4073">
        <w:t xml:space="preserve">. </w:t>
      </w:r>
    </w:p>
    <w:p w14:paraId="7D19B06F" w14:textId="77777777" w:rsidR="002C4073" w:rsidRPr="002C4073" w:rsidRDefault="002C4073" w:rsidP="002C4073">
      <w:r w:rsidRPr="002C4073">
        <w:rPr>
          <w:b/>
          <w:bCs/>
        </w:rPr>
        <w:t>Priority people</w:t>
      </w:r>
      <w:r w:rsidRPr="002C4073">
        <w:rPr>
          <w:i/>
          <w:iCs/>
        </w:rPr>
        <w:t xml:space="preserve"> </w:t>
      </w:r>
      <w:r w:rsidRPr="002C4073">
        <w:t>are defined as those who are inequitably impacted by COVID-19. People in this group are eligible for targeted assessments regarding additional clinical and social support. The COVID-19 pandemic has exacerbated existing inequities for specific groups, including:</w:t>
      </w:r>
    </w:p>
    <w:p w14:paraId="5D928D81" w14:textId="77777777" w:rsidR="002C4073" w:rsidRPr="002C4073" w:rsidRDefault="002C4073" w:rsidP="002C4073">
      <w:pPr>
        <w:pStyle w:val="ListBullet"/>
      </w:pPr>
      <w:r w:rsidRPr="002C4073">
        <w:rPr>
          <w:b/>
          <w:bCs/>
        </w:rPr>
        <w:t xml:space="preserve">Māori </w:t>
      </w:r>
      <w:r w:rsidRPr="002C4073">
        <w:t xml:space="preserve">who experience greater inequity and disadvantage due to COVID 19 resulting in poorer outcomes. </w:t>
      </w:r>
    </w:p>
    <w:p w14:paraId="5A4B7F61" w14:textId="77777777" w:rsidR="002C4073" w:rsidRPr="002C4073" w:rsidRDefault="002C4073" w:rsidP="002C4073">
      <w:pPr>
        <w:pStyle w:val="ListBullet"/>
      </w:pPr>
      <w:r w:rsidRPr="002C4073">
        <w:rPr>
          <w:b/>
          <w:bCs/>
        </w:rPr>
        <w:t xml:space="preserve">Pacific People </w:t>
      </w:r>
      <w:r w:rsidRPr="002C4073">
        <w:t>who have had the highest age-standardised hospitalisation rates for COVID-19, and experienced age-standardised mortality rates 2.4 times greater than European and other population groups.</w:t>
      </w:r>
    </w:p>
    <w:p w14:paraId="62BEDDF1" w14:textId="4C966D14" w:rsidR="002C4073" w:rsidRDefault="002C4073" w:rsidP="002C4073">
      <w:r>
        <w:t>Other priority groups within our population who may also experience inequity due to poorer health or social outcomes and/or barriers to accessing testing include:</w:t>
      </w:r>
    </w:p>
    <w:p w14:paraId="5553F018" w14:textId="77777777" w:rsidR="002C4073" w:rsidRPr="002C4073" w:rsidRDefault="002C4073" w:rsidP="002C4073">
      <w:pPr>
        <w:pStyle w:val="ListBullet"/>
      </w:pPr>
      <w:r w:rsidRPr="002C4073">
        <w:rPr>
          <w:b/>
          <w:bCs/>
        </w:rPr>
        <w:t>Elderly (65 years and over)</w:t>
      </w:r>
      <w:r w:rsidRPr="002C4073">
        <w:t xml:space="preserve"> experience inequity as this age group collectively has the highest rate of poor outcomes including total numbers hospitalised, average length of </w:t>
      </w:r>
      <w:r w:rsidRPr="002C4073">
        <w:lastRenderedPageBreak/>
        <w:t>stay and/or death from COVID-19. Māori and Pacific people are overrepresented in case numbers for the 65 years and over age group as well as other age groups.</w:t>
      </w:r>
      <w:r w:rsidRPr="002C4073">
        <w:rPr>
          <w:b/>
          <w:bCs/>
        </w:rPr>
        <w:t xml:space="preserve"> </w:t>
      </w:r>
    </w:p>
    <w:p w14:paraId="102EB452" w14:textId="77777777" w:rsidR="002C4073" w:rsidRPr="002C4073" w:rsidRDefault="002C4073" w:rsidP="002C4073">
      <w:pPr>
        <w:pStyle w:val="ListBullet"/>
      </w:pPr>
      <w:r w:rsidRPr="002C4073">
        <w:rPr>
          <w:b/>
          <w:bCs/>
        </w:rPr>
        <w:t xml:space="preserve">Disabled people </w:t>
      </w:r>
      <w:r w:rsidRPr="002C4073">
        <w:t xml:space="preserve">including </w:t>
      </w:r>
      <w:proofErr w:type="spellStart"/>
      <w:r w:rsidRPr="002C4073">
        <w:t>tāngata</w:t>
      </w:r>
      <w:proofErr w:type="spellEnd"/>
      <w:r w:rsidRPr="002C4073">
        <w:t xml:space="preserve"> </w:t>
      </w:r>
      <w:proofErr w:type="spellStart"/>
      <w:r w:rsidRPr="002C4073">
        <w:t>whaikaha</w:t>
      </w:r>
      <w:proofErr w:type="spellEnd"/>
      <w:r w:rsidRPr="002C4073">
        <w:t xml:space="preserve"> Māori and Pacific disabled people who experience inequities due to greater barriers to access, and for some increased susceptibility to COVID-19 infection and/or complications. </w:t>
      </w:r>
    </w:p>
    <w:p w14:paraId="6AC85AF8" w14:textId="77777777" w:rsidR="002C4073" w:rsidRPr="002C4073" w:rsidRDefault="002C4073" w:rsidP="002C4073">
      <w:pPr>
        <w:pStyle w:val="ListBullet"/>
      </w:pPr>
      <w:r w:rsidRPr="002C4073">
        <w:rPr>
          <w:b/>
          <w:bCs/>
        </w:rPr>
        <w:t>People with</w:t>
      </w:r>
      <w:r w:rsidRPr="002C4073">
        <w:t xml:space="preserve"> </w:t>
      </w:r>
      <w:r w:rsidRPr="002C4073">
        <w:rPr>
          <w:b/>
          <w:bCs/>
        </w:rPr>
        <w:t>severe mental health and addiction</w:t>
      </w:r>
      <w:r w:rsidRPr="002C4073">
        <w:t>.</w:t>
      </w:r>
    </w:p>
    <w:p w14:paraId="2356CA3E" w14:textId="18C4D6AB" w:rsidR="002C4073" w:rsidRPr="002C4073" w:rsidRDefault="002C4073" w:rsidP="002C4073">
      <w:pPr>
        <w:pStyle w:val="ListBullet"/>
      </w:pPr>
      <w:r w:rsidRPr="002C4073">
        <w:rPr>
          <w:b/>
        </w:rPr>
        <w:t>Other inequitably impacted populations</w:t>
      </w:r>
      <w:r w:rsidRPr="002C4073">
        <w:t xml:space="preserve"> including refugee and asylum seekers, remote and rural</w:t>
      </w:r>
      <w:r>
        <w:rPr>
          <w:rStyle w:val="FootnoteReference"/>
        </w:rPr>
        <w:footnoteReference w:id="1"/>
      </w:r>
      <w:r w:rsidRPr="002C4073">
        <w:rPr>
          <w:vertAlign w:val="superscript"/>
        </w:rPr>
        <w:t xml:space="preserve"> </w:t>
      </w:r>
      <w:r w:rsidRPr="002C4073">
        <w:t xml:space="preserve">people, rough sleepers and those in transitional housing, and other groups experiencing disadvantage. </w:t>
      </w:r>
    </w:p>
    <w:p w14:paraId="4F4F53F4" w14:textId="05D3875A" w:rsidR="002C4073" w:rsidRDefault="002C4073" w:rsidP="002C4073">
      <w:r>
        <w:t xml:space="preserve">The following group are those at higher risk of severe illness from COVID-19 </w:t>
      </w:r>
      <w:r w:rsidRPr="002C4073">
        <w:rPr>
          <w:b/>
          <w:bCs/>
        </w:rPr>
        <w:t>(vulnerable people)</w:t>
      </w:r>
      <w:r>
        <w:t>:</w:t>
      </w:r>
    </w:p>
    <w:p w14:paraId="6B94D3B6" w14:textId="77777777" w:rsidR="002C4073" w:rsidRPr="002C4073" w:rsidRDefault="002C4073" w:rsidP="002C4073">
      <w:pPr>
        <w:pStyle w:val="ListBullet"/>
        <w:rPr>
          <w:b/>
        </w:rPr>
      </w:pPr>
      <w:r w:rsidRPr="002C4073">
        <w:rPr>
          <w:b/>
        </w:rPr>
        <w:t>People with high-risk medical conditions (long-term health conditions and/or immunocompromised) are</w:t>
      </w:r>
      <w:r w:rsidRPr="002C4073">
        <w:rPr>
          <w:bCs/>
        </w:rPr>
        <w:t xml:space="preserve"> </w:t>
      </w:r>
      <w:hyperlink r:id="rId9">
        <w:r w:rsidRPr="002C4073">
          <w:rPr>
            <w:rStyle w:val="Hyperlink"/>
            <w:bCs/>
          </w:rPr>
          <w:t>inequitably impacted due to increased susceptibility to COVID-19 infection and/or complications</w:t>
        </w:r>
      </w:hyperlink>
    </w:p>
    <w:p w14:paraId="478AD8F0" w14:textId="77777777" w:rsidR="002C4073" w:rsidRPr="002C4073" w:rsidRDefault="002C4073" w:rsidP="002C4073">
      <w:pPr>
        <w:pStyle w:val="ListBullet"/>
        <w:rPr>
          <w:b/>
        </w:rPr>
      </w:pPr>
      <w:r w:rsidRPr="002C4073">
        <w:rPr>
          <w:b/>
        </w:rPr>
        <w:t>Pregnant people</w:t>
      </w:r>
    </w:p>
    <w:p w14:paraId="34B157B7" w14:textId="77777777" w:rsidR="002C4073" w:rsidRPr="002C4073" w:rsidRDefault="002C4073" w:rsidP="002C4073">
      <w:r w:rsidRPr="002C4073">
        <w:t xml:space="preserve">Note this group includes Māori, Pacific </w:t>
      </w:r>
      <w:proofErr w:type="gramStart"/>
      <w:r w:rsidRPr="002C4073">
        <w:t>people</w:t>
      </w:r>
      <w:proofErr w:type="gramEnd"/>
      <w:r w:rsidRPr="002C4073">
        <w:t xml:space="preserve"> and the elderly over 65.</w:t>
      </w:r>
    </w:p>
    <w:p w14:paraId="4A9910C1" w14:textId="77777777" w:rsidR="002C4073" w:rsidRPr="002C4073" w:rsidRDefault="00EF12D7" w:rsidP="002C4073">
      <w:pPr>
        <w:pStyle w:val="Heading3"/>
      </w:pPr>
      <w:hyperlink r:id="rId10">
        <w:r w:rsidR="002C4073" w:rsidRPr="002C4073">
          <w:rPr>
            <w:rStyle w:val="Hyperlink"/>
            <w:b/>
            <w:color w:val="1C2549" w:themeColor="text2"/>
            <w:u w:val="none"/>
          </w:rPr>
          <w:t>Medicines to treat COVID-19</w:t>
        </w:r>
      </w:hyperlink>
    </w:p>
    <w:p w14:paraId="6D249AD2" w14:textId="77777777" w:rsidR="002C4073" w:rsidRPr="002C4073" w:rsidRDefault="002C4073" w:rsidP="002C4073">
      <w:r w:rsidRPr="002C4073">
        <w:t xml:space="preserve">People with a high risk of severe illness from COVID-19 are eligible for treatment with COVID-19 antiviral medicines. These medicines reduce the amount of virus in your body, so you do not get as sick, and you are less likely to go to hospital. </w:t>
      </w:r>
    </w:p>
    <w:p w14:paraId="30545AE8" w14:textId="77777777" w:rsidR="002C4073" w:rsidRPr="002C4073" w:rsidRDefault="002C4073" w:rsidP="002C4073">
      <w:r w:rsidRPr="002C4073">
        <w:t>Māori or Pacific people aged 50 or over are eligible to get free antiviral medicines if:</w:t>
      </w:r>
    </w:p>
    <w:p w14:paraId="2F30506C" w14:textId="77777777" w:rsidR="002C4073" w:rsidRPr="002C4073" w:rsidRDefault="002C4073" w:rsidP="002C4073">
      <w:pPr>
        <w:pStyle w:val="ListBullet"/>
      </w:pPr>
      <w:r w:rsidRPr="002C4073">
        <w:t>you have COVID-19 and symptoms, or you are a Household Contact and have symptoms, and</w:t>
      </w:r>
    </w:p>
    <w:p w14:paraId="6B8A066A" w14:textId="77777777" w:rsidR="002C4073" w:rsidRPr="002C4073" w:rsidRDefault="002C4073" w:rsidP="002C4073">
      <w:pPr>
        <w:pStyle w:val="ListBullet"/>
      </w:pPr>
      <w:r w:rsidRPr="002C4073">
        <w:t>you became sick within the last 5 days,</w:t>
      </w:r>
    </w:p>
    <w:p w14:paraId="2924FFC7" w14:textId="77777777" w:rsidR="002C4073" w:rsidRPr="002C4073" w:rsidRDefault="002C4073" w:rsidP="002C4073">
      <w:r w:rsidRPr="002C4073">
        <w:t xml:space="preserve">Link for: </w:t>
      </w:r>
      <w:hyperlink r:id="rId11">
        <w:r w:rsidRPr="002C4073">
          <w:rPr>
            <w:rStyle w:val="Hyperlink"/>
          </w:rPr>
          <w:t>Access criteria for anti-</w:t>
        </w:r>
        <w:proofErr w:type="spellStart"/>
        <w:r w:rsidRPr="002C4073">
          <w:rPr>
            <w:rStyle w:val="Hyperlink"/>
          </w:rPr>
          <w:t>virals</w:t>
        </w:r>
        <w:proofErr w:type="spellEnd"/>
      </w:hyperlink>
    </w:p>
    <w:p w14:paraId="0AE50CB5" w14:textId="1E14F0E8" w:rsidR="002C4073" w:rsidRPr="002C4073" w:rsidRDefault="002C4073" w:rsidP="002C4073">
      <w:pPr>
        <w:pStyle w:val="Heading3"/>
      </w:pPr>
      <w:r w:rsidRPr="002C4073">
        <w:t>Testing</w:t>
      </w:r>
    </w:p>
    <w:p w14:paraId="1025421D" w14:textId="77777777" w:rsidR="002C4073" w:rsidRPr="002C4073" w:rsidRDefault="002C4073" w:rsidP="002C4073">
      <w:pPr>
        <w:rPr>
          <w:b/>
          <w:bCs/>
        </w:rPr>
      </w:pPr>
      <w:r w:rsidRPr="002C4073">
        <w:t>The following table outlines the recommended testing for Māori and Pacific people within healthcare settings.</w:t>
      </w:r>
    </w:p>
    <w:tbl>
      <w:tblPr>
        <w:tblStyle w:val="TeWhatuOra"/>
        <w:tblpPr w:leftFromText="180" w:rightFromText="180" w:vertAnchor="text" w:horzAnchor="margin" w:tblpY="-28"/>
        <w:tblW w:w="0" w:type="auto"/>
        <w:tblLook w:val="0420" w:firstRow="1" w:lastRow="0" w:firstColumn="0" w:lastColumn="0" w:noHBand="0" w:noVBand="1"/>
      </w:tblPr>
      <w:tblGrid>
        <w:gridCol w:w="4814"/>
        <w:gridCol w:w="4814"/>
      </w:tblGrid>
      <w:tr w:rsidR="00D914C1" w14:paraId="4E66FFB0" w14:textId="77777777" w:rsidTr="00D91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14:paraId="1D4BB066" w14:textId="77777777" w:rsidR="00D914C1" w:rsidRDefault="00D914C1" w:rsidP="00D914C1">
            <w:pPr>
              <w:pStyle w:val="TableText"/>
              <w:spacing w:before="40" w:beforeAutospacing="0" w:after="40" w:afterAutospacing="0" w:line="240" w:lineRule="auto"/>
            </w:pPr>
            <w:r>
              <w:lastRenderedPageBreak/>
              <w:t>Symptomology</w:t>
            </w:r>
          </w:p>
        </w:tc>
        <w:tc>
          <w:tcPr>
            <w:tcW w:w="4814" w:type="dxa"/>
          </w:tcPr>
          <w:p w14:paraId="7BBAF572" w14:textId="77777777" w:rsidR="00D914C1" w:rsidRDefault="00D914C1" w:rsidP="00D914C1">
            <w:pPr>
              <w:pStyle w:val="TableText"/>
              <w:spacing w:before="40" w:beforeAutospacing="0" w:after="40" w:afterAutospacing="0" w:line="240" w:lineRule="auto"/>
            </w:pPr>
            <w:r>
              <w:t>Recommended testing</w:t>
            </w:r>
          </w:p>
        </w:tc>
      </w:tr>
      <w:tr w:rsidR="00D914C1" w14:paraId="67F8F10F" w14:textId="77777777" w:rsidTr="00D914C1">
        <w:tc>
          <w:tcPr>
            <w:tcW w:w="4814" w:type="dxa"/>
          </w:tcPr>
          <w:p w14:paraId="606BE4B8" w14:textId="77777777" w:rsidR="00D914C1" w:rsidRPr="005935FC" w:rsidRDefault="00D914C1" w:rsidP="00D914C1">
            <w:pPr>
              <w:pStyle w:val="TableText"/>
              <w:spacing w:before="40" w:beforeAutospacing="0" w:after="40" w:afterAutospacing="0" w:line="240" w:lineRule="auto"/>
              <w:rPr>
                <w:b/>
                <w:bCs/>
              </w:rPr>
            </w:pPr>
            <w:r w:rsidRPr="005935FC">
              <w:rPr>
                <w:b/>
                <w:bCs/>
              </w:rPr>
              <w:t>Māori and Pacific People with COVID-19- symptoms</w:t>
            </w:r>
          </w:p>
        </w:tc>
        <w:tc>
          <w:tcPr>
            <w:tcW w:w="4814" w:type="dxa"/>
          </w:tcPr>
          <w:p w14:paraId="26324242" w14:textId="77777777" w:rsidR="00D914C1" w:rsidRPr="005935FC" w:rsidRDefault="00D914C1" w:rsidP="00D914C1">
            <w:pPr>
              <w:pStyle w:val="TableText"/>
              <w:spacing w:before="40" w:after="40" w:line="240" w:lineRule="auto"/>
              <w:rPr>
                <w:b/>
                <w:bCs/>
              </w:rPr>
            </w:pPr>
            <w:r w:rsidRPr="005935FC">
              <w:rPr>
                <w:b/>
                <w:bCs/>
              </w:rPr>
              <w:t>SELF-TEST RAT</w:t>
            </w:r>
          </w:p>
          <w:p w14:paraId="7124A887" w14:textId="77777777" w:rsidR="00D914C1" w:rsidRDefault="00D914C1" w:rsidP="00D914C1">
            <w:pPr>
              <w:pStyle w:val="TableText"/>
              <w:spacing w:before="40" w:after="40" w:line="240" w:lineRule="auto"/>
            </w:pPr>
            <w:r w:rsidRPr="005935FC">
              <w:rPr>
                <w:b/>
                <w:bCs/>
              </w:rPr>
              <w:t>If unable to self-test - ASSISTED RAT</w:t>
            </w:r>
            <w:r>
              <w:t xml:space="preserve"> (Community Provider or GP)</w:t>
            </w:r>
          </w:p>
          <w:p w14:paraId="266238FB" w14:textId="77777777" w:rsidR="00D914C1" w:rsidRPr="005935FC" w:rsidRDefault="00D914C1" w:rsidP="00D914C1">
            <w:pPr>
              <w:pStyle w:val="TableText"/>
              <w:spacing w:before="40" w:after="40" w:line="240" w:lineRule="auto"/>
              <w:rPr>
                <w:b/>
                <w:bCs/>
              </w:rPr>
            </w:pPr>
            <w:r w:rsidRPr="005935FC">
              <w:rPr>
                <w:b/>
                <w:bCs/>
              </w:rPr>
              <w:t>If RAT is negative, and COVID-19 symptoms persist, repeat RAT in 24 and 48 hours</w:t>
            </w:r>
          </w:p>
          <w:p w14:paraId="2130CB6E" w14:textId="77777777" w:rsidR="00D914C1" w:rsidRDefault="00D914C1" w:rsidP="00D914C1">
            <w:pPr>
              <w:pStyle w:val="TableText"/>
              <w:spacing w:before="40" w:beforeAutospacing="0" w:after="40" w:afterAutospacing="0" w:line="240" w:lineRule="auto"/>
            </w:pPr>
            <w:r w:rsidRPr="005935FC">
              <w:rPr>
                <w:b/>
                <w:bCs/>
              </w:rPr>
              <w:t>PCR where a result can influence treatment options</w:t>
            </w:r>
          </w:p>
        </w:tc>
      </w:tr>
      <w:tr w:rsidR="00D914C1" w14:paraId="187B7A0E" w14:textId="77777777" w:rsidTr="00D914C1">
        <w:tc>
          <w:tcPr>
            <w:tcW w:w="4814" w:type="dxa"/>
          </w:tcPr>
          <w:p w14:paraId="5444ABD5" w14:textId="77777777" w:rsidR="00D914C1" w:rsidRPr="005935FC" w:rsidRDefault="00D914C1" w:rsidP="00D914C1">
            <w:pPr>
              <w:pStyle w:val="TableText"/>
              <w:spacing w:before="40" w:beforeAutospacing="0" w:after="40" w:afterAutospacing="0" w:line="240" w:lineRule="auto"/>
              <w:rPr>
                <w:b/>
                <w:bCs/>
              </w:rPr>
            </w:pPr>
            <w:r w:rsidRPr="005935FC">
              <w:rPr>
                <w:b/>
                <w:bCs/>
              </w:rPr>
              <w:t>Māori and Pacific People with known exposure to COVID-19 (Asymptomatic Household contacts)</w:t>
            </w:r>
          </w:p>
        </w:tc>
        <w:tc>
          <w:tcPr>
            <w:tcW w:w="4814" w:type="dxa"/>
          </w:tcPr>
          <w:p w14:paraId="6980ECFB" w14:textId="77777777" w:rsidR="00D914C1" w:rsidRDefault="00D914C1" w:rsidP="00D914C1">
            <w:pPr>
              <w:pStyle w:val="TableText"/>
              <w:spacing w:before="40" w:after="40" w:line="240" w:lineRule="auto"/>
            </w:pPr>
            <w:r>
              <w:t>Recommended to test daily for five days from the day when the first case in the household tested positive or developed symptoms (whichever is earliest).</w:t>
            </w:r>
          </w:p>
          <w:p w14:paraId="12105AE3" w14:textId="77777777" w:rsidR="00D914C1" w:rsidRDefault="00D914C1" w:rsidP="00D914C1">
            <w:pPr>
              <w:pStyle w:val="TableText"/>
              <w:spacing w:before="40" w:beforeAutospacing="0" w:after="40" w:afterAutospacing="0" w:line="240" w:lineRule="auto"/>
            </w:pPr>
            <w:r w:rsidRPr="005935FC">
              <w:rPr>
                <w:b/>
                <w:bCs/>
              </w:rPr>
              <w:t>Household contacts</w:t>
            </w:r>
            <w:r>
              <w:t xml:space="preserve">: for definition, testing, and management </w:t>
            </w:r>
            <w:hyperlink r:id="rId12" w:anchor="commcasescontacts" w:history="1">
              <w:r w:rsidRPr="005935FC">
                <w:rPr>
                  <w:rStyle w:val="Hyperlink"/>
                </w:rPr>
                <w:t>see here</w:t>
              </w:r>
            </w:hyperlink>
          </w:p>
        </w:tc>
      </w:tr>
    </w:tbl>
    <w:p w14:paraId="64913CA3" w14:textId="77777777" w:rsidR="00EF12D7" w:rsidRDefault="00EF12D7" w:rsidP="002C4073"/>
    <w:p w14:paraId="00661B85" w14:textId="1F463CA5" w:rsidR="002C4073" w:rsidRPr="002C4073" w:rsidRDefault="002C4073" w:rsidP="002C4073">
      <w:r w:rsidRPr="002C4073">
        <w:t xml:space="preserve">People with COVID-19 compatible symptoms have a higher probability of testing positive for COVID-19 than those with no COVID-19 compatible symptoms. Their risk of transmitting COVID-19 to others may also be higher. </w:t>
      </w:r>
    </w:p>
    <w:p w14:paraId="683A6DA5" w14:textId="77777777" w:rsidR="002C4073" w:rsidRPr="002C4073" w:rsidRDefault="002C4073" w:rsidP="002C4073">
      <w:r w:rsidRPr="002C4073">
        <w:t xml:space="preserve">The purpose of testing people in this group is early detection of cases and improving COVID-19-related health outcomes by supporting timely: </w:t>
      </w:r>
    </w:p>
    <w:p w14:paraId="248D32DA" w14:textId="77777777" w:rsidR="002C4073" w:rsidRPr="002C4073" w:rsidRDefault="002C4073" w:rsidP="002C4073">
      <w:pPr>
        <w:pStyle w:val="ListBullet"/>
      </w:pPr>
      <w:r w:rsidRPr="002C4073">
        <w:t xml:space="preserve">Access to antiviral therapeutics for those eligible; and </w:t>
      </w:r>
    </w:p>
    <w:p w14:paraId="57E4AA3D" w14:textId="350CE817" w:rsidR="002C4073" w:rsidRPr="002C4073" w:rsidRDefault="00041078" w:rsidP="002C4073">
      <w:pPr>
        <w:pStyle w:val="ListBullet"/>
      </w:pPr>
      <w:r>
        <w:t>Recommended i</w:t>
      </w:r>
      <w:r w:rsidR="002C4073" w:rsidRPr="002C4073">
        <w:t>solation to reduce the likelihood of onward virus transmission in communities and to those at highest risk of inequitable outcomes.</w:t>
      </w:r>
    </w:p>
    <w:p w14:paraId="7A63C637" w14:textId="77777777" w:rsidR="002C4073" w:rsidRPr="002C4073" w:rsidRDefault="002C4073" w:rsidP="002C4073">
      <w:r w:rsidRPr="00F37A6A">
        <w:t xml:space="preserve">During winter and with the re-emergence of a range of pathogens that cause similar symptoms to COVID-19, consideration of alternative diagnoses is particularly important especially for Māori, Pacific </w:t>
      </w:r>
      <w:proofErr w:type="gramStart"/>
      <w:r w:rsidRPr="00F37A6A">
        <w:t>people</w:t>
      </w:r>
      <w:proofErr w:type="gramEnd"/>
      <w:r w:rsidRPr="00F37A6A">
        <w:t xml:space="preserve"> and those at higher risk of severe illness from COVID-19, if it will result in a change of management (for example, for those at risk of rheumatic fever). Note that people can be co-infected with more than one pathogen.</w:t>
      </w:r>
      <w:r w:rsidRPr="002C4073">
        <w:t xml:space="preserve">  </w:t>
      </w:r>
    </w:p>
    <w:p w14:paraId="2A872471" w14:textId="77777777" w:rsidR="002C4073" w:rsidRPr="002C4073" w:rsidRDefault="002C4073" w:rsidP="002C4073">
      <w:pPr>
        <w:pStyle w:val="Heading3"/>
      </w:pPr>
      <w:r w:rsidRPr="002C4073">
        <w:t>Community Providers - Assisted RATs within the community</w:t>
      </w:r>
    </w:p>
    <w:p w14:paraId="1D8DD746" w14:textId="77777777" w:rsidR="002C4073" w:rsidRPr="002C4073" w:rsidRDefault="002C4073" w:rsidP="002C4073">
      <w:pPr>
        <w:rPr>
          <w:b/>
          <w:bCs/>
        </w:rPr>
      </w:pPr>
      <w:r w:rsidRPr="002C4073">
        <w:t>The focus of community providers is to support access for all people to testing services by enabling expanded access to, and acceptability of, COVID-19 testing services within Aotearoa New Zealand, particularly, those in difficult to reach areas (such as isolated or rural communities).  </w:t>
      </w:r>
    </w:p>
    <w:p w14:paraId="39C64A17" w14:textId="77777777" w:rsidR="002C4073" w:rsidRPr="002C4073" w:rsidRDefault="002C4073" w:rsidP="002C4073">
      <w:r w:rsidRPr="00F37A6A">
        <w:lastRenderedPageBreak/>
        <w:t>Community providers also play an important role for Māori and Pacific people in identifying positive cases and connecting them with the appropriate health and welfare services within their community.</w:t>
      </w:r>
    </w:p>
    <w:p w14:paraId="37D5DD20" w14:textId="77777777" w:rsidR="002C4073" w:rsidRPr="002C4073" w:rsidRDefault="002C4073" w:rsidP="002C4073">
      <w:r w:rsidRPr="002C4073">
        <w:t>Community providers supply RAT kits and services for those who are unable to complete a</w:t>
      </w:r>
      <w:r>
        <w:t xml:space="preserve"> </w:t>
      </w:r>
      <w:r w:rsidRPr="002C4073">
        <w:t>test themselves and they also can upload the RAT results and provide advice on next steps</w:t>
      </w:r>
    </w:p>
    <w:p w14:paraId="2290EC4B" w14:textId="4AC01B9E" w:rsidR="005935FC" w:rsidRDefault="002C4073" w:rsidP="002C4073">
      <w:pPr>
        <w:rPr>
          <w:u w:val="single"/>
        </w:rPr>
      </w:pPr>
      <w:r w:rsidRPr="002C4073">
        <w:t xml:space="preserve">The names and locations of community providers and collection sites for RATs, can be found on </w:t>
      </w:r>
      <w:hyperlink r:id="rId13">
        <w:proofErr w:type="spellStart"/>
        <w:r w:rsidRPr="002C4073">
          <w:rPr>
            <w:rStyle w:val="Hyperlink"/>
          </w:rPr>
          <w:t>Healthpoint</w:t>
        </w:r>
        <w:proofErr w:type="spellEnd"/>
      </w:hyperlink>
      <w:r w:rsidRPr="002C4073">
        <w:t xml:space="preserve">. For information on obtaining RATs, follow this link </w:t>
      </w:r>
      <w:hyperlink r:id="rId14" w:anchor="household">
        <w:r w:rsidRPr="002C4073">
          <w:rPr>
            <w:rStyle w:val="Hyperlink"/>
          </w:rPr>
          <w:t>How to get RATs</w:t>
        </w:r>
      </w:hyperlink>
      <w:r w:rsidRPr="002C4073">
        <w:rPr>
          <w:u w:val="single"/>
        </w:rPr>
        <w:t>.</w:t>
      </w:r>
    </w:p>
    <w:p w14:paraId="46F05F01" w14:textId="77777777" w:rsidR="005935FC" w:rsidRDefault="005935FC">
      <w:pPr>
        <w:spacing w:before="0"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3949CCF4" w14:textId="77777777" w:rsidR="007525CE" w:rsidRPr="007525CE" w:rsidRDefault="007525CE" w:rsidP="007525CE">
      <w:pPr>
        <w:pStyle w:val="Heading3"/>
        <w:rPr>
          <w:rFonts w:eastAsia="Yu Gothic Light"/>
        </w:rPr>
      </w:pPr>
      <w:r w:rsidRPr="007525CE">
        <w:rPr>
          <w:rFonts w:eastAsia="Yu Gothic Light"/>
        </w:rPr>
        <w:lastRenderedPageBreak/>
        <w:t>Community settings and gatherings</w:t>
      </w:r>
    </w:p>
    <w:p w14:paraId="5F488474" w14:textId="77777777" w:rsidR="007525CE" w:rsidRPr="007525CE" w:rsidRDefault="007525CE" w:rsidP="007525CE">
      <w:r w:rsidRPr="007525CE">
        <w:t xml:space="preserve">Community testing strategies may be incorporated into a localised response to protect Māori, Pacific, and other priority population and their whanau, </w:t>
      </w:r>
      <w:r w:rsidRPr="00F37A6A">
        <w:t>including those at a higher risk of severe illness from COVID-19 (vulnerable people).</w:t>
      </w:r>
    </w:p>
    <w:p w14:paraId="7C0E51D8" w14:textId="77777777" w:rsidR="007525CE" w:rsidRPr="007525CE" w:rsidRDefault="007525CE" w:rsidP="007525CE">
      <w:pPr>
        <w:rPr>
          <w:color w:val="09050A"/>
        </w:rPr>
      </w:pPr>
      <w:r w:rsidRPr="007525CE">
        <w:t>Community groups and event planners should consider the following, as t</w:t>
      </w:r>
      <w:r w:rsidRPr="007525CE">
        <w:rPr>
          <w:color w:val="09050A"/>
        </w:rPr>
        <w:t>his may help to reduce the chance of significant spread at the event:</w:t>
      </w:r>
    </w:p>
    <w:p w14:paraId="4C66C766" w14:textId="77777777" w:rsidR="007525CE" w:rsidRPr="007525CE" w:rsidRDefault="007525CE" w:rsidP="007525CE">
      <w:pPr>
        <w:pStyle w:val="ListBullet"/>
      </w:pPr>
      <w:r w:rsidRPr="007525CE">
        <w:t>Provision of masks at the event</w:t>
      </w:r>
    </w:p>
    <w:p w14:paraId="1DFC7EAE" w14:textId="77777777" w:rsidR="007525CE" w:rsidRPr="007525CE" w:rsidRDefault="007525CE" w:rsidP="007525CE">
      <w:pPr>
        <w:pStyle w:val="ListBullet"/>
      </w:pPr>
      <w:r w:rsidRPr="007525CE">
        <w:t>Provision of RAT kits at the event</w:t>
      </w:r>
    </w:p>
    <w:p w14:paraId="7A949EE4" w14:textId="77777777" w:rsidR="007525CE" w:rsidRPr="007525CE" w:rsidRDefault="007525CE" w:rsidP="007525CE">
      <w:pPr>
        <w:pStyle w:val="ListBullet"/>
      </w:pPr>
      <w:r w:rsidRPr="007525CE">
        <w:t>Public health messaging before the event:</w:t>
      </w:r>
    </w:p>
    <w:p w14:paraId="32A08E2F" w14:textId="77777777" w:rsidR="007525CE" w:rsidRPr="007525CE" w:rsidRDefault="007525CE" w:rsidP="007525CE">
      <w:pPr>
        <w:pStyle w:val="ListBullet2"/>
      </w:pPr>
      <w:r w:rsidRPr="007525CE">
        <w:t>Stay at home if unwell</w:t>
      </w:r>
    </w:p>
    <w:p w14:paraId="547B7691" w14:textId="77777777" w:rsidR="007525CE" w:rsidRPr="007525CE" w:rsidRDefault="007525CE" w:rsidP="007525CE">
      <w:pPr>
        <w:pStyle w:val="ListBullet2"/>
      </w:pPr>
      <w:r w:rsidRPr="007525CE">
        <w:t xml:space="preserve">conduct a self-test RAT or if unable get an assisted RAT from one of the community providers within your area see here for list: </w:t>
      </w:r>
      <w:hyperlink r:id="rId15" w:history="1">
        <w:r w:rsidRPr="007525CE">
          <w:rPr>
            <w:rFonts w:eastAsia="Calibri"/>
            <w:color w:val="007E85"/>
            <w:u w:val="single"/>
          </w:rPr>
          <w:t>How to use a RAT | Unite against COVID-19 (covid19.govt.nz)</w:t>
        </w:r>
      </w:hyperlink>
    </w:p>
    <w:p w14:paraId="1F807C2F" w14:textId="77777777" w:rsidR="007525CE" w:rsidRPr="007525CE" w:rsidRDefault="007525CE" w:rsidP="007525CE">
      <w:pPr>
        <w:pStyle w:val="ListBullet2"/>
        <w:rPr>
          <w:rFonts w:eastAsia="Calibri"/>
        </w:rPr>
      </w:pPr>
      <w:r w:rsidRPr="007525CE">
        <w:rPr>
          <w:rFonts w:eastAsia="Calibri"/>
        </w:rPr>
        <w:t xml:space="preserve">Encouraging COVID-19 vaccination and boosters – </w:t>
      </w:r>
      <w:hyperlink r:id="rId16">
        <w:r w:rsidRPr="007525CE">
          <w:rPr>
            <w:rFonts w:eastAsia="Calibri"/>
            <w:color w:val="007E85"/>
            <w:u w:val="single"/>
          </w:rPr>
          <w:t>COVID-19 vaccine boosters | Unite against COVID-19 (covid19.govt.nz)</w:t>
        </w:r>
      </w:hyperlink>
    </w:p>
    <w:p w14:paraId="558ED4F8" w14:textId="77777777" w:rsidR="007525CE" w:rsidRPr="007525CE" w:rsidRDefault="007525CE" w:rsidP="007525CE">
      <w:pPr>
        <w:pStyle w:val="Heading3"/>
      </w:pPr>
      <w:r w:rsidRPr="007525CE">
        <w:t>Support Services available</w:t>
      </w:r>
    </w:p>
    <w:p w14:paraId="638D1BF0" w14:textId="77777777" w:rsidR="007525CE" w:rsidRPr="007525CE" w:rsidRDefault="007525CE" w:rsidP="007525CE">
      <w:pPr>
        <w:pStyle w:val="ListBullet"/>
      </w:pPr>
      <w:r w:rsidRPr="007525CE">
        <w:t>Assisted channel </w:t>
      </w:r>
    </w:p>
    <w:p w14:paraId="3775AAF8" w14:textId="77777777" w:rsidR="007525CE" w:rsidRPr="007525CE" w:rsidRDefault="007525CE" w:rsidP="007525CE">
      <w:pPr>
        <w:pStyle w:val="ListBullet2"/>
      </w:pPr>
      <w:r w:rsidRPr="007525CE">
        <w:t>Live call answering with call screening - providing an option for reporting RAT results</w:t>
      </w:r>
    </w:p>
    <w:p w14:paraId="382CAB56" w14:textId="77777777" w:rsidR="007525CE" w:rsidRPr="007525CE" w:rsidRDefault="007525CE" w:rsidP="007525CE">
      <w:pPr>
        <w:pStyle w:val="ListBullet2"/>
      </w:pPr>
      <w:r w:rsidRPr="007525CE">
        <w:t>Call centre hours are aligned to currently contracted contact tracing and Assisted Channel hours (0800-2000).</w:t>
      </w:r>
    </w:p>
    <w:p w14:paraId="6BC99157" w14:textId="1B56D675" w:rsidR="007525CE" w:rsidRPr="007525CE" w:rsidRDefault="007525CE" w:rsidP="007525CE">
      <w:pPr>
        <w:pStyle w:val="ListBullet2"/>
      </w:pPr>
      <w:r w:rsidRPr="007525CE">
        <w:t>Travellers with positive test results should be provided with the current standard community advice.  </w:t>
      </w:r>
    </w:p>
    <w:p w14:paraId="2ED9994A" w14:textId="77777777" w:rsidR="007525CE" w:rsidRPr="007525CE" w:rsidRDefault="007525CE" w:rsidP="007525CE">
      <w:pPr>
        <w:pStyle w:val="ListBullet"/>
      </w:pPr>
      <w:r w:rsidRPr="007525CE">
        <w:t xml:space="preserve">Support for </w:t>
      </w:r>
      <w:proofErr w:type="spellStart"/>
      <w:r w:rsidRPr="007525CE">
        <w:t>whānau</w:t>
      </w:r>
      <w:proofErr w:type="spellEnd"/>
      <w:r w:rsidRPr="007525CE">
        <w:t> </w:t>
      </w:r>
    </w:p>
    <w:p w14:paraId="6CDA67E6" w14:textId="77777777" w:rsidR="007525CE" w:rsidRPr="007525CE" w:rsidRDefault="007525CE" w:rsidP="007525CE">
      <w:pPr>
        <w:pStyle w:val="ListBullet2"/>
      </w:pPr>
      <w:proofErr w:type="spellStart"/>
      <w:r w:rsidRPr="007525CE">
        <w:t>Whānau</w:t>
      </w:r>
      <w:proofErr w:type="spellEnd"/>
      <w:r w:rsidRPr="007525CE">
        <w:t xml:space="preserve"> Ora helps </w:t>
      </w:r>
      <w:proofErr w:type="spellStart"/>
      <w:r w:rsidRPr="007525CE">
        <w:t>whānau</w:t>
      </w:r>
      <w:proofErr w:type="spellEnd"/>
      <w:r w:rsidRPr="007525CE">
        <w:t xml:space="preserve"> access health and welfare services, and meet basic needs for food, accommodation, heating, internet connectivity, </w:t>
      </w:r>
      <w:proofErr w:type="gramStart"/>
      <w:r w:rsidRPr="007525CE">
        <w:t>water</w:t>
      </w:r>
      <w:proofErr w:type="gramEnd"/>
      <w:r w:rsidRPr="007525CE">
        <w:t xml:space="preserve"> and sewerage. </w:t>
      </w:r>
    </w:p>
    <w:p w14:paraId="11D0CF5B" w14:textId="77777777" w:rsidR="007525CE" w:rsidRPr="007525CE" w:rsidRDefault="007525CE" w:rsidP="007525CE">
      <w:pPr>
        <w:pStyle w:val="ListBullet2"/>
      </w:pPr>
      <w:r w:rsidRPr="007525CE">
        <w:t xml:space="preserve">You can contact </w:t>
      </w:r>
      <w:proofErr w:type="spellStart"/>
      <w:r w:rsidRPr="007525CE">
        <w:t>Whānau</w:t>
      </w:r>
      <w:proofErr w:type="spellEnd"/>
      <w:r w:rsidRPr="007525CE">
        <w:t xml:space="preserve"> Ora on: </w:t>
      </w:r>
    </w:p>
    <w:p w14:paraId="12AF7FA6" w14:textId="77777777" w:rsidR="007525CE" w:rsidRPr="007525CE" w:rsidRDefault="00EF12D7" w:rsidP="007525CE">
      <w:pPr>
        <w:pStyle w:val="ListBullet3"/>
      </w:pPr>
      <w:hyperlink r:id="rId17" w:tgtFrame="_blank" w:history="1">
        <w:r w:rsidR="007525CE" w:rsidRPr="007525CE">
          <w:rPr>
            <w:rStyle w:val="Hyperlink"/>
          </w:rPr>
          <w:t>0800 929 282</w:t>
        </w:r>
      </w:hyperlink>
      <w:r w:rsidR="007525CE" w:rsidRPr="007525CE">
        <w:t xml:space="preserve"> if you are in the North Island.</w:t>
      </w:r>
    </w:p>
    <w:p w14:paraId="71C0AF82" w14:textId="77777777" w:rsidR="007525CE" w:rsidRPr="007525CE" w:rsidRDefault="00EF12D7" w:rsidP="007525CE">
      <w:pPr>
        <w:pStyle w:val="ListBullet3"/>
      </w:pPr>
      <w:hyperlink r:id="rId18" w:tgtFrame="_blank" w:history="1">
        <w:r w:rsidR="007525CE" w:rsidRPr="007525CE">
          <w:rPr>
            <w:rStyle w:val="Hyperlink"/>
          </w:rPr>
          <w:t>0800 187 689</w:t>
        </w:r>
      </w:hyperlink>
      <w:r w:rsidR="007525CE" w:rsidRPr="007525CE">
        <w:t xml:space="preserve"> if you are in the South Island. </w:t>
      </w:r>
    </w:p>
    <w:p w14:paraId="4DC4752A" w14:textId="2CC5C0A7" w:rsidR="002C4073" w:rsidRPr="00902436" w:rsidRDefault="002C4073" w:rsidP="002C4073"/>
    <w:sectPr w:rsidR="002C4073" w:rsidRPr="00902436" w:rsidSect="00FF2B47">
      <w:footerReference w:type="default" r:id="rId19"/>
      <w:pgSz w:w="11906" w:h="16838" w:code="9"/>
      <w:pgMar w:top="1134" w:right="1134" w:bottom="1134" w:left="113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67A3" w14:textId="77777777" w:rsidR="008A7C82" w:rsidRDefault="008A7C82" w:rsidP="00817A32">
      <w:pPr>
        <w:spacing w:before="0" w:after="0" w:line="240" w:lineRule="auto"/>
      </w:pPr>
      <w:r>
        <w:separator/>
      </w:r>
    </w:p>
  </w:endnote>
  <w:endnote w:type="continuationSeparator" w:id="0">
    <w:p w14:paraId="42C1CDA9" w14:textId="77777777" w:rsidR="008A7C82" w:rsidRDefault="008A7C82" w:rsidP="00817A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D574" w14:textId="4B3093AB" w:rsidR="00222274" w:rsidRPr="00630DE1" w:rsidRDefault="00C67C81" w:rsidP="00222274">
    <w:pPr>
      <w:pBdr>
        <w:top w:val="single" w:sz="2" w:space="4" w:color="808080"/>
      </w:pBdr>
      <w:tabs>
        <w:tab w:val="right" w:pos="14570"/>
      </w:tabs>
      <w:spacing w:after="0" w:line="240" w:lineRule="auto"/>
      <w:rPr>
        <w:rFonts w:ascii="Arial" w:eastAsia="Calibri" w:hAnsi="Arial" w:cs="Arial"/>
        <w:noProof/>
        <w:szCs w:val="24"/>
      </w:rPr>
    </w:pPr>
    <w:r>
      <w:rPr>
        <w:rFonts w:ascii="Arial" w:eastAsia="Calibri" w:hAnsi="Arial" w:cs="Arial"/>
        <w:noProof/>
        <w:szCs w:val="24"/>
      </w:rPr>
      <w:t xml:space="preserve">Updated August </w:t>
    </w:r>
    <w:r w:rsidR="00230D2A">
      <w:rPr>
        <w:rFonts w:ascii="Arial" w:eastAsia="Calibri" w:hAnsi="Arial" w:cs="Arial"/>
        <w:noProof/>
        <w:szCs w:val="24"/>
      </w:rPr>
      <w:t>2023</w:t>
    </w:r>
    <w:r w:rsidR="00222274" w:rsidRPr="00222274">
      <w:rPr>
        <w:rFonts w:ascii="Arial" w:eastAsia="Calibri" w:hAnsi="Arial" w:cs="Arial"/>
        <w:noProof/>
        <w:szCs w:val="24"/>
      </w:rPr>
      <w:tab/>
    </w:r>
    <w:r w:rsidR="00630DE1" w:rsidRPr="00630DE1">
      <w:rPr>
        <w:rFonts w:ascii="Arial" w:eastAsia="Calibri" w:hAnsi="Arial" w:cs="Arial"/>
        <w:noProof/>
        <w:szCs w:val="24"/>
      </w:rPr>
      <w:fldChar w:fldCharType="begin"/>
    </w:r>
    <w:r w:rsidR="00630DE1" w:rsidRPr="00630DE1">
      <w:rPr>
        <w:rFonts w:ascii="Arial" w:eastAsia="Calibri" w:hAnsi="Arial" w:cs="Arial"/>
        <w:noProof/>
        <w:szCs w:val="24"/>
      </w:rPr>
      <w:instrText xml:space="preserve"> PAGE   \* MERGEFORMAT </w:instrText>
    </w:r>
    <w:r w:rsidR="00630DE1" w:rsidRPr="00630DE1">
      <w:rPr>
        <w:rFonts w:ascii="Arial" w:eastAsia="Calibri" w:hAnsi="Arial" w:cs="Arial"/>
        <w:noProof/>
        <w:szCs w:val="24"/>
      </w:rPr>
      <w:fldChar w:fldCharType="separate"/>
    </w:r>
    <w:r w:rsidR="00630DE1" w:rsidRPr="00630DE1">
      <w:rPr>
        <w:rFonts w:ascii="Arial" w:eastAsia="Calibri" w:hAnsi="Arial" w:cs="Arial"/>
        <w:noProof/>
        <w:szCs w:val="24"/>
      </w:rPr>
      <w:t>1</w:t>
    </w:r>
    <w:r w:rsidR="00630DE1" w:rsidRPr="00630DE1">
      <w:rPr>
        <w:rFonts w:ascii="Arial" w:eastAsia="Calibri" w:hAnsi="Arial" w:cs="Arial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8F00" w14:textId="77777777" w:rsidR="008A7C82" w:rsidRDefault="008A7C82" w:rsidP="00817A32">
      <w:pPr>
        <w:spacing w:before="0" w:after="0" w:line="240" w:lineRule="auto"/>
      </w:pPr>
    </w:p>
  </w:footnote>
  <w:footnote w:type="continuationSeparator" w:id="0">
    <w:p w14:paraId="3122AD8A" w14:textId="77777777" w:rsidR="008A7C82" w:rsidRDefault="008A7C82" w:rsidP="00817A32">
      <w:pPr>
        <w:spacing w:before="0" w:after="0" w:line="240" w:lineRule="auto"/>
      </w:pPr>
      <w:r>
        <w:continuationSeparator/>
      </w:r>
    </w:p>
  </w:footnote>
  <w:footnote w:id="1">
    <w:p w14:paraId="526C2C32" w14:textId="5B3B2979" w:rsidR="002C4073" w:rsidRDefault="002C40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4073">
        <w:t xml:space="preserve">’Rural’ is defined according to the </w:t>
      </w:r>
      <w:hyperlink r:id="rId1" w:history="1">
        <w:r w:rsidRPr="002C4073">
          <w:rPr>
            <w:rStyle w:val="Hyperlink"/>
          </w:rPr>
          <w:t>Geographic Classification of Healthcare</w:t>
        </w:r>
      </w:hyperlink>
      <w:r w:rsidRPr="002C4073">
        <w:t>, based on the location of the patients home address, in defined regions R2 and R3.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198475A"/>
    <w:lvl w:ilvl="0">
      <w:start w:val="1"/>
      <w:numFmt w:val="lowerLetter"/>
      <w:pStyle w:val="ListNumber2"/>
      <w:lvlText w:val="%1)"/>
      <w:lvlJc w:val="left"/>
      <w:pPr>
        <w:ind w:left="644" w:hanging="360"/>
      </w:pPr>
    </w:lvl>
  </w:abstractNum>
  <w:abstractNum w:abstractNumId="1" w15:restartNumberingAfterBreak="0">
    <w:nsid w:val="FFFFFF82"/>
    <w:multiLevelType w:val="singleLevel"/>
    <w:tmpl w:val="03AE9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4CE09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0529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DE7CC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E2726"/>
    <w:multiLevelType w:val="hybridMultilevel"/>
    <w:tmpl w:val="427A8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D05531"/>
    <w:multiLevelType w:val="hybridMultilevel"/>
    <w:tmpl w:val="F7203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797562"/>
    <w:multiLevelType w:val="hybridMultilevel"/>
    <w:tmpl w:val="1C3A5D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677F38"/>
    <w:multiLevelType w:val="hybridMultilevel"/>
    <w:tmpl w:val="D220B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C43E5"/>
    <w:multiLevelType w:val="hybridMultilevel"/>
    <w:tmpl w:val="F40C0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1B1F"/>
    <w:multiLevelType w:val="hybridMultilevel"/>
    <w:tmpl w:val="66BCA292"/>
    <w:lvl w:ilvl="0" w:tplc="A5A675D0">
      <w:start w:val="1"/>
      <w:numFmt w:val="bullet"/>
      <w:pStyle w:val="Box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57B4040"/>
    <w:multiLevelType w:val="multilevel"/>
    <w:tmpl w:val="2C5E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8070BC"/>
    <w:multiLevelType w:val="hybridMultilevel"/>
    <w:tmpl w:val="57F48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167A7"/>
    <w:multiLevelType w:val="hybridMultilevel"/>
    <w:tmpl w:val="3DE2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72B21"/>
    <w:multiLevelType w:val="hybridMultilevel"/>
    <w:tmpl w:val="878A54E6"/>
    <w:lvl w:ilvl="0" w:tplc="96BC3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EC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8B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87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0F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25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8E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A8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47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05372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790820"/>
    <w:multiLevelType w:val="hybridMultilevel"/>
    <w:tmpl w:val="FD2C48A6"/>
    <w:lvl w:ilvl="0" w:tplc="7CD45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6EB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E2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8D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B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E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4B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E9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CA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95897"/>
    <w:multiLevelType w:val="multilevel"/>
    <w:tmpl w:val="7E784D5A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5CAEC5"/>
    <w:multiLevelType w:val="hybridMultilevel"/>
    <w:tmpl w:val="D9C88876"/>
    <w:lvl w:ilvl="0" w:tplc="B234E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EF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3A04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68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8C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2A0E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63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60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44A8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0BBD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F704A4"/>
    <w:multiLevelType w:val="hybridMultilevel"/>
    <w:tmpl w:val="CA84AA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73ADC"/>
    <w:multiLevelType w:val="hybridMultilevel"/>
    <w:tmpl w:val="2F82E092"/>
    <w:lvl w:ilvl="0" w:tplc="E7E6E3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CE7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0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A7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2E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6C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69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6E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40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F5AE7"/>
    <w:multiLevelType w:val="hybridMultilevel"/>
    <w:tmpl w:val="4AF4E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25B96"/>
    <w:multiLevelType w:val="hybridMultilevel"/>
    <w:tmpl w:val="8592B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A16CB"/>
    <w:multiLevelType w:val="hybridMultilevel"/>
    <w:tmpl w:val="35068F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206E6"/>
    <w:multiLevelType w:val="multilevel"/>
    <w:tmpl w:val="300471E6"/>
    <w:lvl w:ilvl="0">
      <w:start w:val="1"/>
      <w:numFmt w:val="bullet"/>
      <w:lvlText w:val=""/>
      <w:lvlJc w:val="left"/>
      <w:pPr>
        <w:tabs>
          <w:tab w:val="num" w:pos="720"/>
        </w:tabs>
        <w:ind w:left="39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5C7398"/>
    <w:multiLevelType w:val="hybridMultilevel"/>
    <w:tmpl w:val="1CF2D98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D7964"/>
    <w:multiLevelType w:val="hybridMultilevel"/>
    <w:tmpl w:val="2A22E77C"/>
    <w:lvl w:ilvl="0" w:tplc="3122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0D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4D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A5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ED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03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2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E7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6C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17C2"/>
    <w:multiLevelType w:val="multilevel"/>
    <w:tmpl w:val="3B2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CE6659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934F17"/>
    <w:multiLevelType w:val="hybridMultilevel"/>
    <w:tmpl w:val="CC0C9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25D67"/>
    <w:multiLevelType w:val="hybridMultilevel"/>
    <w:tmpl w:val="F69418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1083B"/>
    <w:multiLevelType w:val="hybridMultilevel"/>
    <w:tmpl w:val="BBB6B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E136E"/>
    <w:multiLevelType w:val="hybridMultilevel"/>
    <w:tmpl w:val="36408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57831"/>
    <w:multiLevelType w:val="multilevel"/>
    <w:tmpl w:val="300471E6"/>
    <w:lvl w:ilvl="0">
      <w:start w:val="1"/>
      <w:numFmt w:val="bullet"/>
      <w:lvlText w:val=""/>
      <w:lvlJc w:val="left"/>
      <w:pPr>
        <w:tabs>
          <w:tab w:val="num" w:pos="720"/>
        </w:tabs>
        <w:ind w:left="39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EC52CF"/>
    <w:multiLevelType w:val="hybridMultilevel"/>
    <w:tmpl w:val="45A2B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47A"/>
    <w:multiLevelType w:val="hybridMultilevel"/>
    <w:tmpl w:val="B5D2C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57EEC"/>
    <w:multiLevelType w:val="hybridMultilevel"/>
    <w:tmpl w:val="CE2E39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408F6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13717E"/>
    <w:multiLevelType w:val="multilevel"/>
    <w:tmpl w:val="53C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A9609B"/>
    <w:multiLevelType w:val="hybridMultilevel"/>
    <w:tmpl w:val="3CB8E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5770B"/>
    <w:multiLevelType w:val="hybridMultilevel"/>
    <w:tmpl w:val="C6E82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16242"/>
    <w:multiLevelType w:val="hybridMultilevel"/>
    <w:tmpl w:val="B61604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802F0"/>
    <w:multiLevelType w:val="hybridMultilevel"/>
    <w:tmpl w:val="7B980B50"/>
    <w:lvl w:ilvl="0" w:tplc="63622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D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E2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63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8F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C4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43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06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AE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44CB3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8B7D37"/>
    <w:multiLevelType w:val="hybridMultilevel"/>
    <w:tmpl w:val="F664E1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E0297"/>
    <w:multiLevelType w:val="multilevel"/>
    <w:tmpl w:val="26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97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6F4ED9"/>
    <w:multiLevelType w:val="hybridMultilevel"/>
    <w:tmpl w:val="4ECE9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F5DD5"/>
    <w:multiLevelType w:val="hybridMultilevel"/>
    <w:tmpl w:val="EB6413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28"/>
  </w:num>
  <w:num w:numId="10">
    <w:abstractNumId w:val="23"/>
  </w:num>
  <w:num w:numId="11">
    <w:abstractNumId w:val="25"/>
  </w:num>
  <w:num w:numId="12">
    <w:abstractNumId w:val="33"/>
  </w:num>
  <w:num w:numId="13">
    <w:abstractNumId w:val="34"/>
  </w:num>
  <w:num w:numId="14">
    <w:abstractNumId w:val="39"/>
  </w:num>
  <w:num w:numId="15">
    <w:abstractNumId w:val="35"/>
  </w:num>
  <w:num w:numId="16">
    <w:abstractNumId w:val="15"/>
  </w:num>
  <w:num w:numId="17">
    <w:abstractNumId w:val="12"/>
  </w:num>
  <w:num w:numId="18">
    <w:abstractNumId w:val="29"/>
  </w:num>
  <w:num w:numId="19">
    <w:abstractNumId w:val="42"/>
  </w:num>
  <w:num w:numId="20">
    <w:abstractNumId w:val="46"/>
  </w:num>
  <w:num w:numId="21">
    <w:abstractNumId w:val="44"/>
  </w:num>
  <w:num w:numId="22">
    <w:abstractNumId w:val="9"/>
  </w:num>
  <w:num w:numId="23">
    <w:abstractNumId w:val="38"/>
  </w:num>
  <w:num w:numId="24">
    <w:abstractNumId w:val="24"/>
  </w:num>
  <w:num w:numId="25">
    <w:abstractNumId w:val="36"/>
  </w:num>
  <w:num w:numId="26">
    <w:abstractNumId w:val="19"/>
  </w:num>
  <w:num w:numId="27">
    <w:abstractNumId w:val="6"/>
  </w:num>
  <w:num w:numId="28">
    <w:abstractNumId w:val="30"/>
  </w:num>
  <w:num w:numId="29">
    <w:abstractNumId w:val="47"/>
  </w:num>
  <w:num w:numId="30">
    <w:abstractNumId w:val="40"/>
  </w:num>
  <w:num w:numId="31">
    <w:abstractNumId w:val="31"/>
  </w:num>
  <w:num w:numId="32">
    <w:abstractNumId w:val="32"/>
  </w:num>
  <w:num w:numId="33">
    <w:abstractNumId w:val="20"/>
  </w:num>
  <w:num w:numId="34">
    <w:abstractNumId w:val="5"/>
  </w:num>
  <w:num w:numId="35">
    <w:abstractNumId w:val="13"/>
  </w:num>
  <w:num w:numId="36">
    <w:abstractNumId w:val="41"/>
  </w:num>
  <w:num w:numId="37">
    <w:abstractNumId w:val="22"/>
  </w:num>
  <w:num w:numId="38">
    <w:abstractNumId w:val="8"/>
  </w:num>
  <w:num w:numId="39">
    <w:abstractNumId w:val="37"/>
  </w:num>
  <w:num w:numId="40">
    <w:abstractNumId w:val="14"/>
  </w:num>
  <w:num w:numId="41">
    <w:abstractNumId w:val="7"/>
  </w:num>
  <w:num w:numId="42">
    <w:abstractNumId w:val="48"/>
  </w:num>
  <w:num w:numId="43">
    <w:abstractNumId w:val="18"/>
  </w:num>
  <w:num w:numId="44">
    <w:abstractNumId w:val="27"/>
  </w:num>
  <w:num w:numId="45">
    <w:abstractNumId w:val="18"/>
  </w:num>
  <w:num w:numId="46">
    <w:abstractNumId w:val="21"/>
  </w:num>
  <w:num w:numId="47">
    <w:abstractNumId w:val="43"/>
  </w:num>
  <w:num w:numId="48">
    <w:abstractNumId w:val="16"/>
  </w:num>
  <w:num w:numId="49">
    <w:abstractNumId w:val="4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6E"/>
    <w:rsid w:val="0000497C"/>
    <w:rsid w:val="00007099"/>
    <w:rsid w:val="00014BB0"/>
    <w:rsid w:val="00027E62"/>
    <w:rsid w:val="00041078"/>
    <w:rsid w:val="0004750A"/>
    <w:rsid w:val="000960F6"/>
    <w:rsid w:val="000974B3"/>
    <w:rsid w:val="000A4F6E"/>
    <w:rsid w:val="000A5357"/>
    <w:rsid w:val="000D0501"/>
    <w:rsid w:val="00114A8C"/>
    <w:rsid w:val="001A078F"/>
    <w:rsid w:val="001C37CA"/>
    <w:rsid w:val="001C6320"/>
    <w:rsid w:val="002122D2"/>
    <w:rsid w:val="00222274"/>
    <w:rsid w:val="00230D2A"/>
    <w:rsid w:val="002C4073"/>
    <w:rsid w:val="002D04A4"/>
    <w:rsid w:val="00303FDD"/>
    <w:rsid w:val="00310FC3"/>
    <w:rsid w:val="00332DA5"/>
    <w:rsid w:val="003742BB"/>
    <w:rsid w:val="003E2C36"/>
    <w:rsid w:val="00407875"/>
    <w:rsid w:val="00422623"/>
    <w:rsid w:val="00435C95"/>
    <w:rsid w:val="004753F0"/>
    <w:rsid w:val="004C2E5B"/>
    <w:rsid w:val="004C7B54"/>
    <w:rsid w:val="00514FDF"/>
    <w:rsid w:val="00533781"/>
    <w:rsid w:val="005561E4"/>
    <w:rsid w:val="005935FC"/>
    <w:rsid w:val="005938BD"/>
    <w:rsid w:val="005B1D62"/>
    <w:rsid w:val="005B7200"/>
    <w:rsid w:val="006239E7"/>
    <w:rsid w:val="00625412"/>
    <w:rsid w:val="00630DE1"/>
    <w:rsid w:val="006A17D5"/>
    <w:rsid w:val="006D4D3F"/>
    <w:rsid w:val="006F24B2"/>
    <w:rsid w:val="007231F3"/>
    <w:rsid w:val="007443B9"/>
    <w:rsid w:val="007525CE"/>
    <w:rsid w:val="007A2B86"/>
    <w:rsid w:val="007C2904"/>
    <w:rsid w:val="00817A32"/>
    <w:rsid w:val="00852A28"/>
    <w:rsid w:val="0087795F"/>
    <w:rsid w:val="008A7A5F"/>
    <w:rsid w:val="008A7C82"/>
    <w:rsid w:val="008C6802"/>
    <w:rsid w:val="008D15C3"/>
    <w:rsid w:val="008D78D9"/>
    <w:rsid w:val="008E04A8"/>
    <w:rsid w:val="008E1978"/>
    <w:rsid w:val="00902436"/>
    <w:rsid w:val="009104F7"/>
    <w:rsid w:val="0092286A"/>
    <w:rsid w:val="009C155A"/>
    <w:rsid w:val="00AA57D3"/>
    <w:rsid w:val="00AB5739"/>
    <w:rsid w:val="00B05BEA"/>
    <w:rsid w:val="00B75F7F"/>
    <w:rsid w:val="00BA53ED"/>
    <w:rsid w:val="00BC0C81"/>
    <w:rsid w:val="00BD69DF"/>
    <w:rsid w:val="00C0313E"/>
    <w:rsid w:val="00C033FA"/>
    <w:rsid w:val="00C454BA"/>
    <w:rsid w:val="00C5139C"/>
    <w:rsid w:val="00C67C81"/>
    <w:rsid w:val="00C822AD"/>
    <w:rsid w:val="00CB26AB"/>
    <w:rsid w:val="00CB7093"/>
    <w:rsid w:val="00CD398B"/>
    <w:rsid w:val="00D0703D"/>
    <w:rsid w:val="00D914C1"/>
    <w:rsid w:val="00E16976"/>
    <w:rsid w:val="00E52968"/>
    <w:rsid w:val="00E73F30"/>
    <w:rsid w:val="00E866BB"/>
    <w:rsid w:val="00E91E14"/>
    <w:rsid w:val="00EB698F"/>
    <w:rsid w:val="00EC430E"/>
    <w:rsid w:val="00ED0E3D"/>
    <w:rsid w:val="00ED4008"/>
    <w:rsid w:val="00EF12D7"/>
    <w:rsid w:val="00F10DE1"/>
    <w:rsid w:val="00F37A6A"/>
    <w:rsid w:val="00F84F7E"/>
    <w:rsid w:val="00F979A1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4D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28"/>
    <w:pPr>
      <w:spacing w:before="120" w:after="240" w:line="28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8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795F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olor w:val="1C2549" w:themeColor="tex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795F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C2549" w:themeColor="text2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1C2549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7795F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4C2E5B"/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7A32"/>
    <w:pPr>
      <w:numPr>
        <w:ilvl w:val="1"/>
      </w:numPr>
      <w:spacing w:before="160"/>
    </w:pPr>
    <w:rPr>
      <w:rFonts w:eastAsiaTheme="minorEastAsia"/>
      <w:b/>
      <w:color w:val="007681" w:themeColor="accent2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rsid w:val="004C2E5B"/>
    <w:rPr>
      <w:rFonts w:eastAsiaTheme="minorEastAsia"/>
      <w:b/>
      <w:color w:val="007681" w:themeColor="accent2"/>
      <w:sz w:val="40"/>
    </w:rPr>
  </w:style>
  <w:style w:type="paragraph" w:styleId="Header">
    <w:name w:val="header"/>
    <w:basedOn w:val="Normal"/>
    <w:link w:val="HeaderChar"/>
    <w:uiPriority w:val="99"/>
    <w:semiHidden/>
    <w:rsid w:val="0081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3FA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81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E5B"/>
    <w:rPr>
      <w:sz w:val="24"/>
    </w:rPr>
  </w:style>
  <w:style w:type="paragraph" w:customStyle="1" w:styleId="Provider">
    <w:name w:val="Provider"/>
    <w:uiPriority w:val="99"/>
    <w:qFormat/>
    <w:rsid w:val="0087795F"/>
    <w:rPr>
      <w:rFonts w:eastAsiaTheme="minorEastAsia"/>
      <w:b/>
      <w:color w:val="2DCCD3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38BD"/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customStyle="1" w:styleId="NumberedHeading1">
    <w:name w:val="Numbered Heading 1"/>
    <w:basedOn w:val="Heading1"/>
    <w:next w:val="Normal"/>
    <w:uiPriority w:val="10"/>
    <w:qFormat/>
    <w:rsid w:val="005938BD"/>
    <w:pPr>
      <w:numPr>
        <w:numId w:val="1"/>
      </w:numPr>
      <w:tabs>
        <w:tab w:val="left" w:pos="1021"/>
      </w:tabs>
      <w:ind w:left="1021" w:hanging="1021"/>
    </w:pPr>
  </w:style>
  <w:style w:type="character" w:customStyle="1" w:styleId="Heading2Char">
    <w:name w:val="Heading 2 Char"/>
    <w:basedOn w:val="DefaultParagraphFont"/>
    <w:link w:val="Heading2"/>
    <w:uiPriority w:val="9"/>
    <w:rsid w:val="0087795F"/>
    <w:rPr>
      <w:rFonts w:asciiTheme="majorHAnsi" w:eastAsiaTheme="majorEastAsia" w:hAnsiTheme="majorHAnsi" w:cstheme="majorBidi"/>
      <w:b/>
      <w:color w:val="1C2549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795F"/>
    <w:rPr>
      <w:rFonts w:asciiTheme="majorHAnsi" w:eastAsiaTheme="majorEastAsia" w:hAnsiTheme="majorHAnsi" w:cstheme="majorBidi"/>
      <w:b/>
      <w:color w:val="1C2549" w:themeColor="text2"/>
      <w:sz w:val="36"/>
      <w:szCs w:val="24"/>
    </w:rPr>
  </w:style>
  <w:style w:type="paragraph" w:customStyle="1" w:styleId="NumberedHeading2">
    <w:name w:val="Numbered Heading 2"/>
    <w:basedOn w:val="Heading2"/>
    <w:next w:val="Normal"/>
    <w:uiPriority w:val="10"/>
    <w:qFormat/>
    <w:rsid w:val="005938BD"/>
    <w:pPr>
      <w:numPr>
        <w:ilvl w:val="1"/>
        <w:numId w:val="1"/>
      </w:numPr>
      <w:tabs>
        <w:tab w:val="left" w:pos="1021"/>
      </w:tabs>
      <w:ind w:left="1021" w:hanging="1021"/>
    </w:pPr>
  </w:style>
  <w:style w:type="paragraph" w:customStyle="1" w:styleId="NumberedHeading3">
    <w:name w:val="Numbered Heading 3"/>
    <w:basedOn w:val="Heading3"/>
    <w:next w:val="Normal"/>
    <w:uiPriority w:val="10"/>
    <w:qFormat/>
    <w:rsid w:val="005938BD"/>
    <w:pPr>
      <w:numPr>
        <w:ilvl w:val="2"/>
        <w:numId w:val="1"/>
      </w:numPr>
      <w:tabs>
        <w:tab w:val="left" w:pos="1021"/>
      </w:tabs>
      <w:ind w:left="1021" w:hanging="1021"/>
    </w:pPr>
  </w:style>
  <w:style w:type="paragraph" w:styleId="TOCHeading">
    <w:name w:val="TOC Heading"/>
    <w:next w:val="Normal"/>
    <w:uiPriority w:val="39"/>
    <w:semiHidden/>
    <w:qFormat/>
    <w:rsid w:val="00630DE1"/>
    <w:pPr>
      <w:spacing w:before="360"/>
    </w:pPr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styleId="TOC1">
    <w:name w:val="toc 1"/>
    <w:basedOn w:val="Normal"/>
    <w:next w:val="Normal"/>
    <w:autoRedefine/>
    <w:uiPriority w:val="39"/>
    <w:rsid w:val="00630DE1"/>
    <w:pPr>
      <w:spacing w:before="30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630D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30DE1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B75F7F"/>
    <w:rPr>
      <w:b/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F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rsid w:val="00C033FA"/>
    <w:pPr>
      <w:numPr>
        <w:numId w:val="2"/>
      </w:numPr>
      <w:tabs>
        <w:tab w:val="clear" w:pos="360"/>
        <w:tab w:val="left" w:pos="425"/>
      </w:tabs>
      <w:spacing w:after="120"/>
      <w:ind w:left="425" w:hanging="425"/>
    </w:pPr>
  </w:style>
  <w:style w:type="paragraph" w:styleId="ListBullet2">
    <w:name w:val="List Bullet 2"/>
    <w:basedOn w:val="Normal"/>
    <w:uiPriority w:val="8"/>
    <w:rsid w:val="00C033FA"/>
    <w:pPr>
      <w:numPr>
        <w:numId w:val="3"/>
      </w:numPr>
      <w:tabs>
        <w:tab w:val="clear" w:pos="643"/>
        <w:tab w:val="left" w:pos="851"/>
      </w:tabs>
      <w:spacing w:after="120"/>
      <w:ind w:left="850" w:hanging="425"/>
    </w:pPr>
  </w:style>
  <w:style w:type="paragraph" w:styleId="ListBullet3">
    <w:name w:val="List Bullet 3"/>
    <w:basedOn w:val="Normal"/>
    <w:uiPriority w:val="8"/>
    <w:rsid w:val="005938BD"/>
    <w:pPr>
      <w:numPr>
        <w:numId w:val="4"/>
      </w:numPr>
      <w:tabs>
        <w:tab w:val="clear" w:pos="926"/>
        <w:tab w:val="left" w:pos="1276"/>
      </w:tabs>
      <w:spacing w:after="120"/>
      <w:ind w:left="1276" w:hanging="425"/>
    </w:pPr>
  </w:style>
  <w:style w:type="paragraph" w:styleId="ListNumber">
    <w:name w:val="List Number"/>
    <w:basedOn w:val="Normal"/>
    <w:uiPriority w:val="8"/>
    <w:rsid w:val="005938BD"/>
    <w:pPr>
      <w:numPr>
        <w:numId w:val="5"/>
      </w:numPr>
      <w:tabs>
        <w:tab w:val="clear" w:pos="360"/>
        <w:tab w:val="left" w:pos="425"/>
      </w:tabs>
      <w:spacing w:after="120"/>
      <w:ind w:left="425" w:hanging="425"/>
    </w:pPr>
  </w:style>
  <w:style w:type="paragraph" w:styleId="ListNumber2">
    <w:name w:val="List Number 2"/>
    <w:basedOn w:val="Normal"/>
    <w:uiPriority w:val="8"/>
    <w:rsid w:val="005938BD"/>
    <w:pPr>
      <w:numPr>
        <w:numId w:val="6"/>
      </w:numPr>
      <w:tabs>
        <w:tab w:val="left" w:pos="851"/>
      </w:tabs>
      <w:spacing w:after="120"/>
      <w:ind w:left="850" w:hanging="425"/>
    </w:pPr>
  </w:style>
  <w:style w:type="character" w:customStyle="1" w:styleId="Heading4Char">
    <w:name w:val="Heading 4 Char"/>
    <w:basedOn w:val="DefaultParagraphFont"/>
    <w:link w:val="Heading4"/>
    <w:uiPriority w:val="9"/>
    <w:rsid w:val="004C2E5B"/>
    <w:rPr>
      <w:rFonts w:asciiTheme="majorHAnsi" w:eastAsiaTheme="majorEastAsia" w:hAnsiTheme="majorHAnsi" w:cstheme="majorBidi"/>
      <w:b/>
      <w:iCs/>
      <w:color w:val="1C2549" w:themeColor="text2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4C2E5B"/>
    <w:pPr>
      <w:tabs>
        <w:tab w:val="left" w:pos="170"/>
      </w:tabs>
      <w:spacing w:before="0" w:after="0" w:line="240" w:lineRule="auto"/>
      <w:ind w:left="170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A2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C2E5B"/>
    <w:rPr>
      <w:vertAlign w:val="superscript"/>
    </w:rPr>
  </w:style>
  <w:style w:type="table" w:styleId="GridTable4">
    <w:name w:val="Grid Table 4"/>
    <w:basedOn w:val="TableNormal"/>
    <w:uiPriority w:val="49"/>
    <w:rsid w:val="00C031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eWhatuOra">
    <w:name w:val="Te Whatu Ora"/>
    <w:basedOn w:val="TableNormal"/>
    <w:uiPriority w:val="99"/>
    <w:rsid w:val="00852A28"/>
    <w:pPr>
      <w:spacing w:before="100" w:beforeAutospacing="1" w:after="100" w:afterAutospacing="1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</w:rPr>
      <w:tblPr/>
      <w:tcPr>
        <w:shd w:val="clear" w:color="auto" w:fill="BFBFBF" w:themeFill="background1" w:themeFillShade="BF"/>
        <w:vAlign w:val="center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</w:tblStylePr>
  </w:style>
  <w:style w:type="table" w:styleId="ListTable4">
    <w:name w:val="List Table 4"/>
    <w:basedOn w:val="TableNormal"/>
    <w:uiPriority w:val="49"/>
    <w:rsid w:val="00C031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1">
    <w:name w:val="Table Grid 1"/>
    <w:basedOn w:val="TableNormal"/>
    <w:uiPriority w:val="99"/>
    <w:semiHidden/>
    <w:unhideWhenUsed/>
    <w:rsid w:val="00C0313E"/>
    <w:pPr>
      <w:spacing w:before="120"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qFormat/>
    <w:rsid w:val="00C0313E"/>
    <w:pPr>
      <w:spacing w:before="0" w:after="0"/>
    </w:pPr>
  </w:style>
  <w:style w:type="paragraph" w:customStyle="1" w:styleId="Figure">
    <w:name w:val="Figure"/>
    <w:basedOn w:val="Normal"/>
    <w:uiPriority w:val="11"/>
    <w:qFormat/>
    <w:rsid w:val="00852A28"/>
    <w:rPr>
      <w:b/>
    </w:rPr>
  </w:style>
  <w:style w:type="paragraph" w:customStyle="1" w:styleId="Box">
    <w:name w:val="Box"/>
    <w:basedOn w:val="Normal"/>
    <w:qFormat/>
    <w:rsid w:val="005561E4"/>
    <w:pPr>
      <w:pBdr>
        <w:top w:val="single" w:sz="8" w:space="8" w:color="00A2AC" w:themeColor="background2"/>
        <w:left w:val="single" w:sz="8" w:space="8" w:color="00A2AC" w:themeColor="background2"/>
        <w:bottom w:val="single" w:sz="8" w:space="8" w:color="00A2AC" w:themeColor="background2"/>
        <w:right w:val="single" w:sz="8" w:space="8" w:color="00A2AC" w:themeColor="background2"/>
      </w:pBdr>
      <w:spacing w:after="120"/>
      <w:ind w:left="170" w:right="170"/>
    </w:pPr>
  </w:style>
  <w:style w:type="paragraph" w:customStyle="1" w:styleId="BoxBullet">
    <w:name w:val="Box Bullet"/>
    <w:basedOn w:val="Box"/>
    <w:qFormat/>
    <w:rsid w:val="005561E4"/>
    <w:pPr>
      <w:numPr>
        <w:numId w:val="7"/>
      </w:numPr>
      <w:ind w:left="527" w:hanging="357"/>
    </w:pPr>
  </w:style>
  <w:style w:type="table" w:styleId="GridTable1Light-Accent4">
    <w:name w:val="Grid Table 1 Light Accent 4"/>
    <w:basedOn w:val="TableNormal"/>
    <w:uiPriority w:val="46"/>
    <w:rsid w:val="000A4F6E"/>
    <w:pPr>
      <w:spacing w:after="0" w:line="240" w:lineRule="auto"/>
    </w:pPr>
    <w:tblPr>
      <w:tblStyleRowBandSize w:val="1"/>
      <w:tblStyleColBandSize w:val="1"/>
      <w:tblBorders>
        <w:top w:val="single" w:sz="4" w:space="0" w:color="F9F4EF" w:themeColor="accent4" w:themeTint="66"/>
        <w:left w:val="single" w:sz="4" w:space="0" w:color="F9F4EF" w:themeColor="accent4" w:themeTint="66"/>
        <w:bottom w:val="single" w:sz="4" w:space="0" w:color="F9F4EF" w:themeColor="accent4" w:themeTint="66"/>
        <w:right w:val="single" w:sz="4" w:space="0" w:color="F9F4EF" w:themeColor="accent4" w:themeTint="66"/>
        <w:insideH w:val="single" w:sz="4" w:space="0" w:color="F9F4EF" w:themeColor="accent4" w:themeTint="66"/>
        <w:insideV w:val="single" w:sz="4" w:space="0" w:color="F9F4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EFE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EF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point.co.nz/covid-19" TargetMode="External"/><Relationship Id="rId18" Type="http://schemas.openxmlformats.org/officeDocument/2006/relationships/hyperlink" Target="tel:080018768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ealth.govt.nz/covid-19-novel-coronavirus/covid-19-information-health-professionals/covid-19-advice-all-health-professionals" TargetMode="External"/><Relationship Id="rId17" Type="http://schemas.openxmlformats.org/officeDocument/2006/relationships/hyperlink" Target="tel:08009292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vid19.govt.nz/covid-19-vaccines/covid-19-vaccine-booste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s01.safelinks.protection.outlook.com/?url=https%3A%2F%2Fpharmac.govt.nz%2Fnews-and-resources%2Fcovid19%2Faccess-criteria-for-covid-19-medicines%2Fcovid-antivirals%2Faccess-criteria-assessment-tool%2F&amp;data=05%7C01%7CVanessa.Coull%40health.govt.nz%7C650d9dc8a0f14c6a360b08db50dc10d0%7C23cec7246d204bd19fe9dc4447edd1fa%7C0%7C0%7C638192678322650072%7CUnknown%7CTWFpbGZsb3d8eyJWIjoiMC4wLjAwMDAiLCJQIjoiV2luMzIiLCJBTiI6Ik1haWwiLCJXVCI6Mn0%3D%7C3000%7C%7C%7C&amp;sdata=UyMY8OXC5Wkjqe2jDizshfIdd86hGi7RU1C%2FUi05%2FTQ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vid19.govt.nz/testing-and-isolation/covid-19-testing/how-to-use-a-rat/" TargetMode="External"/><Relationship Id="rId10" Type="http://schemas.openxmlformats.org/officeDocument/2006/relationships/hyperlink" Target="https://covid19.govt.nz/testing-and-isolation/if-you-have-covid-19/medicines-to-treat-covid-19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vid19.govt.nz/prepare-and-stay-safe/people-at-higher-risk-of-severe-illness-from-covid-19/" TargetMode="External"/><Relationship Id="rId14" Type="http://schemas.openxmlformats.org/officeDocument/2006/relationships/hyperlink" Target="https://www.health.govt.nz/covid-19-novel-coronavirus/covid-19-health-advice-public/covid-19-testing/covid-19-testing-priority-group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orymaps.arcgis.com/stories/da035e374dbb4ea0ae3b31b6777924ad" TargetMode="External"/></Relationships>
</file>

<file path=word/theme/theme1.xml><?xml version="1.0" encoding="utf-8"?>
<a:theme xmlns:a="http://schemas.openxmlformats.org/drawingml/2006/main" name="Office Theme">
  <a:themeElements>
    <a:clrScheme name="Te Whatu Ora 2">
      <a:dk1>
        <a:sysClr val="windowText" lastClr="000000"/>
      </a:dk1>
      <a:lt1>
        <a:sysClr val="window" lastClr="FFFFFF"/>
      </a:lt1>
      <a:dk2>
        <a:srgbClr val="1C2549"/>
      </a:dk2>
      <a:lt2>
        <a:srgbClr val="00A2AC"/>
      </a:lt2>
      <a:accent1>
        <a:srgbClr val="00558C"/>
      </a:accent1>
      <a:accent2>
        <a:srgbClr val="007681"/>
      </a:accent2>
      <a:accent3>
        <a:srgbClr val="FFFFFF"/>
      </a:accent3>
      <a:accent4>
        <a:srgbClr val="F0E6D8"/>
      </a:accent4>
      <a:accent5>
        <a:srgbClr val="00A2AC"/>
      </a:accent5>
      <a:accent6>
        <a:srgbClr val="1C2549"/>
      </a:accent6>
      <a:hlink>
        <a:srgbClr val="00A2AC"/>
      </a:hlink>
      <a:folHlink>
        <a:srgbClr val="00558C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884B-1E52-4152-B052-54151999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2023-08-09T01:20:00Z</dcterms:created>
  <dcterms:modified xsi:type="dcterms:W3CDTF">2023-08-09T01:39:00Z</dcterms:modified>
</cp:coreProperties>
</file>