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7962" w14:textId="77777777" w:rsidR="00817A32" w:rsidRDefault="00817A32" w:rsidP="00817A32">
      <w:pPr>
        <w:jc w:val="right"/>
      </w:pPr>
      <w:r>
        <w:rPr>
          <w:noProof/>
        </w:rPr>
        <w:drawing>
          <wp:inline distT="0" distB="0" distL="0" distR="0" wp14:anchorId="1EB609AB" wp14:editId="489DB286">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2C167FB7" w14:textId="5D2F0FF4" w:rsidR="005561E4" w:rsidRDefault="00A60743" w:rsidP="00F13EE1">
      <w:pPr>
        <w:pStyle w:val="Heading2"/>
      </w:pPr>
      <w:r>
        <w:t>Laboratory and Testing Operational Considerations</w:t>
      </w:r>
    </w:p>
    <w:p w14:paraId="70B42E9C" w14:textId="77777777" w:rsidR="00A60743" w:rsidRPr="00A60743" w:rsidRDefault="00A60743" w:rsidP="00A60743">
      <w:pPr>
        <w:rPr>
          <w:lang w:val="en-US"/>
        </w:rPr>
      </w:pPr>
      <w:r w:rsidRPr="00A60743">
        <w:rPr>
          <w:lang w:val="en-US"/>
        </w:rPr>
        <w:t>The following section provides key considerations in relation to laboratory testing services for COVID-19 testing. This is to ensure laboratory testing capacity and supply of consumables are used optimally to support objectives of the Plan.</w:t>
      </w:r>
    </w:p>
    <w:p w14:paraId="4B6D14C7" w14:textId="77777777" w:rsidR="00A60743" w:rsidRPr="00A60743" w:rsidRDefault="00A60743" w:rsidP="00A60743">
      <w:pPr>
        <w:pStyle w:val="Heading3"/>
        <w:rPr>
          <w:lang w:val="en-US"/>
        </w:rPr>
      </w:pPr>
      <w:r w:rsidRPr="00A60743">
        <w:rPr>
          <w:lang w:val="en-US"/>
        </w:rPr>
        <w:t>Key enablers and barriers to COVID-19 testing response</w:t>
      </w:r>
    </w:p>
    <w:p w14:paraId="32C2E4BE" w14:textId="77777777" w:rsidR="00A60743" w:rsidRPr="00A60743" w:rsidRDefault="00A60743" w:rsidP="00A60743">
      <w:pPr>
        <w:rPr>
          <w:lang w:val="en-US"/>
        </w:rPr>
      </w:pPr>
      <w:r w:rsidRPr="00A60743">
        <w:rPr>
          <w:lang w:val="en-US"/>
        </w:rPr>
        <w:t xml:space="preserve">The National Public Health Service (NPHS) will continue to work with all providers to ensure continuous improvement in providing all testing services to meet the objectives of the Plan. This will include working with sample collection providers, RAT supply and community testing providers, pathology and laboratory providers, and lead agencies (Public Health Agency, Te Aka </w:t>
      </w:r>
      <w:proofErr w:type="spellStart"/>
      <w:r w:rsidRPr="00A60743">
        <w:rPr>
          <w:lang w:val="en-US"/>
        </w:rPr>
        <w:t>Whai</w:t>
      </w:r>
      <w:proofErr w:type="spellEnd"/>
      <w:r w:rsidRPr="00A60743">
        <w:rPr>
          <w:lang w:val="en-US"/>
        </w:rPr>
        <w:t xml:space="preserve"> Ora, </w:t>
      </w:r>
      <w:proofErr w:type="spellStart"/>
      <w:r w:rsidRPr="00A60743">
        <w:rPr>
          <w:lang w:val="en-US"/>
        </w:rPr>
        <w:t>Whaikaha</w:t>
      </w:r>
      <w:proofErr w:type="spellEnd"/>
      <w:r w:rsidRPr="00A60743">
        <w:rPr>
          <w:lang w:val="en-US"/>
        </w:rPr>
        <w:t xml:space="preserve">, Pacific Health, Te </w:t>
      </w:r>
      <w:proofErr w:type="spellStart"/>
      <w:r w:rsidRPr="00A60743">
        <w:rPr>
          <w:lang w:val="en-US"/>
        </w:rPr>
        <w:t>Whatu</w:t>
      </w:r>
      <w:proofErr w:type="spellEnd"/>
      <w:r w:rsidRPr="00A60743">
        <w:rPr>
          <w:lang w:val="en-US"/>
        </w:rPr>
        <w:t xml:space="preserve"> Ora) to ensure that as the plan evolves, the services available are fit for purpose.</w:t>
      </w:r>
    </w:p>
    <w:p w14:paraId="79CE2DAD" w14:textId="77777777" w:rsidR="00A60743" w:rsidRPr="00A60743" w:rsidRDefault="00A60743" w:rsidP="00A60743">
      <w:pPr>
        <w:rPr>
          <w:lang w:val="en-US"/>
        </w:rPr>
      </w:pPr>
      <w:r w:rsidRPr="00A60743">
        <w:rPr>
          <w:lang w:val="en-US"/>
        </w:rPr>
        <w:t>Important testing considerations include:</w:t>
      </w:r>
    </w:p>
    <w:p w14:paraId="75BB522F" w14:textId="77777777" w:rsidR="00A60743" w:rsidRPr="00A60743" w:rsidRDefault="00A60743" w:rsidP="00A60743">
      <w:pPr>
        <w:pStyle w:val="ListBullet"/>
        <w:rPr>
          <w:lang w:val="en-US"/>
        </w:rPr>
      </w:pPr>
      <w:r w:rsidRPr="00A60743">
        <w:rPr>
          <w:lang w:val="en-US"/>
        </w:rPr>
        <w:t xml:space="preserve">Availability of a range of technologies and methodologies </w:t>
      </w:r>
    </w:p>
    <w:p w14:paraId="2E4CDD85" w14:textId="77777777" w:rsidR="00A60743" w:rsidRPr="00A60743" w:rsidRDefault="00A60743" w:rsidP="00A60743">
      <w:pPr>
        <w:pStyle w:val="ListBullet"/>
        <w:rPr>
          <w:lang w:val="en-US"/>
        </w:rPr>
      </w:pPr>
      <w:r w:rsidRPr="00A60743">
        <w:rPr>
          <w:lang w:val="en-US"/>
        </w:rPr>
        <w:t xml:space="preserve">Laboratory testing capacity (NAAT)  </w:t>
      </w:r>
    </w:p>
    <w:p w14:paraId="55DB0850" w14:textId="77777777" w:rsidR="00A60743" w:rsidRPr="00A60743" w:rsidRDefault="00A60743" w:rsidP="00A60743">
      <w:pPr>
        <w:pStyle w:val="ListBullet"/>
        <w:rPr>
          <w:lang w:val="en-US"/>
        </w:rPr>
      </w:pPr>
      <w:r w:rsidRPr="00A60743">
        <w:rPr>
          <w:lang w:val="en-US"/>
        </w:rPr>
        <w:t xml:space="preserve">Supplies (PPE, RAT, and NAAT) </w:t>
      </w:r>
    </w:p>
    <w:p w14:paraId="4EDACC77" w14:textId="77777777" w:rsidR="00A60743" w:rsidRPr="00A60743" w:rsidRDefault="00A60743" w:rsidP="00A60743">
      <w:pPr>
        <w:pStyle w:val="ListBullet"/>
        <w:rPr>
          <w:lang w:val="en-US"/>
        </w:rPr>
      </w:pPr>
      <w:r w:rsidRPr="00A60743">
        <w:rPr>
          <w:lang w:val="en-US"/>
        </w:rPr>
        <w:t xml:space="preserve">Sustainability of collection and testing services </w:t>
      </w:r>
    </w:p>
    <w:p w14:paraId="3AE2BE2F" w14:textId="77777777" w:rsidR="00A60743" w:rsidRPr="00A60743" w:rsidRDefault="00A60743" w:rsidP="00A60743">
      <w:pPr>
        <w:pStyle w:val="ListBullet"/>
        <w:rPr>
          <w:lang w:val="en-US"/>
        </w:rPr>
      </w:pPr>
      <w:r w:rsidRPr="00A60743">
        <w:rPr>
          <w:lang w:val="en-US"/>
        </w:rPr>
        <w:t xml:space="preserve">Quality of testing </w:t>
      </w:r>
    </w:p>
    <w:p w14:paraId="27A6D975" w14:textId="77777777" w:rsidR="00A60743" w:rsidRPr="00A60743" w:rsidRDefault="00A60743" w:rsidP="00A60743">
      <w:pPr>
        <w:pStyle w:val="ListBullet"/>
        <w:rPr>
          <w:lang w:val="en-US"/>
        </w:rPr>
      </w:pPr>
      <w:r w:rsidRPr="00A60743">
        <w:rPr>
          <w:lang w:val="en-US"/>
        </w:rPr>
        <w:t>Access and service delivery mode and models; and</w:t>
      </w:r>
    </w:p>
    <w:p w14:paraId="46F122D0" w14:textId="77777777" w:rsidR="00A60743" w:rsidRPr="00A60743" w:rsidRDefault="00A60743" w:rsidP="00A60743">
      <w:pPr>
        <w:pStyle w:val="ListBullet"/>
        <w:rPr>
          <w:lang w:val="en-US"/>
        </w:rPr>
      </w:pPr>
      <w:r w:rsidRPr="00A60743">
        <w:rPr>
          <w:lang w:val="en-US"/>
        </w:rPr>
        <w:t>Fiscal environment.</w:t>
      </w:r>
    </w:p>
    <w:p w14:paraId="1A5FA2EE" w14:textId="77777777" w:rsidR="00A60743" w:rsidRPr="00A60743" w:rsidRDefault="00A60743" w:rsidP="00A60743">
      <w:pPr>
        <w:pStyle w:val="Heading3"/>
        <w:rPr>
          <w:lang w:val="en-US"/>
        </w:rPr>
      </w:pPr>
      <w:r w:rsidRPr="00A60743">
        <w:rPr>
          <w:lang w:val="en-US"/>
        </w:rPr>
        <w:t>Access to testing</w:t>
      </w:r>
    </w:p>
    <w:p w14:paraId="61FA38C2" w14:textId="77777777" w:rsidR="00A60743" w:rsidRPr="00A60743" w:rsidRDefault="00A60743" w:rsidP="00A60743">
      <w:pPr>
        <w:rPr>
          <w:lang w:val="en-US"/>
        </w:rPr>
      </w:pPr>
      <w:r w:rsidRPr="00A60743">
        <w:rPr>
          <w:lang w:val="en-US"/>
        </w:rPr>
        <w:t>Testing (and in some cases masks) can be accessed via various providers:</w:t>
      </w:r>
    </w:p>
    <w:p w14:paraId="57606270" w14:textId="77777777" w:rsidR="00A60743" w:rsidRPr="00A60743" w:rsidRDefault="00A60743" w:rsidP="00A60743">
      <w:pPr>
        <w:pStyle w:val="ListBullet"/>
        <w:rPr>
          <w:lang w:val="en-US"/>
        </w:rPr>
      </w:pPr>
      <w:r w:rsidRPr="00A60743">
        <w:rPr>
          <w:lang w:val="en-US"/>
        </w:rPr>
        <w:t>RATs (and masks) can be collected at collection sites and participating pharmacies</w:t>
      </w:r>
    </w:p>
    <w:p w14:paraId="27AD351C" w14:textId="77777777" w:rsidR="00A60743" w:rsidRPr="00A60743" w:rsidRDefault="00A60743" w:rsidP="00A60743">
      <w:pPr>
        <w:pStyle w:val="ListBullet"/>
        <w:rPr>
          <w:lang w:val="en-US"/>
        </w:rPr>
      </w:pPr>
      <w:r w:rsidRPr="00A60743">
        <w:rPr>
          <w:lang w:val="en-US"/>
        </w:rPr>
        <w:t>CTCs can perform NAATs when indicated; and</w:t>
      </w:r>
    </w:p>
    <w:p w14:paraId="3ADB4585" w14:textId="77777777" w:rsidR="00A60743" w:rsidRPr="00A60743" w:rsidRDefault="00A60743" w:rsidP="00A60743">
      <w:pPr>
        <w:pStyle w:val="ListBullet"/>
        <w:rPr>
          <w:lang w:val="en-US"/>
        </w:rPr>
      </w:pPr>
      <w:r w:rsidRPr="00A60743">
        <w:rPr>
          <w:lang w:val="en-US"/>
        </w:rPr>
        <w:t>GPs perform RATs and NAATs to inform clinical management.</w:t>
      </w:r>
    </w:p>
    <w:p w14:paraId="0906CAB3" w14:textId="77777777" w:rsidR="00A60743" w:rsidRPr="00A60743" w:rsidRDefault="00A60743" w:rsidP="00A60743">
      <w:pPr>
        <w:rPr>
          <w:lang w:val="en-US"/>
        </w:rPr>
      </w:pPr>
      <w:r w:rsidRPr="00A60743">
        <w:rPr>
          <w:lang w:val="en-US"/>
        </w:rPr>
        <w:t xml:space="preserve">These services are all listed on </w:t>
      </w:r>
      <w:hyperlink r:id="rId9">
        <w:proofErr w:type="spellStart"/>
        <w:r w:rsidRPr="00A60743">
          <w:rPr>
            <w:rStyle w:val="Hyperlink"/>
            <w:lang w:val="en-US"/>
          </w:rPr>
          <w:t>Healthpoint</w:t>
        </w:r>
        <w:proofErr w:type="spellEnd"/>
      </w:hyperlink>
      <w:r w:rsidRPr="00A60743">
        <w:rPr>
          <w:lang w:val="en-US"/>
        </w:rPr>
        <w:t>.</w:t>
      </w:r>
    </w:p>
    <w:p w14:paraId="2449C062" w14:textId="77777777" w:rsidR="00A60743" w:rsidRPr="00A60743" w:rsidRDefault="00A60743" w:rsidP="00A60743">
      <w:pPr>
        <w:pStyle w:val="Heading3"/>
        <w:rPr>
          <w:lang w:val="en-US"/>
        </w:rPr>
      </w:pPr>
      <w:r w:rsidRPr="00A60743">
        <w:rPr>
          <w:lang w:val="en-US"/>
        </w:rPr>
        <w:lastRenderedPageBreak/>
        <w:t xml:space="preserve">Laboratory capacity and throughput </w:t>
      </w:r>
    </w:p>
    <w:p w14:paraId="3C66423F" w14:textId="77777777" w:rsidR="00A60743" w:rsidRPr="00A60743" w:rsidRDefault="00A60743" w:rsidP="00A60743">
      <w:pPr>
        <w:rPr>
          <w:lang w:val="en-US"/>
        </w:rPr>
      </w:pPr>
      <w:r w:rsidRPr="00A60743">
        <w:rPr>
          <w:lang w:val="en-US"/>
        </w:rPr>
        <w:t xml:space="preserve">Laboratory-based PCR testing capacity and capability are retained in all diagnostic COVID-19 testing laboratories to meet testing demands as needed. </w:t>
      </w:r>
    </w:p>
    <w:p w14:paraId="3A085223" w14:textId="77777777" w:rsidR="00A60743" w:rsidRPr="00A60743" w:rsidRDefault="00A60743" w:rsidP="00A60743">
      <w:pPr>
        <w:rPr>
          <w:lang w:val="en-US"/>
        </w:rPr>
      </w:pPr>
      <w:r w:rsidRPr="00A60743">
        <w:rPr>
          <w:lang w:val="en-US"/>
        </w:rPr>
        <w:t>Under our current settings, RATs are used more actively for symptomatic testing, reserving PCR for priority people and those at higher risk of severe illness from COVID-19 in high-risk settings (definitions for priority people and those at higher risk of severe illness from COVID-19</w:t>
      </w:r>
      <w:r w:rsidRPr="00A60743">
        <w:rPr>
          <w:vertAlign w:val="superscript"/>
          <w:lang w:val="en-US"/>
        </w:rPr>
        <w:t xml:space="preserve"> </w:t>
      </w:r>
      <w:r w:rsidRPr="00A60743">
        <w:rPr>
          <w:lang w:val="en-US"/>
        </w:rPr>
        <w:t>are at the end of this document).</w:t>
      </w:r>
    </w:p>
    <w:p w14:paraId="6C43EE17" w14:textId="77777777" w:rsidR="00A60743" w:rsidRPr="00A60743" w:rsidRDefault="00A60743" w:rsidP="00A60743">
      <w:pPr>
        <w:rPr>
          <w:lang w:val="en-US"/>
        </w:rPr>
      </w:pPr>
      <w:r w:rsidRPr="00A60743">
        <w:rPr>
          <w:lang w:val="en-US"/>
        </w:rPr>
        <w:t>In the instance of a significant VOC, a range of testing considerations will need to be assessed (for example, detectability of technologies and methods in use for a new variant).</w:t>
      </w:r>
    </w:p>
    <w:p w14:paraId="3122F5E8" w14:textId="77777777" w:rsidR="00A60743" w:rsidRPr="002E7557" w:rsidRDefault="00A60743" w:rsidP="00A60743">
      <w:pPr>
        <w:rPr>
          <w:rFonts w:asciiTheme="majorHAnsi" w:hAnsiTheme="majorHAnsi" w:cstheme="majorHAnsi"/>
          <w:b/>
          <w:bCs/>
          <w:sz w:val="36"/>
          <w:szCs w:val="36"/>
          <w:lang w:val="en-US"/>
        </w:rPr>
      </w:pPr>
      <w:r w:rsidRPr="002E7557">
        <w:rPr>
          <w:rFonts w:asciiTheme="majorHAnsi" w:hAnsiTheme="majorHAnsi" w:cstheme="majorHAnsi"/>
          <w:b/>
          <w:bCs/>
          <w:sz w:val="36"/>
          <w:szCs w:val="36"/>
          <w:lang w:val="en-US"/>
        </w:rPr>
        <w:t>Supply of testing consumables</w:t>
      </w:r>
    </w:p>
    <w:p w14:paraId="2540A172" w14:textId="77777777" w:rsidR="00A60743" w:rsidRPr="00A60743" w:rsidRDefault="00A60743" w:rsidP="00A60743">
      <w:pPr>
        <w:rPr>
          <w:lang w:val="en-US"/>
        </w:rPr>
      </w:pPr>
      <w:r w:rsidRPr="00A60743">
        <w:rPr>
          <w:lang w:val="en-US"/>
        </w:rPr>
        <w:t>Supply of testing consumables for RAT, collection devices and PCR test consumables (extraction and amplification), kits and reagents, and plasticware can all experience global supply pressures.</w:t>
      </w:r>
    </w:p>
    <w:p w14:paraId="3B7E55ED" w14:textId="77777777" w:rsidR="00A60743" w:rsidRPr="00A60743" w:rsidRDefault="00A60743" w:rsidP="00A60743">
      <w:pPr>
        <w:rPr>
          <w:lang w:val="en-US"/>
        </w:rPr>
      </w:pPr>
      <w:r w:rsidRPr="00A60743">
        <w:rPr>
          <w:lang w:val="en-US"/>
        </w:rPr>
        <w:t xml:space="preserve">NPHS continues to monitor supply chains across the New Zealand testing network for these consumables in partnership with service providers. If required, NPHS, in partnership and consultation with key partners, will instigate rational guidance for </w:t>
      </w:r>
      <w:proofErr w:type="spellStart"/>
      <w:r w:rsidRPr="00A60743">
        <w:rPr>
          <w:lang w:val="en-US"/>
        </w:rPr>
        <w:t>prioritised</w:t>
      </w:r>
      <w:proofErr w:type="spellEnd"/>
      <w:r w:rsidRPr="00A60743">
        <w:rPr>
          <w:lang w:val="en-US"/>
        </w:rPr>
        <w:t xml:space="preserve"> use and allocation of supplies (for example, PCR POCT</w:t>
      </w:r>
      <w:hyperlink r:id="rId10" w:anchor="_ftn1">
        <w:r w:rsidRPr="00A60743">
          <w:rPr>
            <w:rStyle w:val="Hyperlink"/>
            <w:vertAlign w:val="superscript"/>
            <w:lang w:val="en-US"/>
          </w:rPr>
          <w:t>[1]</w:t>
        </w:r>
      </w:hyperlink>
      <w:r w:rsidRPr="00A60743">
        <w:rPr>
          <w:lang w:val="en-US"/>
        </w:rPr>
        <w:t xml:space="preserve"> test kits).</w:t>
      </w:r>
    </w:p>
    <w:p w14:paraId="78B331D2" w14:textId="77777777" w:rsidR="00A60743" w:rsidRPr="00A60743" w:rsidRDefault="00A60743" w:rsidP="00A60743">
      <w:pPr>
        <w:rPr>
          <w:lang w:val="en-US"/>
        </w:rPr>
      </w:pPr>
      <w:r w:rsidRPr="00A60743">
        <w:rPr>
          <w:lang w:val="en-US"/>
        </w:rPr>
        <w:t>If there are collection/laboratory service constraints for NAATs and/or supply chain shortages for RAT kits, consideration should be given to suspending all screening (both laboratory NAATs and RATs). Low-priority testing may increase wait times for priority population groups testing.</w:t>
      </w:r>
    </w:p>
    <w:p w14:paraId="32F5C485" w14:textId="77777777" w:rsidR="00A60743" w:rsidRPr="00A60743" w:rsidRDefault="00A60743" w:rsidP="00A60743">
      <w:pPr>
        <w:pStyle w:val="Heading3"/>
        <w:rPr>
          <w:lang w:val="en-US"/>
        </w:rPr>
      </w:pPr>
      <w:r w:rsidRPr="00A60743">
        <w:rPr>
          <w:lang w:val="en-US"/>
        </w:rPr>
        <w:t>Laboratory and sample collection workforce</w:t>
      </w:r>
    </w:p>
    <w:p w14:paraId="198102AD" w14:textId="77777777" w:rsidR="00A60743" w:rsidRPr="00A60743" w:rsidRDefault="00A60743" w:rsidP="00A60743">
      <w:pPr>
        <w:rPr>
          <w:lang w:val="en-US"/>
        </w:rPr>
      </w:pPr>
      <w:r w:rsidRPr="00A60743">
        <w:rPr>
          <w:lang w:val="en-US"/>
        </w:rPr>
        <w:t>In partnership with providers, NPHS will continue to monitor workforce availability within these services.</w:t>
      </w:r>
    </w:p>
    <w:p w14:paraId="7A0A0CC4" w14:textId="77777777" w:rsidR="00A60743" w:rsidRPr="00A60743" w:rsidRDefault="00A60743" w:rsidP="00A60743">
      <w:pPr>
        <w:pStyle w:val="Heading3"/>
        <w:rPr>
          <w:lang w:val="en-US"/>
        </w:rPr>
      </w:pPr>
      <w:r w:rsidRPr="00A60743">
        <w:rPr>
          <w:lang w:val="en-US"/>
        </w:rPr>
        <w:t>Logistics – sample distribution networks</w:t>
      </w:r>
    </w:p>
    <w:p w14:paraId="6E98AA05" w14:textId="77777777" w:rsidR="00A60743" w:rsidRPr="00A60743" w:rsidRDefault="00A60743" w:rsidP="00A60743">
      <w:pPr>
        <w:rPr>
          <w:lang w:val="en-US"/>
        </w:rPr>
      </w:pPr>
      <w:r w:rsidRPr="00A60743">
        <w:rPr>
          <w:lang w:val="en-US"/>
        </w:rPr>
        <w:t>Transport networks in Aotearoa New Zealand can experience pressures affecting testing services.</w:t>
      </w:r>
    </w:p>
    <w:p w14:paraId="71BF7487" w14:textId="77777777" w:rsidR="00A60743" w:rsidRPr="00A60743" w:rsidRDefault="00A60743" w:rsidP="00A60743">
      <w:pPr>
        <w:rPr>
          <w:lang w:val="en-US"/>
        </w:rPr>
      </w:pPr>
      <w:r w:rsidRPr="00A60743">
        <w:rPr>
          <w:lang w:val="en-US"/>
        </w:rPr>
        <w:t>NPHS will continue to monitor transport logistics and sample movements between collection sites and laboratories, and between laboratories to ensure optimal TATs for results to support clinical and public health decisions and actions.</w:t>
      </w:r>
    </w:p>
    <w:p w14:paraId="196ABF6E" w14:textId="77777777" w:rsidR="00A60743" w:rsidRPr="00A60743" w:rsidRDefault="00A60743" w:rsidP="00A60743">
      <w:pPr>
        <w:pStyle w:val="Heading3"/>
        <w:rPr>
          <w:lang w:val="en-US"/>
        </w:rPr>
      </w:pPr>
      <w:r w:rsidRPr="00A60743">
        <w:rPr>
          <w:lang w:val="en-US"/>
        </w:rPr>
        <w:lastRenderedPageBreak/>
        <w:t>Data collection requirements</w:t>
      </w:r>
    </w:p>
    <w:p w14:paraId="2F3E92F6" w14:textId="77777777" w:rsidR="00A60743" w:rsidRPr="00A60743" w:rsidRDefault="00A60743" w:rsidP="00A60743">
      <w:pPr>
        <w:rPr>
          <w:lang w:val="en-US"/>
        </w:rPr>
      </w:pPr>
      <w:r w:rsidRPr="00A60743">
        <w:rPr>
          <w:lang w:val="en-US"/>
        </w:rPr>
        <w:t>All laboratory data information and collection requirements should be aligned with data privacy impact statements and Māori data sovereignty guidelines.</w:t>
      </w:r>
    </w:p>
    <w:p w14:paraId="0E98C375" w14:textId="77777777" w:rsidR="00A60743" w:rsidRPr="00A60743" w:rsidRDefault="00A60743" w:rsidP="00A60743">
      <w:pPr>
        <w:rPr>
          <w:lang w:val="en-US"/>
        </w:rPr>
      </w:pPr>
      <w:r w:rsidRPr="00A60743">
        <w:rPr>
          <w:lang w:val="en-US"/>
        </w:rPr>
        <w:t xml:space="preserve">To understand the amount of testing being conducted for SARS-CoV-2 across Aotearoa and in what settings, it is crucial to understand the: </w:t>
      </w:r>
    </w:p>
    <w:p w14:paraId="158F1C0D" w14:textId="77777777" w:rsidR="00A60743" w:rsidRPr="00A60743" w:rsidRDefault="00A60743" w:rsidP="00A60743">
      <w:pPr>
        <w:pStyle w:val="ListBullet"/>
        <w:rPr>
          <w:lang w:val="en-US"/>
        </w:rPr>
      </w:pPr>
      <w:r w:rsidRPr="00A60743">
        <w:rPr>
          <w:lang w:val="en-US"/>
        </w:rPr>
        <w:t xml:space="preserve">demographic (who is being tested) </w:t>
      </w:r>
    </w:p>
    <w:p w14:paraId="2E33C935" w14:textId="77777777" w:rsidR="00A60743" w:rsidRPr="00A60743" w:rsidRDefault="00A60743" w:rsidP="00A60743">
      <w:pPr>
        <w:pStyle w:val="ListBullet"/>
        <w:rPr>
          <w:lang w:val="en-US"/>
        </w:rPr>
      </w:pPr>
      <w:r w:rsidRPr="00A60743">
        <w:rPr>
          <w:lang w:val="en-US"/>
        </w:rPr>
        <w:t xml:space="preserve">if testing is based on symptomology and/or absence of symptoms </w:t>
      </w:r>
    </w:p>
    <w:p w14:paraId="13BACFB9" w14:textId="77777777" w:rsidR="00A60743" w:rsidRPr="00A60743" w:rsidRDefault="00A60743" w:rsidP="00A60743">
      <w:pPr>
        <w:pStyle w:val="ListBullet"/>
        <w:rPr>
          <w:lang w:val="en-US"/>
        </w:rPr>
      </w:pPr>
      <w:r w:rsidRPr="00A60743">
        <w:rPr>
          <w:lang w:val="en-US"/>
        </w:rPr>
        <w:t xml:space="preserve">geographic region or by facility (where testing is occurring) distribution of testing </w:t>
      </w:r>
    </w:p>
    <w:p w14:paraId="00BF9B0B" w14:textId="77777777" w:rsidR="00A60743" w:rsidRPr="00A60743" w:rsidRDefault="00A60743" w:rsidP="00A60743">
      <w:pPr>
        <w:pStyle w:val="ListBullet"/>
        <w:rPr>
          <w:lang w:val="en-US"/>
        </w:rPr>
      </w:pPr>
      <w:r w:rsidRPr="00A60743">
        <w:rPr>
          <w:lang w:val="en-US"/>
        </w:rPr>
        <w:t xml:space="preserve">type of test being performed and if all results are reported </w:t>
      </w:r>
    </w:p>
    <w:p w14:paraId="51AB9643" w14:textId="77777777" w:rsidR="00A60743" w:rsidRPr="00A60743" w:rsidRDefault="00A60743" w:rsidP="00A60743">
      <w:pPr>
        <w:pStyle w:val="ListBullet"/>
        <w:rPr>
          <w:lang w:val="en-US"/>
        </w:rPr>
      </w:pPr>
      <w:r w:rsidRPr="00A60743">
        <w:rPr>
          <w:lang w:val="en-US"/>
        </w:rPr>
        <w:t xml:space="preserve">age group </w:t>
      </w:r>
    </w:p>
    <w:p w14:paraId="3EB07B0E" w14:textId="77777777" w:rsidR="00A60743" w:rsidRPr="00A60743" w:rsidRDefault="00A60743" w:rsidP="00A60743">
      <w:pPr>
        <w:pStyle w:val="ListBullet"/>
        <w:rPr>
          <w:lang w:val="en-US"/>
        </w:rPr>
      </w:pPr>
      <w:r w:rsidRPr="00A60743">
        <w:rPr>
          <w:lang w:val="en-US"/>
        </w:rPr>
        <w:t xml:space="preserve">sex/gender </w:t>
      </w:r>
    </w:p>
    <w:p w14:paraId="136DB0EA" w14:textId="77777777" w:rsidR="00A60743" w:rsidRPr="00A60743" w:rsidRDefault="00A60743" w:rsidP="00A60743">
      <w:pPr>
        <w:pStyle w:val="ListBullet"/>
        <w:rPr>
          <w:lang w:val="en-US"/>
        </w:rPr>
      </w:pPr>
      <w:r w:rsidRPr="00A60743">
        <w:rPr>
          <w:lang w:val="en-US"/>
        </w:rPr>
        <w:t>ethnicity</w:t>
      </w:r>
    </w:p>
    <w:p w14:paraId="7228B8E7" w14:textId="77777777" w:rsidR="00A60743" w:rsidRPr="00A60743" w:rsidRDefault="00A60743" w:rsidP="00A60743">
      <w:pPr>
        <w:pStyle w:val="ListBullet"/>
        <w:rPr>
          <w:lang w:val="en-US"/>
        </w:rPr>
      </w:pPr>
      <w:r w:rsidRPr="00A60743">
        <w:rPr>
          <w:lang w:val="en-US"/>
        </w:rPr>
        <w:t>rates of testing for Māori and other ethnic groups in different settings (community, primary care, secondary care)</w:t>
      </w:r>
    </w:p>
    <w:p w14:paraId="1F4A6317" w14:textId="77777777" w:rsidR="00A60743" w:rsidRPr="00A60743" w:rsidRDefault="00A60743" w:rsidP="00A60743">
      <w:pPr>
        <w:pStyle w:val="ListBullet"/>
        <w:rPr>
          <w:lang w:val="en-US"/>
        </w:rPr>
      </w:pPr>
      <w:r w:rsidRPr="00A60743">
        <w:rPr>
          <w:lang w:val="en-US"/>
        </w:rPr>
        <w:t xml:space="preserve">referrer type </w:t>
      </w:r>
    </w:p>
    <w:p w14:paraId="03C835DC" w14:textId="77777777" w:rsidR="00A60743" w:rsidRPr="00A60743" w:rsidRDefault="00A60743" w:rsidP="00A60743">
      <w:pPr>
        <w:rPr>
          <w:lang w:val="en-US"/>
        </w:rPr>
      </w:pPr>
      <w:r w:rsidRPr="00A60743">
        <w:rPr>
          <w:b/>
          <w:bCs/>
          <w:i/>
          <w:iCs/>
          <w:lang w:val="en-US"/>
        </w:rPr>
        <w:t>NOTE</w:t>
      </w:r>
      <w:r w:rsidRPr="00A60743">
        <w:rPr>
          <w:lang w:val="en-US"/>
        </w:rPr>
        <w:t>: not all self-test RATs are being captured.</w:t>
      </w:r>
    </w:p>
    <w:p w14:paraId="3FA8F98C" w14:textId="77777777" w:rsidR="00A60743" w:rsidRPr="00A60743" w:rsidRDefault="00A60743" w:rsidP="00A60743">
      <w:pPr>
        <w:rPr>
          <w:lang w:val="en-US"/>
        </w:rPr>
      </w:pPr>
      <w:r w:rsidRPr="00A60743">
        <w:rPr>
          <w:lang w:val="en-US"/>
        </w:rPr>
        <w:t xml:space="preserve">Central collation and reporting at the national level provides a denominator for calculating test positivity rates and informs an understanding of how equitably testing is being implemented and accessed nationally, regionally and at a locality level. This information also identifies key demographic groups or geographic regions where increased public health, and testing efforts may be required. </w:t>
      </w:r>
    </w:p>
    <w:p w14:paraId="507A38C4" w14:textId="77777777" w:rsidR="00A60743" w:rsidRPr="00A60743" w:rsidRDefault="00A60743" w:rsidP="00A60743">
      <w:pPr>
        <w:rPr>
          <w:lang w:val="en-US"/>
        </w:rPr>
      </w:pPr>
      <w:r w:rsidRPr="00A60743">
        <w:rPr>
          <w:lang w:val="en-US"/>
        </w:rPr>
        <w:t xml:space="preserve">In addition, it is important to understand national and provider testing activity to assess capacity and throughput and monitor service risks. The following information from tests should continue to be assessed to support improvements in quality and service delivery: </w:t>
      </w:r>
    </w:p>
    <w:p w14:paraId="7BE086EC" w14:textId="77777777" w:rsidR="00A60743" w:rsidRPr="00A60743" w:rsidRDefault="00A60743" w:rsidP="00A60743">
      <w:pPr>
        <w:pStyle w:val="ListBullet"/>
        <w:rPr>
          <w:lang w:val="en-US"/>
        </w:rPr>
      </w:pPr>
      <w:r w:rsidRPr="00A60743">
        <w:rPr>
          <w:lang w:val="en-US"/>
        </w:rPr>
        <w:t xml:space="preserve">Age group </w:t>
      </w:r>
    </w:p>
    <w:p w14:paraId="6FA51620" w14:textId="77777777" w:rsidR="00A60743" w:rsidRPr="00A60743" w:rsidRDefault="00A60743" w:rsidP="00A60743">
      <w:pPr>
        <w:pStyle w:val="ListBullet"/>
        <w:rPr>
          <w:lang w:val="en-US"/>
        </w:rPr>
      </w:pPr>
      <w:r w:rsidRPr="00A60743">
        <w:rPr>
          <w:lang w:val="en-US"/>
        </w:rPr>
        <w:t xml:space="preserve">Sex /gender </w:t>
      </w:r>
    </w:p>
    <w:p w14:paraId="2B4EB659" w14:textId="77777777" w:rsidR="00A60743" w:rsidRPr="00A60743" w:rsidRDefault="00A60743" w:rsidP="00A60743">
      <w:pPr>
        <w:pStyle w:val="ListBullet"/>
        <w:rPr>
          <w:lang w:val="en-US"/>
        </w:rPr>
      </w:pPr>
      <w:r w:rsidRPr="00A60743">
        <w:rPr>
          <w:lang w:val="en-US"/>
        </w:rPr>
        <w:t>Ethnicity</w:t>
      </w:r>
    </w:p>
    <w:p w14:paraId="05B63D64" w14:textId="77777777" w:rsidR="00A60743" w:rsidRPr="00A60743" w:rsidRDefault="00A60743" w:rsidP="00A60743">
      <w:pPr>
        <w:pStyle w:val="ListBullet"/>
        <w:rPr>
          <w:lang w:val="en-US"/>
        </w:rPr>
      </w:pPr>
      <w:r w:rsidRPr="00A60743">
        <w:rPr>
          <w:lang w:val="en-US"/>
        </w:rPr>
        <w:t xml:space="preserve">Geographic region and referrer type </w:t>
      </w:r>
    </w:p>
    <w:p w14:paraId="3B5DDCA0" w14:textId="77777777" w:rsidR="00A60743" w:rsidRPr="00A60743" w:rsidRDefault="00A60743" w:rsidP="00A60743">
      <w:pPr>
        <w:pStyle w:val="ListBullet"/>
        <w:rPr>
          <w:lang w:val="en-US"/>
        </w:rPr>
      </w:pPr>
      <w:r w:rsidRPr="00A60743">
        <w:rPr>
          <w:lang w:val="en-US"/>
        </w:rPr>
        <w:t xml:space="preserve">Test type  </w:t>
      </w:r>
    </w:p>
    <w:p w14:paraId="1AE5C1EA" w14:textId="77777777" w:rsidR="00A60743" w:rsidRPr="00A60743" w:rsidRDefault="00A60743" w:rsidP="00A60743">
      <w:pPr>
        <w:pStyle w:val="ListBullet"/>
        <w:rPr>
          <w:lang w:val="en-US"/>
        </w:rPr>
      </w:pPr>
      <w:r w:rsidRPr="00A60743">
        <w:rPr>
          <w:lang w:val="en-US"/>
        </w:rPr>
        <w:t xml:space="preserve">By laboratory or testing device </w:t>
      </w:r>
    </w:p>
    <w:p w14:paraId="7B4CF509" w14:textId="77777777" w:rsidR="00A60743" w:rsidRPr="00A60743" w:rsidRDefault="00A60743" w:rsidP="00A60743">
      <w:pPr>
        <w:pStyle w:val="ListBullet"/>
        <w:rPr>
          <w:lang w:val="en-US"/>
        </w:rPr>
      </w:pPr>
      <w:r w:rsidRPr="00A60743">
        <w:rPr>
          <w:lang w:val="en-US"/>
        </w:rPr>
        <w:t xml:space="preserve">Referrer or provider </w:t>
      </w:r>
    </w:p>
    <w:p w14:paraId="526161F7" w14:textId="77777777" w:rsidR="00A60743" w:rsidRPr="00A60743" w:rsidRDefault="00A60743" w:rsidP="00A60743">
      <w:pPr>
        <w:pStyle w:val="ListBullet"/>
        <w:rPr>
          <w:lang w:val="en-US"/>
        </w:rPr>
      </w:pPr>
      <w:r w:rsidRPr="00A60743">
        <w:rPr>
          <w:lang w:val="en-US"/>
        </w:rPr>
        <w:t xml:space="preserve">Tests performed by test type </w:t>
      </w:r>
    </w:p>
    <w:p w14:paraId="7CF818C5" w14:textId="77777777" w:rsidR="00A60743" w:rsidRPr="00A60743" w:rsidRDefault="00A60743" w:rsidP="00A60743">
      <w:pPr>
        <w:pStyle w:val="ListBullet"/>
        <w:rPr>
          <w:lang w:val="en-US"/>
        </w:rPr>
      </w:pPr>
      <w:r w:rsidRPr="00A60743">
        <w:rPr>
          <w:lang w:val="en-US"/>
        </w:rPr>
        <w:lastRenderedPageBreak/>
        <w:t>Turn-around times with KPIs</w:t>
      </w:r>
    </w:p>
    <w:p w14:paraId="76934647" w14:textId="1C95621A" w:rsidR="00A60743" w:rsidRPr="00A60743" w:rsidRDefault="00A60743" w:rsidP="00A60743">
      <w:pPr>
        <w:pStyle w:val="Heading3"/>
        <w:rPr>
          <w:lang w:val="en-US"/>
        </w:rPr>
      </w:pPr>
      <w:r w:rsidRPr="00A60743">
        <w:rPr>
          <w:lang w:val="en-US"/>
        </w:rPr>
        <w:t xml:space="preserve">Changes in local testing regimes </w:t>
      </w:r>
    </w:p>
    <w:p w14:paraId="0AFC0B55" w14:textId="77777777" w:rsidR="00A60743" w:rsidRPr="00A60743" w:rsidRDefault="00A60743" w:rsidP="00A60743">
      <w:pPr>
        <w:rPr>
          <w:lang w:val="en-US"/>
        </w:rPr>
      </w:pPr>
      <w:r w:rsidRPr="00A60743">
        <w:rPr>
          <w:lang w:val="en-US"/>
        </w:rPr>
        <w:t xml:space="preserve">For interpreting laboratory information for surveillance </w:t>
      </w:r>
      <w:proofErr w:type="spellStart"/>
      <w:r w:rsidRPr="00A60743">
        <w:rPr>
          <w:lang w:val="en-US"/>
        </w:rPr>
        <w:t>programmes</w:t>
      </w:r>
      <w:proofErr w:type="spellEnd"/>
      <w:r w:rsidRPr="00A60743">
        <w:rPr>
          <w:lang w:val="en-US"/>
        </w:rPr>
        <w:t>, it is essential for providers to notify of changing testing regimes where it might affect data interpretation and comparability and cumulative reporting (including targeted testing groups and test modality).</w:t>
      </w:r>
    </w:p>
    <w:p w14:paraId="024B60F9" w14:textId="77777777" w:rsidR="00A60743" w:rsidRPr="00A60743" w:rsidRDefault="00A60743" w:rsidP="00A60743">
      <w:pPr>
        <w:rPr>
          <w:lang w:val="en-US"/>
        </w:rPr>
      </w:pPr>
      <w:r w:rsidRPr="00A60743">
        <w:rPr>
          <w:lang w:val="en-US"/>
        </w:rPr>
        <w:t xml:space="preserve">As guided by the </w:t>
      </w:r>
      <w:hyperlink r:id="rId11">
        <w:r w:rsidRPr="00A60743">
          <w:rPr>
            <w:rStyle w:val="Hyperlink"/>
            <w:lang w:val="en-US"/>
          </w:rPr>
          <w:t>Surveillance Plan</w:t>
        </w:r>
      </w:hyperlink>
      <w:r w:rsidRPr="00A60743">
        <w:rPr>
          <w:lang w:val="en-US"/>
        </w:rPr>
        <w:t xml:space="preserve">, any screening testing approach is recommended to include data collection, reporting and evaluation. </w:t>
      </w:r>
    </w:p>
    <w:p w14:paraId="419E4B1B" w14:textId="77777777" w:rsidR="00A60743" w:rsidRPr="00E52968" w:rsidRDefault="00A60743" w:rsidP="00A60743"/>
    <w:sectPr w:rsidR="00A60743" w:rsidRPr="00E52968" w:rsidSect="00FF2B47">
      <w:footerReference w:type="default" r:id="rId12"/>
      <w:pgSz w:w="11906" w:h="16838" w:code="9"/>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8B33" w14:textId="77777777" w:rsidR="00A60743" w:rsidRDefault="00A60743" w:rsidP="00817A32">
      <w:pPr>
        <w:spacing w:before="0" w:after="0" w:line="240" w:lineRule="auto"/>
      </w:pPr>
      <w:r>
        <w:separator/>
      </w:r>
    </w:p>
  </w:endnote>
  <w:endnote w:type="continuationSeparator" w:id="0">
    <w:p w14:paraId="6F7E07C4" w14:textId="77777777" w:rsidR="00A60743" w:rsidRDefault="00A60743"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8CB5" w14:textId="731B07DC" w:rsidR="00222274" w:rsidRPr="00630DE1" w:rsidRDefault="009C4715"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August 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98E4" w14:textId="77777777" w:rsidR="00A60743" w:rsidRDefault="00A60743" w:rsidP="00817A32">
      <w:pPr>
        <w:spacing w:before="0" w:after="0" w:line="240" w:lineRule="auto"/>
      </w:pPr>
    </w:p>
  </w:footnote>
  <w:footnote w:type="continuationSeparator" w:id="0">
    <w:p w14:paraId="7C878FC0" w14:textId="77777777" w:rsidR="00A60743" w:rsidRDefault="00A60743"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05531"/>
    <w:multiLevelType w:val="hybridMultilevel"/>
    <w:tmpl w:val="F720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1C43E5"/>
    <w:multiLevelType w:val="hybridMultilevel"/>
    <w:tmpl w:val="F40C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57B4040"/>
    <w:multiLevelType w:val="multilevel"/>
    <w:tmpl w:val="2C5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070BC"/>
    <w:multiLevelType w:val="hybridMultilevel"/>
    <w:tmpl w:val="57F4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B05372"/>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C27561"/>
    <w:multiLevelType w:val="hybridMultilevel"/>
    <w:tmpl w:val="FFFFFFFF"/>
    <w:lvl w:ilvl="0" w:tplc="AE42ACA4">
      <w:start w:val="1"/>
      <w:numFmt w:val="bullet"/>
      <w:lvlText w:val="·"/>
      <w:lvlJc w:val="left"/>
      <w:pPr>
        <w:ind w:left="720" w:hanging="360"/>
      </w:pPr>
      <w:rPr>
        <w:rFonts w:ascii="Symbol" w:hAnsi="Symbol" w:hint="default"/>
      </w:rPr>
    </w:lvl>
    <w:lvl w:ilvl="1" w:tplc="AE2EAA88">
      <w:start w:val="1"/>
      <w:numFmt w:val="bullet"/>
      <w:lvlText w:val="o"/>
      <w:lvlJc w:val="left"/>
      <w:pPr>
        <w:ind w:left="1440" w:hanging="360"/>
      </w:pPr>
      <w:rPr>
        <w:rFonts w:ascii="Courier New" w:hAnsi="Courier New" w:hint="default"/>
      </w:rPr>
    </w:lvl>
    <w:lvl w:ilvl="2" w:tplc="975AE55A">
      <w:start w:val="1"/>
      <w:numFmt w:val="bullet"/>
      <w:lvlText w:val=""/>
      <w:lvlJc w:val="left"/>
      <w:pPr>
        <w:ind w:left="2160" w:hanging="360"/>
      </w:pPr>
      <w:rPr>
        <w:rFonts w:ascii="Wingdings" w:hAnsi="Wingdings" w:hint="default"/>
      </w:rPr>
    </w:lvl>
    <w:lvl w:ilvl="3" w:tplc="59E2A0F6">
      <w:start w:val="1"/>
      <w:numFmt w:val="bullet"/>
      <w:lvlText w:val=""/>
      <w:lvlJc w:val="left"/>
      <w:pPr>
        <w:ind w:left="2880" w:hanging="360"/>
      </w:pPr>
      <w:rPr>
        <w:rFonts w:ascii="Symbol" w:hAnsi="Symbol" w:hint="default"/>
      </w:rPr>
    </w:lvl>
    <w:lvl w:ilvl="4" w:tplc="AB846884">
      <w:start w:val="1"/>
      <w:numFmt w:val="bullet"/>
      <w:lvlText w:val="o"/>
      <w:lvlJc w:val="left"/>
      <w:pPr>
        <w:ind w:left="3600" w:hanging="360"/>
      </w:pPr>
      <w:rPr>
        <w:rFonts w:ascii="Courier New" w:hAnsi="Courier New" w:hint="default"/>
      </w:rPr>
    </w:lvl>
    <w:lvl w:ilvl="5" w:tplc="312AA006">
      <w:start w:val="1"/>
      <w:numFmt w:val="bullet"/>
      <w:lvlText w:val=""/>
      <w:lvlJc w:val="left"/>
      <w:pPr>
        <w:ind w:left="4320" w:hanging="360"/>
      </w:pPr>
      <w:rPr>
        <w:rFonts w:ascii="Wingdings" w:hAnsi="Wingdings" w:hint="default"/>
      </w:rPr>
    </w:lvl>
    <w:lvl w:ilvl="6" w:tplc="9C8E591A">
      <w:start w:val="1"/>
      <w:numFmt w:val="bullet"/>
      <w:lvlText w:val=""/>
      <w:lvlJc w:val="left"/>
      <w:pPr>
        <w:ind w:left="5040" w:hanging="360"/>
      </w:pPr>
      <w:rPr>
        <w:rFonts w:ascii="Symbol" w:hAnsi="Symbol" w:hint="default"/>
      </w:rPr>
    </w:lvl>
    <w:lvl w:ilvl="7" w:tplc="A89E3AF8">
      <w:start w:val="1"/>
      <w:numFmt w:val="bullet"/>
      <w:lvlText w:val="o"/>
      <w:lvlJc w:val="left"/>
      <w:pPr>
        <w:ind w:left="5760" w:hanging="360"/>
      </w:pPr>
      <w:rPr>
        <w:rFonts w:ascii="Courier New" w:hAnsi="Courier New" w:hint="default"/>
      </w:rPr>
    </w:lvl>
    <w:lvl w:ilvl="8" w:tplc="AA54DD4C">
      <w:start w:val="1"/>
      <w:numFmt w:val="bullet"/>
      <w:lvlText w:val=""/>
      <w:lvlJc w:val="left"/>
      <w:pPr>
        <w:ind w:left="6480" w:hanging="360"/>
      </w:pPr>
      <w:rPr>
        <w:rFonts w:ascii="Wingdings" w:hAnsi="Wingdings" w:hint="default"/>
      </w:rPr>
    </w:lvl>
  </w:abstractNum>
  <w:abstractNum w:abstractNumId="13" w15:restartNumberingAfterBreak="0">
    <w:nsid w:val="33FF22D1"/>
    <w:multiLevelType w:val="hybridMultilevel"/>
    <w:tmpl w:val="25AEE912"/>
    <w:lvl w:ilvl="0" w:tplc="020CC8E8">
      <w:start w:val="1"/>
      <w:numFmt w:val="bullet"/>
      <w:lvlText w:val="·"/>
      <w:lvlJc w:val="left"/>
      <w:pPr>
        <w:ind w:left="720" w:hanging="360"/>
      </w:pPr>
      <w:rPr>
        <w:rFonts w:ascii="Symbol" w:hAnsi="Symbol" w:hint="default"/>
      </w:rPr>
    </w:lvl>
    <w:lvl w:ilvl="1" w:tplc="E5B4DA4C">
      <w:start w:val="1"/>
      <w:numFmt w:val="bullet"/>
      <w:lvlText w:val="o"/>
      <w:lvlJc w:val="left"/>
      <w:pPr>
        <w:ind w:left="1440" w:hanging="360"/>
      </w:pPr>
      <w:rPr>
        <w:rFonts w:ascii="Courier New" w:hAnsi="Courier New" w:hint="default"/>
      </w:rPr>
    </w:lvl>
    <w:lvl w:ilvl="2" w:tplc="4998A20C">
      <w:start w:val="1"/>
      <w:numFmt w:val="bullet"/>
      <w:lvlText w:val=""/>
      <w:lvlJc w:val="left"/>
      <w:pPr>
        <w:ind w:left="2160" w:hanging="360"/>
      </w:pPr>
      <w:rPr>
        <w:rFonts w:ascii="Wingdings" w:hAnsi="Wingdings" w:hint="default"/>
      </w:rPr>
    </w:lvl>
    <w:lvl w:ilvl="3" w:tplc="4AB0BA7C">
      <w:start w:val="1"/>
      <w:numFmt w:val="bullet"/>
      <w:lvlText w:val=""/>
      <w:lvlJc w:val="left"/>
      <w:pPr>
        <w:ind w:left="2880" w:hanging="360"/>
      </w:pPr>
      <w:rPr>
        <w:rFonts w:ascii="Symbol" w:hAnsi="Symbol" w:hint="default"/>
      </w:rPr>
    </w:lvl>
    <w:lvl w:ilvl="4" w:tplc="DDA8EFC6">
      <w:start w:val="1"/>
      <w:numFmt w:val="bullet"/>
      <w:lvlText w:val="o"/>
      <w:lvlJc w:val="left"/>
      <w:pPr>
        <w:ind w:left="3600" w:hanging="360"/>
      </w:pPr>
      <w:rPr>
        <w:rFonts w:ascii="Courier New" w:hAnsi="Courier New" w:hint="default"/>
      </w:rPr>
    </w:lvl>
    <w:lvl w:ilvl="5" w:tplc="2D6AAA30">
      <w:start w:val="1"/>
      <w:numFmt w:val="bullet"/>
      <w:lvlText w:val=""/>
      <w:lvlJc w:val="left"/>
      <w:pPr>
        <w:ind w:left="4320" w:hanging="360"/>
      </w:pPr>
      <w:rPr>
        <w:rFonts w:ascii="Wingdings" w:hAnsi="Wingdings" w:hint="default"/>
      </w:rPr>
    </w:lvl>
    <w:lvl w:ilvl="6" w:tplc="9AF64AC2">
      <w:start w:val="1"/>
      <w:numFmt w:val="bullet"/>
      <w:lvlText w:val=""/>
      <w:lvlJc w:val="left"/>
      <w:pPr>
        <w:ind w:left="5040" w:hanging="360"/>
      </w:pPr>
      <w:rPr>
        <w:rFonts w:ascii="Symbol" w:hAnsi="Symbol" w:hint="default"/>
      </w:rPr>
    </w:lvl>
    <w:lvl w:ilvl="7" w:tplc="850804DA">
      <w:start w:val="1"/>
      <w:numFmt w:val="bullet"/>
      <w:lvlText w:val="o"/>
      <w:lvlJc w:val="left"/>
      <w:pPr>
        <w:ind w:left="5760" w:hanging="360"/>
      </w:pPr>
      <w:rPr>
        <w:rFonts w:ascii="Courier New" w:hAnsi="Courier New" w:hint="default"/>
      </w:rPr>
    </w:lvl>
    <w:lvl w:ilvl="8" w:tplc="66F8C8BA">
      <w:start w:val="1"/>
      <w:numFmt w:val="bullet"/>
      <w:lvlText w:val=""/>
      <w:lvlJc w:val="left"/>
      <w:pPr>
        <w:ind w:left="6480" w:hanging="360"/>
      </w:pPr>
      <w:rPr>
        <w:rFonts w:ascii="Wingdings" w:hAnsi="Wingdings" w:hint="default"/>
      </w:rPr>
    </w:lvl>
  </w:abstractNum>
  <w:abstractNum w:abstractNumId="14" w15:restartNumberingAfterBreak="0">
    <w:nsid w:val="39010BBD"/>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704A4"/>
    <w:multiLevelType w:val="hybridMultilevel"/>
    <w:tmpl w:val="CA8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325B96"/>
    <w:multiLevelType w:val="hybridMultilevel"/>
    <w:tmpl w:val="859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7A16CB"/>
    <w:multiLevelType w:val="hybridMultilevel"/>
    <w:tmpl w:val="35068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4206E6"/>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1F17C2"/>
    <w:multiLevelType w:val="multilevel"/>
    <w:tmpl w:val="3B2A1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CE6659"/>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934F17"/>
    <w:multiLevelType w:val="hybridMultilevel"/>
    <w:tmpl w:val="CC0C9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B25D67"/>
    <w:multiLevelType w:val="hybridMultilevel"/>
    <w:tmpl w:val="F694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51083B"/>
    <w:multiLevelType w:val="hybridMultilevel"/>
    <w:tmpl w:val="BBB6B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E5E136E"/>
    <w:multiLevelType w:val="hybridMultilevel"/>
    <w:tmpl w:val="364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557831"/>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C52CF"/>
    <w:multiLevelType w:val="hybridMultilevel"/>
    <w:tmpl w:val="45A2B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3E3CB3"/>
    <w:multiLevelType w:val="hybridMultilevel"/>
    <w:tmpl w:val="FFFFFFFF"/>
    <w:lvl w:ilvl="0" w:tplc="2228D7CE">
      <w:start w:val="1"/>
      <w:numFmt w:val="bullet"/>
      <w:lvlText w:val="·"/>
      <w:lvlJc w:val="left"/>
      <w:pPr>
        <w:ind w:left="720" w:hanging="360"/>
      </w:pPr>
      <w:rPr>
        <w:rFonts w:ascii="Symbol" w:hAnsi="Symbol" w:hint="default"/>
      </w:rPr>
    </w:lvl>
    <w:lvl w:ilvl="1" w:tplc="9B50E3FC">
      <w:start w:val="1"/>
      <w:numFmt w:val="bullet"/>
      <w:lvlText w:val="o"/>
      <w:lvlJc w:val="left"/>
      <w:pPr>
        <w:ind w:left="1440" w:hanging="360"/>
      </w:pPr>
      <w:rPr>
        <w:rFonts w:ascii="Courier New" w:hAnsi="Courier New" w:hint="default"/>
      </w:rPr>
    </w:lvl>
    <w:lvl w:ilvl="2" w:tplc="F3A6A878">
      <w:start w:val="1"/>
      <w:numFmt w:val="bullet"/>
      <w:lvlText w:val=""/>
      <w:lvlJc w:val="left"/>
      <w:pPr>
        <w:ind w:left="2160" w:hanging="360"/>
      </w:pPr>
      <w:rPr>
        <w:rFonts w:ascii="Wingdings" w:hAnsi="Wingdings" w:hint="default"/>
      </w:rPr>
    </w:lvl>
    <w:lvl w:ilvl="3" w:tplc="B164F6E8">
      <w:start w:val="1"/>
      <w:numFmt w:val="bullet"/>
      <w:lvlText w:val=""/>
      <w:lvlJc w:val="left"/>
      <w:pPr>
        <w:ind w:left="2880" w:hanging="360"/>
      </w:pPr>
      <w:rPr>
        <w:rFonts w:ascii="Symbol" w:hAnsi="Symbol" w:hint="default"/>
      </w:rPr>
    </w:lvl>
    <w:lvl w:ilvl="4" w:tplc="C7AE0E1E">
      <w:start w:val="1"/>
      <w:numFmt w:val="bullet"/>
      <w:lvlText w:val="o"/>
      <w:lvlJc w:val="left"/>
      <w:pPr>
        <w:ind w:left="3600" w:hanging="360"/>
      </w:pPr>
      <w:rPr>
        <w:rFonts w:ascii="Courier New" w:hAnsi="Courier New" w:hint="default"/>
      </w:rPr>
    </w:lvl>
    <w:lvl w:ilvl="5" w:tplc="F88CB028">
      <w:start w:val="1"/>
      <w:numFmt w:val="bullet"/>
      <w:lvlText w:val=""/>
      <w:lvlJc w:val="left"/>
      <w:pPr>
        <w:ind w:left="4320" w:hanging="360"/>
      </w:pPr>
      <w:rPr>
        <w:rFonts w:ascii="Wingdings" w:hAnsi="Wingdings" w:hint="default"/>
      </w:rPr>
    </w:lvl>
    <w:lvl w:ilvl="6" w:tplc="7A126274">
      <w:start w:val="1"/>
      <w:numFmt w:val="bullet"/>
      <w:lvlText w:val=""/>
      <w:lvlJc w:val="left"/>
      <w:pPr>
        <w:ind w:left="5040" w:hanging="360"/>
      </w:pPr>
      <w:rPr>
        <w:rFonts w:ascii="Symbol" w:hAnsi="Symbol" w:hint="default"/>
      </w:rPr>
    </w:lvl>
    <w:lvl w:ilvl="7" w:tplc="90C8ED24">
      <w:start w:val="1"/>
      <w:numFmt w:val="bullet"/>
      <w:lvlText w:val="o"/>
      <w:lvlJc w:val="left"/>
      <w:pPr>
        <w:ind w:left="5760" w:hanging="360"/>
      </w:pPr>
      <w:rPr>
        <w:rFonts w:ascii="Courier New" w:hAnsi="Courier New" w:hint="default"/>
      </w:rPr>
    </w:lvl>
    <w:lvl w:ilvl="8" w:tplc="2FB80B94">
      <w:start w:val="1"/>
      <w:numFmt w:val="bullet"/>
      <w:lvlText w:val=""/>
      <w:lvlJc w:val="left"/>
      <w:pPr>
        <w:ind w:left="6480" w:hanging="360"/>
      </w:pPr>
      <w:rPr>
        <w:rFonts w:ascii="Wingdings" w:hAnsi="Wingdings" w:hint="default"/>
      </w:rPr>
    </w:lvl>
  </w:abstractNum>
  <w:abstractNum w:abstractNumId="28" w15:restartNumberingAfterBreak="0">
    <w:nsid w:val="644B647A"/>
    <w:multiLevelType w:val="hybridMultilevel"/>
    <w:tmpl w:val="B5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D408F6"/>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13717E"/>
    <w:multiLevelType w:val="multilevel"/>
    <w:tmpl w:val="53C41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7" w:hanging="227"/>
      </w:pPr>
      <w:rPr>
        <w:rFonts w:ascii="Symbol" w:hAnsi="Symbol"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9609B"/>
    <w:multiLevelType w:val="hybridMultilevel"/>
    <w:tmpl w:val="3CB8E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F916242"/>
    <w:multiLevelType w:val="hybridMultilevel"/>
    <w:tmpl w:val="B61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044CB3"/>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5E0297"/>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6F4ED9"/>
    <w:multiLevelType w:val="hybridMultilevel"/>
    <w:tmpl w:val="4EC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3"/>
  </w:num>
  <w:num w:numId="6">
    <w:abstractNumId w:val="0"/>
  </w:num>
  <w:num w:numId="7">
    <w:abstractNumId w:val="7"/>
  </w:num>
  <w:num w:numId="8">
    <w:abstractNumId w:val="8"/>
  </w:num>
  <w:num w:numId="9">
    <w:abstractNumId w:val="19"/>
  </w:num>
  <w:num w:numId="10">
    <w:abstractNumId w:val="16"/>
  </w:num>
  <w:num w:numId="11">
    <w:abstractNumId w:val="18"/>
  </w:num>
  <w:num w:numId="12">
    <w:abstractNumId w:val="24"/>
  </w:num>
  <w:num w:numId="13">
    <w:abstractNumId w:val="25"/>
  </w:num>
  <w:num w:numId="14">
    <w:abstractNumId w:val="30"/>
  </w:num>
  <w:num w:numId="15">
    <w:abstractNumId w:val="26"/>
  </w:num>
  <w:num w:numId="16">
    <w:abstractNumId w:val="10"/>
  </w:num>
  <w:num w:numId="17">
    <w:abstractNumId w:val="9"/>
  </w:num>
  <w:num w:numId="18">
    <w:abstractNumId w:val="20"/>
  </w:num>
  <w:num w:numId="19">
    <w:abstractNumId w:val="32"/>
  </w:num>
  <w:num w:numId="20">
    <w:abstractNumId w:val="34"/>
  </w:num>
  <w:num w:numId="21">
    <w:abstractNumId w:val="33"/>
  </w:num>
  <w:num w:numId="22">
    <w:abstractNumId w:val="6"/>
  </w:num>
  <w:num w:numId="23">
    <w:abstractNumId w:val="29"/>
  </w:num>
  <w:num w:numId="24">
    <w:abstractNumId w:val="17"/>
  </w:num>
  <w:num w:numId="25">
    <w:abstractNumId w:val="28"/>
  </w:num>
  <w:num w:numId="26">
    <w:abstractNumId w:val="14"/>
  </w:num>
  <w:num w:numId="27">
    <w:abstractNumId w:val="5"/>
  </w:num>
  <w:num w:numId="28">
    <w:abstractNumId w:val="21"/>
  </w:num>
  <w:num w:numId="29">
    <w:abstractNumId w:val="35"/>
  </w:num>
  <w:num w:numId="30">
    <w:abstractNumId w:val="31"/>
  </w:num>
  <w:num w:numId="31">
    <w:abstractNumId w:val="22"/>
  </w:num>
  <w:num w:numId="32">
    <w:abstractNumId w:val="23"/>
  </w:num>
  <w:num w:numId="33">
    <w:abstractNumId w:val="15"/>
  </w:num>
  <w:num w:numId="34">
    <w:abstractNumId w:val="13"/>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E"/>
    <w:rsid w:val="0000497C"/>
    <w:rsid w:val="00014BB0"/>
    <w:rsid w:val="00027E62"/>
    <w:rsid w:val="0004750A"/>
    <w:rsid w:val="000960F6"/>
    <w:rsid w:val="000974B3"/>
    <w:rsid w:val="000A4F6E"/>
    <w:rsid w:val="000A5357"/>
    <w:rsid w:val="000D0501"/>
    <w:rsid w:val="001A078F"/>
    <w:rsid w:val="001C37CA"/>
    <w:rsid w:val="001C6320"/>
    <w:rsid w:val="002122D2"/>
    <w:rsid w:val="00222274"/>
    <w:rsid w:val="00230D2A"/>
    <w:rsid w:val="002D04A4"/>
    <w:rsid w:val="002E7557"/>
    <w:rsid w:val="00303FDD"/>
    <w:rsid w:val="00310FC3"/>
    <w:rsid w:val="00332DA5"/>
    <w:rsid w:val="003742BB"/>
    <w:rsid w:val="003E2C36"/>
    <w:rsid w:val="00407875"/>
    <w:rsid w:val="00422623"/>
    <w:rsid w:val="00435C95"/>
    <w:rsid w:val="004753F0"/>
    <w:rsid w:val="004C2E5B"/>
    <w:rsid w:val="004C7B54"/>
    <w:rsid w:val="00514FDF"/>
    <w:rsid w:val="00533781"/>
    <w:rsid w:val="005561E4"/>
    <w:rsid w:val="005938BD"/>
    <w:rsid w:val="005B1D62"/>
    <w:rsid w:val="005B7200"/>
    <w:rsid w:val="006239E7"/>
    <w:rsid w:val="00625412"/>
    <w:rsid w:val="00630DE1"/>
    <w:rsid w:val="006D4D3F"/>
    <w:rsid w:val="006F24B2"/>
    <w:rsid w:val="007231F3"/>
    <w:rsid w:val="007443B9"/>
    <w:rsid w:val="007A2B86"/>
    <w:rsid w:val="007C2904"/>
    <w:rsid w:val="00817A32"/>
    <w:rsid w:val="00852A28"/>
    <w:rsid w:val="0087733F"/>
    <w:rsid w:val="0087795F"/>
    <w:rsid w:val="008A7A5F"/>
    <w:rsid w:val="008C6802"/>
    <w:rsid w:val="008D15C3"/>
    <w:rsid w:val="008D78D9"/>
    <w:rsid w:val="008E04A8"/>
    <w:rsid w:val="009104F7"/>
    <w:rsid w:val="0092286A"/>
    <w:rsid w:val="009C155A"/>
    <w:rsid w:val="009C4715"/>
    <w:rsid w:val="00A60743"/>
    <w:rsid w:val="00AA57D3"/>
    <w:rsid w:val="00AB5739"/>
    <w:rsid w:val="00B05BEA"/>
    <w:rsid w:val="00B75F7F"/>
    <w:rsid w:val="00BB1343"/>
    <w:rsid w:val="00BC0C81"/>
    <w:rsid w:val="00BC5E35"/>
    <w:rsid w:val="00BD69DF"/>
    <w:rsid w:val="00C0313E"/>
    <w:rsid w:val="00C033FA"/>
    <w:rsid w:val="00C454A2"/>
    <w:rsid w:val="00C5139C"/>
    <w:rsid w:val="00C822AD"/>
    <w:rsid w:val="00CB26AB"/>
    <w:rsid w:val="00CB7093"/>
    <w:rsid w:val="00CD398B"/>
    <w:rsid w:val="00D0703D"/>
    <w:rsid w:val="00D60F43"/>
    <w:rsid w:val="00D759A6"/>
    <w:rsid w:val="00E16976"/>
    <w:rsid w:val="00E52968"/>
    <w:rsid w:val="00E73F30"/>
    <w:rsid w:val="00E866BB"/>
    <w:rsid w:val="00E91E14"/>
    <w:rsid w:val="00EC430E"/>
    <w:rsid w:val="00ED0E3D"/>
    <w:rsid w:val="00ED4008"/>
    <w:rsid w:val="00F10DE1"/>
    <w:rsid w:val="00F13EE1"/>
    <w:rsid w:val="00F27A76"/>
    <w:rsid w:val="00F84F7E"/>
    <w:rsid w:val="00F979A1"/>
    <w:rsid w:val="00FF2B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F1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GridTable1Light-Accent4">
    <w:name w:val="Grid Table 1 Light Accent 4"/>
    <w:basedOn w:val="TableNormal"/>
    <w:uiPriority w:val="46"/>
    <w:rsid w:val="000A4F6E"/>
    <w:pPr>
      <w:spacing w:after="0" w:line="240" w:lineRule="auto"/>
    </w:pPr>
    <w:tblPr>
      <w:tblStyleRowBandSize w:val="1"/>
      <w:tblStyleColBandSize w:val="1"/>
      <w:tblBorders>
        <w:top w:val="single" w:sz="4" w:space="0" w:color="F9F4EF" w:themeColor="accent4" w:themeTint="66"/>
        <w:left w:val="single" w:sz="4" w:space="0" w:color="F9F4EF" w:themeColor="accent4" w:themeTint="66"/>
        <w:bottom w:val="single" w:sz="4" w:space="0" w:color="F9F4EF" w:themeColor="accent4" w:themeTint="66"/>
        <w:right w:val="single" w:sz="4" w:space="0" w:color="F9F4EF" w:themeColor="accent4" w:themeTint="66"/>
        <w:insideH w:val="single" w:sz="4" w:space="0" w:color="F9F4EF" w:themeColor="accent4" w:themeTint="66"/>
        <w:insideV w:val="single" w:sz="4" w:space="0" w:color="F9F4EF" w:themeColor="accent4" w:themeTint="66"/>
      </w:tblBorders>
    </w:tblPr>
    <w:tblStylePr w:type="firstRow">
      <w:rPr>
        <w:b/>
        <w:bCs/>
      </w:rPr>
      <w:tblPr/>
      <w:tcPr>
        <w:tcBorders>
          <w:bottom w:val="single" w:sz="12" w:space="0" w:color="F6EFE7" w:themeColor="accent4" w:themeTint="99"/>
        </w:tcBorders>
      </w:tcPr>
    </w:tblStylePr>
    <w:tblStylePr w:type="lastRow">
      <w:rPr>
        <w:b/>
        <w:bCs/>
      </w:rPr>
      <w:tblPr/>
      <w:tcPr>
        <w:tcBorders>
          <w:top w:val="double" w:sz="2" w:space="0" w:color="F6EFE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for-the-health-sector/covid-19-information-for-health-professionals/covid-19-surveillance-strategy" TargetMode="External"/><Relationship Id="rId5" Type="http://schemas.openxmlformats.org/officeDocument/2006/relationships/webSettings" Target="webSettings.xml"/><Relationship Id="rId10" Type="http://schemas.openxmlformats.org/officeDocument/2006/relationships/hyperlink" Target="https://auc-word-edit.officeapps.live.com/we/wordeditorframe.aspx?new=1&amp;ui=en%2DUS&amp;rs=en%2DUS&amp;wdenableroaming=1&amp;mscc=1&amp;hid=C79CB3A0-50FD-2000-3D3D-66FAF5EFED1A&amp;wopisrc=https%3A%2F%2Fmohgovtnz.sharepoint.com%2Fsites%2FTestingSupplyFULLTEAM%2F_vti_bin%2Fwopi.ashx%2Ffiles%2F9a022f8cfd784c69889ad0f1ab808e65&amp;wdorigin=DocLib&amp;wdhostclicktime=1684291954370&amp;jsapi=1&amp;jsapiver=v1&amp;newsession=1&amp;corrid=f8008c64-2bed-4029-92b1-4f8664fea565&amp;usid=f8008c64-2bed-4029-92b1-4f8664fea565&amp;sftc=1&amp;cac=1&amp;mtf=1&amp;sfp=1&amp;wdredirectionreason=Unified_SingleFlush&amp;rct=Normal&amp;ctp=LeastProtected" TargetMode="External"/><Relationship Id="rId4" Type="http://schemas.openxmlformats.org/officeDocument/2006/relationships/settings" Target="settings.xml"/><Relationship Id="rId9" Type="http://schemas.openxmlformats.org/officeDocument/2006/relationships/hyperlink" Target="https://www.healthpoint.co.nz/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2023-08-09T01:16:00Z</dcterms:created>
  <dcterms:modified xsi:type="dcterms:W3CDTF">2023-08-09T03:55:00Z</dcterms:modified>
</cp:coreProperties>
</file>