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AF1E4" w14:textId="77777777" w:rsidR="00817A32" w:rsidRDefault="00817A32" w:rsidP="00817A32">
      <w:pPr>
        <w:jc w:val="right"/>
      </w:pPr>
      <w:r>
        <w:rPr>
          <w:noProof/>
        </w:rPr>
        <w:drawing>
          <wp:inline distT="0" distB="0" distL="0" distR="0" wp14:anchorId="340E4198" wp14:editId="21F74494">
            <wp:extent cx="2160000" cy="47610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000" cy="476102"/>
                    </a:xfrm>
                    <a:prstGeom prst="rect">
                      <a:avLst/>
                    </a:prstGeom>
                    <a:noFill/>
                  </pic:spPr>
                </pic:pic>
              </a:graphicData>
            </a:graphic>
          </wp:inline>
        </w:drawing>
      </w:r>
    </w:p>
    <w:p w14:paraId="369EC19F" w14:textId="42221E2B" w:rsidR="005561E4" w:rsidRDefault="00F16D18" w:rsidP="00BE11DC">
      <w:pPr>
        <w:pStyle w:val="Heading2"/>
      </w:pPr>
      <w:r>
        <w:t>Hospitals and secondary-based care facilities guidance</w:t>
      </w:r>
    </w:p>
    <w:p w14:paraId="307AE7AD" w14:textId="77777777" w:rsidR="00F16D18" w:rsidRPr="00F16D18" w:rsidRDefault="00F16D18" w:rsidP="00F16D18">
      <w:pPr>
        <w:pStyle w:val="Heading3"/>
      </w:pPr>
      <w:r w:rsidRPr="00F16D18">
        <w:t>Testing within hospitals and secondary based care facilities</w:t>
      </w:r>
    </w:p>
    <w:p w14:paraId="7616A7F1" w14:textId="77777777" w:rsidR="00F16D18" w:rsidRPr="00F16D18" w:rsidRDefault="00F16D18" w:rsidP="00F16D18">
      <w:r w:rsidRPr="00F16D18">
        <w:t xml:space="preserve">On entry to hospital and secondary care facilities all patients should be assessed for: </w:t>
      </w:r>
    </w:p>
    <w:p w14:paraId="5E35CF6C" w14:textId="6FAC609D" w:rsidR="00F16D18" w:rsidRPr="00F16D18" w:rsidRDefault="00F16D18" w:rsidP="00F16D18">
      <w:pPr>
        <w:pStyle w:val="ListBullet"/>
      </w:pPr>
      <w:r w:rsidRPr="00F16D18">
        <w:t xml:space="preserve">COVID-19 symptoms and </w:t>
      </w:r>
    </w:p>
    <w:p w14:paraId="51633A46" w14:textId="728B78B3" w:rsidR="00F16D18" w:rsidRPr="00F16D18" w:rsidRDefault="00F16D18" w:rsidP="00F16D18">
      <w:pPr>
        <w:pStyle w:val="ListBullet"/>
      </w:pPr>
      <w:r w:rsidRPr="00F16D18">
        <w:t xml:space="preserve">for an epidemiological link, through a household member, to someone who is positive for COVID-19.  </w:t>
      </w:r>
    </w:p>
    <w:p w14:paraId="66BF79AD" w14:textId="77777777" w:rsidR="00F16D18" w:rsidRPr="00F16D18" w:rsidRDefault="00F16D18" w:rsidP="00F16D18">
      <w:r w:rsidRPr="00F16D18">
        <w:t xml:space="preserve">Patients who meet the above criteria should then be tested for COVID-19 (see table below). </w:t>
      </w:r>
    </w:p>
    <w:p w14:paraId="5AABD16A" w14:textId="66636EB5" w:rsidR="00F16D18" w:rsidRPr="00F16D18" w:rsidRDefault="00F16D18" w:rsidP="00F16D18">
      <w:r w:rsidRPr="00F16D18">
        <w:t xml:space="preserve">Appropriate testing and </w:t>
      </w:r>
      <w:r w:rsidR="001C7D96">
        <w:t xml:space="preserve">recommended </w:t>
      </w:r>
      <w:r w:rsidRPr="00F16D18">
        <w:t xml:space="preserve">isolation for those who have symptoms or </w:t>
      </w:r>
      <w:r w:rsidR="001C7D96">
        <w:t xml:space="preserve">recommended </w:t>
      </w:r>
      <w:r w:rsidRPr="00F16D18">
        <w:t xml:space="preserve">quarantine for those who are a household contact will promote appropriate treatment, room placement decisions and personal protective equipment decision making.  </w:t>
      </w:r>
    </w:p>
    <w:p w14:paraId="0C8DBB1C" w14:textId="77777777" w:rsidR="00F16D18" w:rsidRPr="00F16D18" w:rsidRDefault="00F16D18" w:rsidP="00F16D18">
      <w:r w:rsidRPr="00F16D18">
        <w:t xml:space="preserve">Since a range of pathogens may present with similar symptoms to COVID-19, local protocols will guide escalation to further respiratory pathogen testing. </w:t>
      </w:r>
    </w:p>
    <w:p w14:paraId="344FCE5B" w14:textId="7C06CDF3" w:rsidR="00F16D18" w:rsidRPr="00F16D18" w:rsidRDefault="00F16D18" w:rsidP="00F16D18">
      <w:r w:rsidRPr="00F16D18">
        <w:t xml:space="preserve">Further testing for respiratory pathogens may be clinically indicated to support patient placement in </w:t>
      </w:r>
      <w:r w:rsidR="001C7D96">
        <w:t xml:space="preserve">recommended </w:t>
      </w:r>
      <w:r w:rsidRPr="00F16D18">
        <w:t xml:space="preserve">isolation and targeted antimicrobial management.  </w:t>
      </w:r>
    </w:p>
    <w:p w14:paraId="54A75FAD" w14:textId="74AC40D6" w:rsidR="00E52968" w:rsidRDefault="00F16D18" w:rsidP="00F16D18">
      <w:r w:rsidRPr="00F16D18">
        <w:t xml:space="preserve">During winter and with the re-emergence of a range of pathogens that cause similar symptoms to COVID-19, consideration of alternative diagnoses is particularly important especially for Māori, Pacific </w:t>
      </w:r>
      <w:proofErr w:type="gramStart"/>
      <w:r w:rsidRPr="00F16D18">
        <w:t>people</w:t>
      </w:r>
      <w:proofErr w:type="gramEnd"/>
      <w:r w:rsidRPr="00F16D18">
        <w:t xml:space="preserve"> and those at higher risk of severe illness from COVID-19.  For example, confirmation of a COVID-19 diagnosis may lead to different treatment for someone who otherwise would have been treated for influenza. Note that people can be co-infected with more than one pathogen.</w:t>
      </w:r>
    </w:p>
    <w:p w14:paraId="21F2E4CF" w14:textId="77777777" w:rsidR="00F16D18" w:rsidRPr="00F16D18" w:rsidRDefault="00F16D18" w:rsidP="00F16D18">
      <w:pPr>
        <w:pStyle w:val="Heading3"/>
      </w:pPr>
      <w:r w:rsidRPr="00F16D18">
        <w:t>Priority people and those at higher risk of severe illness from COVID-19 (vulnerable people)</w:t>
      </w:r>
    </w:p>
    <w:p w14:paraId="0F80E215" w14:textId="77777777" w:rsidR="00F16D18" w:rsidRPr="00F16D18" w:rsidRDefault="00F16D18" w:rsidP="00F16D18">
      <w:r w:rsidRPr="00F16D18">
        <w:rPr>
          <w:b/>
        </w:rPr>
        <w:t>Priority people</w:t>
      </w:r>
      <w:r w:rsidRPr="00F16D18">
        <w:rPr>
          <w:i/>
        </w:rPr>
        <w:t xml:space="preserve"> </w:t>
      </w:r>
      <w:r w:rsidRPr="00F16D18">
        <w:t xml:space="preserve">are defined as those who are inequitably impacted by COVID-19. People in this group are eligible for targeted assessments regarding additional clinical and social </w:t>
      </w:r>
      <w:r w:rsidRPr="00F16D18">
        <w:lastRenderedPageBreak/>
        <w:t>support. The COVID-19 pandemic has exacerbated existing inequities for specific groups, including: </w:t>
      </w:r>
    </w:p>
    <w:p w14:paraId="5E6DE71D" w14:textId="77777777" w:rsidR="00F16D18" w:rsidRPr="00F16D18" w:rsidRDefault="00F16D18" w:rsidP="00F16D18">
      <w:pPr>
        <w:numPr>
          <w:ilvl w:val="0"/>
          <w:numId w:val="36"/>
        </w:numPr>
        <w:spacing w:after="120"/>
        <w:ind w:left="714" w:hanging="357"/>
      </w:pPr>
      <w:r w:rsidRPr="00F16D18">
        <w:rPr>
          <w:b/>
        </w:rPr>
        <w:t xml:space="preserve">Māori </w:t>
      </w:r>
      <w:r w:rsidRPr="00F16D18">
        <w:t>who experience greater inequity and disadvantage due to COVID 19 resulting in poorer outcomes.  </w:t>
      </w:r>
    </w:p>
    <w:p w14:paraId="3948392C" w14:textId="77777777" w:rsidR="00F16D18" w:rsidRPr="00F16D18" w:rsidRDefault="00F16D18" w:rsidP="00F16D18">
      <w:pPr>
        <w:numPr>
          <w:ilvl w:val="0"/>
          <w:numId w:val="36"/>
        </w:numPr>
        <w:spacing w:after="120"/>
        <w:ind w:left="714" w:hanging="357"/>
      </w:pPr>
      <w:r w:rsidRPr="00F16D18">
        <w:rPr>
          <w:b/>
        </w:rPr>
        <w:t xml:space="preserve">Pacific People </w:t>
      </w:r>
      <w:r w:rsidRPr="00F16D18">
        <w:t>who have had the highest age-standardised hospitalisation rates for COVID-19, and experienced age-standardised mortality rates 2.4 times greater than European and other population groups. </w:t>
      </w:r>
    </w:p>
    <w:p w14:paraId="27CEF2B0" w14:textId="77777777" w:rsidR="00F16D18" w:rsidRPr="00F16D18" w:rsidRDefault="00F16D18" w:rsidP="00F16D18">
      <w:r w:rsidRPr="00F16D18">
        <w:t>Other priority groups within our population who may also experience inequity due to poorer health or social outcomes and/or barriers to accessing testing include: </w:t>
      </w:r>
    </w:p>
    <w:p w14:paraId="494109B4" w14:textId="77777777" w:rsidR="00F16D18" w:rsidRPr="00F16D18" w:rsidRDefault="00F16D18" w:rsidP="00F16D18">
      <w:pPr>
        <w:numPr>
          <w:ilvl w:val="0"/>
          <w:numId w:val="37"/>
        </w:numPr>
        <w:spacing w:after="120"/>
        <w:ind w:left="714" w:hanging="357"/>
      </w:pPr>
      <w:r w:rsidRPr="00F16D18">
        <w:rPr>
          <w:b/>
        </w:rPr>
        <w:t>Elderly (65 years and over)</w:t>
      </w:r>
      <w:r w:rsidRPr="00F16D18">
        <w:t xml:space="preserve"> experience inequity as this age group collectively has the highest rate of poor outcomes including total numbers hospitalised, average length of stay and/or death from COVID-19. Māori and Pacific people are overrepresented in case numbers for the 65 years and over age group as well as other age groups.  </w:t>
      </w:r>
    </w:p>
    <w:p w14:paraId="5F1E07F8" w14:textId="77777777" w:rsidR="00F16D18" w:rsidRPr="00F16D18" w:rsidRDefault="00F16D18" w:rsidP="00F16D18">
      <w:pPr>
        <w:numPr>
          <w:ilvl w:val="0"/>
          <w:numId w:val="37"/>
        </w:numPr>
        <w:spacing w:after="120"/>
        <w:ind w:left="714" w:hanging="357"/>
      </w:pPr>
      <w:r w:rsidRPr="00F16D18">
        <w:rPr>
          <w:b/>
        </w:rPr>
        <w:t xml:space="preserve">Disabled people </w:t>
      </w:r>
      <w:r w:rsidRPr="00F16D18">
        <w:t xml:space="preserve">including </w:t>
      </w:r>
      <w:proofErr w:type="spellStart"/>
      <w:r w:rsidRPr="00F16D18">
        <w:t>tāngata</w:t>
      </w:r>
      <w:proofErr w:type="spellEnd"/>
      <w:r w:rsidRPr="00F16D18">
        <w:t xml:space="preserve"> </w:t>
      </w:r>
      <w:proofErr w:type="spellStart"/>
      <w:r w:rsidRPr="00F16D18">
        <w:t>whaikaha</w:t>
      </w:r>
      <w:proofErr w:type="spellEnd"/>
      <w:r w:rsidRPr="00F16D18">
        <w:t xml:space="preserve"> Māori and Pacific disabled people who experience inequities due to greater barriers to access, and for some increased susceptibility to COVID-19 infection and/or complications. </w:t>
      </w:r>
    </w:p>
    <w:p w14:paraId="1E249D2C" w14:textId="77777777" w:rsidR="00F16D18" w:rsidRPr="00F16D18" w:rsidRDefault="00F16D18" w:rsidP="00F16D18">
      <w:pPr>
        <w:numPr>
          <w:ilvl w:val="0"/>
          <w:numId w:val="37"/>
        </w:numPr>
        <w:spacing w:after="120"/>
        <w:ind w:left="714" w:hanging="357"/>
      </w:pPr>
      <w:r w:rsidRPr="00F16D18">
        <w:rPr>
          <w:b/>
        </w:rPr>
        <w:t>People with</w:t>
      </w:r>
      <w:r w:rsidRPr="00F16D18">
        <w:t xml:space="preserve"> </w:t>
      </w:r>
      <w:r w:rsidRPr="00F16D18">
        <w:rPr>
          <w:b/>
        </w:rPr>
        <w:t>severe mental health and addiction</w:t>
      </w:r>
      <w:r w:rsidRPr="00F16D18">
        <w:t>. </w:t>
      </w:r>
    </w:p>
    <w:p w14:paraId="25A2D0C1" w14:textId="6ACBB9D8" w:rsidR="00F16D18" w:rsidRPr="00F16D18" w:rsidRDefault="00F16D18" w:rsidP="00F16D18">
      <w:pPr>
        <w:numPr>
          <w:ilvl w:val="0"/>
          <w:numId w:val="37"/>
        </w:numPr>
        <w:spacing w:after="120"/>
        <w:ind w:left="714" w:hanging="357"/>
      </w:pPr>
      <w:r w:rsidRPr="00F16D18">
        <w:rPr>
          <w:b/>
        </w:rPr>
        <w:t>Other inequitably impacted populations</w:t>
      </w:r>
      <w:r w:rsidRPr="00F16D18">
        <w:t xml:space="preserve"> including refugee and asylum seekers, remote and rural</w:t>
      </w:r>
      <w:r>
        <w:rPr>
          <w:rStyle w:val="FootnoteReference"/>
        </w:rPr>
        <w:footnoteReference w:id="1"/>
      </w:r>
      <w:r>
        <w:t xml:space="preserve"> </w:t>
      </w:r>
      <w:r w:rsidRPr="00F16D18">
        <w:t xml:space="preserve">people, rough </w:t>
      </w:r>
      <w:proofErr w:type="gramStart"/>
      <w:r w:rsidRPr="00F16D18">
        <w:t>sleepers</w:t>
      </w:r>
      <w:proofErr w:type="gramEnd"/>
      <w:r w:rsidRPr="00F16D18">
        <w:t xml:space="preserve"> and those in transitional housing, and those not enrolled with primary care. </w:t>
      </w:r>
    </w:p>
    <w:p w14:paraId="722F44DE" w14:textId="77777777" w:rsidR="00F16D18" w:rsidRPr="00F16D18" w:rsidRDefault="00F16D18" w:rsidP="00F16D18">
      <w:r w:rsidRPr="00F16D18">
        <w:t>The following group are those at higher risk of severe illness from COVID-19</w:t>
      </w:r>
      <w:r w:rsidRPr="00F16D18">
        <w:rPr>
          <w:b/>
        </w:rPr>
        <w:t xml:space="preserve"> (vulnerable people):</w:t>
      </w:r>
      <w:r w:rsidRPr="00F16D18">
        <w:t> </w:t>
      </w:r>
    </w:p>
    <w:p w14:paraId="1A71E0CD" w14:textId="77777777" w:rsidR="00F16D18" w:rsidRPr="00F16D18" w:rsidRDefault="00F16D18" w:rsidP="00F16D18">
      <w:pPr>
        <w:numPr>
          <w:ilvl w:val="0"/>
          <w:numId w:val="35"/>
        </w:numPr>
        <w:tabs>
          <w:tab w:val="clear" w:pos="720"/>
        </w:tabs>
        <w:spacing w:after="120"/>
        <w:ind w:left="714" w:hanging="357"/>
      </w:pPr>
      <w:r w:rsidRPr="00F16D18">
        <w:rPr>
          <w:b/>
        </w:rPr>
        <w:t>People with high-risk medical conditions (long-term health conditions and/or immunocompromised)</w:t>
      </w:r>
      <w:r w:rsidRPr="00F16D18">
        <w:t xml:space="preserve"> who are </w:t>
      </w:r>
      <w:hyperlink r:id="rId12">
        <w:r w:rsidRPr="00F16D18">
          <w:rPr>
            <w:rStyle w:val="Hyperlink"/>
          </w:rPr>
          <w:t>inequitably impacted due to increased susceptibility to COVID-19 infection and/or complications</w:t>
        </w:r>
      </w:hyperlink>
      <w:r w:rsidRPr="00F16D18">
        <w:t> </w:t>
      </w:r>
    </w:p>
    <w:p w14:paraId="646ADAE0" w14:textId="5A1CECCA" w:rsidR="00F16D18" w:rsidRPr="00F16D18" w:rsidRDefault="00F16D18" w:rsidP="00F16D18">
      <w:pPr>
        <w:numPr>
          <w:ilvl w:val="0"/>
          <w:numId w:val="35"/>
        </w:numPr>
        <w:tabs>
          <w:tab w:val="clear" w:pos="720"/>
        </w:tabs>
        <w:spacing w:after="120"/>
        <w:ind w:left="714" w:hanging="357"/>
      </w:pPr>
      <w:r w:rsidRPr="00F16D18">
        <w:rPr>
          <w:b/>
        </w:rPr>
        <w:t>Pregnant people</w:t>
      </w:r>
      <w:r w:rsidRPr="00F16D18">
        <w:t> </w:t>
      </w:r>
    </w:p>
    <w:p w14:paraId="725BAA8C" w14:textId="77777777" w:rsidR="00F16D18" w:rsidRPr="00F16D18" w:rsidRDefault="00F16D18" w:rsidP="00F16D18">
      <w:r w:rsidRPr="00F16D18">
        <w:t xml:space="preserve">Note this group includes Māori, Pacific </w:t>
      </w:r>
      <w:proofErr w:type="gramStart"/>
      <w:r w:rsidRPr="00F16D18">
        <w:t>people</w:t>
      </w:r>
      <w:proofErr w:type="gramEnd"/>
      <w:r w:rsidRPr="00F16D18">
        <w:t xml:space="preserve"> and the elderly over 65.  </w:t>
      </w:r>
    </w:p>
    <w:p w14:paraId="0A0F53E0" w14:textId="77777777" w:rsidR="00F16D18" w:rsidRPr="00F16D18" w:rsidRDefault="00F16D18" w:rsidP="00F16D18">
      <w:pPr>
        <w:pStyle w:val="Heading3"/>
      </w:pPr>
      <w:r w:rsidRPr="00F16D18">
        <w:t xml:space="preserve">Testing considerations </w:t>
      </w:r>
    </w:p>
    <w:p w14:paraId="09116A95" w14:textId="77777777" w:rsidR="00F16D18" w:rsidRPr="00F16D18" w:rsidRDefault="00F16D18" w:rsidP="00F16D18">
      <w:r w:rsidRPr="00F16D18">
        <w:t>The following should be considered when undertaking testing of patients:</w:t>
      </w:r>
    </w:p>
    <w:p w14:paraId="7C327E10" w14:textId="77777777" w:rsidR="00F16D18" w:rsidRPr="00F16D18" w:rsidRDefault="00F16D18" w:rsidP="00F16D18">
      <w:pPr>
        <w:pStyle w:val="ListBullet"/>
      </w:pPr>
      <w:r w:rsidRPr="00F16D18">
        <w:t>Asymptomatic testing is generally not recommended.</w:t>
      </w:r>
    </w:p>
    <w:p w14:paraId="381B24E6" w14:textId="77777777" w:rsidR="00F16D18" w:rsidRPr="00F16D18" w:rsidRDefault="00F16D18" w:rsidP="00F16D18">
      <w:pPr>
        <w:pStyle w:val="ListBullet"/>
      </w:pPr>
      <w:r w:rsidRPr="00F16D18">
        <w:lastRenderedPageBreak/>
        <w:t>For hospital settings where clinically high-risk patients are cared for (such as Oncology, Haematology, Intensive Care, Renal), refer to local hospital protocols guidelines for testing criteria</w:t>
      </w:r>
    </w:p>
    <w:p w14:paraId="7183C466" w14:textId="759B072B" w:rsidR="00F16D18" w:rsidRPr="00F16D18" w:rsidRDefault="00F16D18" w:rsidP="00F16D18">
      <w:pPr>
        <w:pStyle w:val="ListBullet"/>
      </w:pPr>
      <w:r w:rsidRPr="00F16D18">
        <w:t>Infection prevention and control measures will be implemented as per local guidance (for example, streaming patients based on symptomology, known COVID-19 status and/or vulnerability) to reduce hospital-acquired infection transmission risk, and where not feasible, implement guidance for high transmission/surge</w:t>
      </w:r>
      <w:r w:rsidR="00FC27A9">
        <w:t>:</w:t>
      </w:r>
      <w:r w:rsidRPr="00F16D18">
        <w:t xml:space="preserve"> </w:t>
      </w:r>
      <w:hyperlink r:id="rId13">
        <w:r w:rsidR="00344FBD" w:rsidRPr="00FB1CFF">
          <w:rPr>
            <w:rStyle w:val="Hyperlink"/>
            <w:rFonts w:ascii="Arial" w:eastAsia="Arial" w:hAnsi="Arial" w:cs="Arial"/>
          </w:rPr>
          <w:t>IPC guidance</w:t>
        </w:r>
      </w:hyperlink>
    </w:p>
    <w:p w14:paraId="539EB077" w14:textId="77777777" w:rsidR="00F16D18" w:rsidRPr="00F16D18" w:rsidRDefault="00F16D18" w:rsidP="00F16D18">
      <w:pPr>
        <w:pStyle w:val="Heading3"/>
      </w:pPr>
      <w:r w:rsidRPr="00F16D18">
        <w:t>Testing of healthcare staff </w:t>
      </w:r>
    </w:p>
    <w:p w14:paraId="6B76CEE0" w14:textId="47EB47BC" w:rsidR="0056397F" w:rsidRPr="0056397F" w:rsidRDefault="00F16D18" w:rsidP="00F16D18">
      <w:pPr>
        <w:pStyle w:val="ListBullet"/>
        <w:rPr>
          <w:rStyle w:val="Hyperlink"/>
          <w:b w:val="0"/>
          <w:u w:val="none"/>
        </w:rPr>
      </w:pPr>
      <w:r w:rsidRPr="00F16D18">
        <w:t xml:space="preserve">Guidance </w:t>
      </w:r>
      <w:r w:rsidR="00AF0DE6" w:rsidRPr="0056397F">
        <w:rPr>
          <w:rFonts w:eastAsia="Arial" w:cs="Arial"/>
          <w:color w:val="000000"/>
        </w:rPr>
        <w:t>on management of HCWs with respiratory symptoms and return to work for healthcare staff who are COVID-19 cases can be found here:</w:t>
      </w:r>
      <w:r w:rsidR="00273975" w:rsidRPr="0056397F">
        <w:rPr>
          <w:rFonts w:ascii="Arial" w:hAnsi="Arial" w:cs="Arial"/>
        </w:rPr>
        <w:t xml:space="preserve"> </w:t>
      </w:r>
      <w:hyperlink r:id="rId14" w:anchor="guidance-for-return-to-work-for-healthcare-workers">
        <w:r w:rsidR="0056397F" w:rsidRPr="00D95B13">
          <w:rPr>
            <w:rStyle w:val="Hyperlink"/>
            <w:rFonts w:ascii="Arial" w:hAnsi="Arial" w:cs="Arial"/>
            <w:b w:val="0"/>
            <w:bCs/>
            <w:szCs w:val="24"/>
          </w:rPr>
          <w:t>Health Ca</w:t>
        </w:r>
        <w:r w:rsidR="0056397F" w:rsidRPr="00D95B13">
          <w:rPr>
            <w:rStyle w:val="Hyperlink"/>
            <w:rFonts w:ascii="Arial" w:hAnsi="Arial" w:cs="Arial"/>
            <w:b w:val="0"/>
            <w:bCs/>
            <w:szCs w:val="24"/>
          </w:rPr>
          <w:t>r</w:t>
        </w:r>
        <w:r w:rsidR="0056397F" w:rsidRPr="00D95B13">
          <w:rPr>
            <w:rStyle w:val="Hyperlink"/>
            <w:rFonts w:ascii="Arial" w:hAnsi="Arial" w:cs="Arial"/>
            <w:b w:val="0"/>
            <w:bCs/>
            <w:szCs w:val="24"/>
          </w:rPr>
          <w:t>e Workers guidance</w:t>
        </w:r>
      </w:hyperlink>
      <w:r w:rsidR="0056397F">
        <w:rPr>
          <w:rStyle w:val="Hyperlink"/>
          <w:rFonts w:ascii="Arial" w:hAnsi="Arial" w:cs="Arial"/>
          <w:b w:val="0"/>
          <w:bCs/>
          <w:szCs w:val="24"/>
        </w:rPr>
        <w:t>.</w:t>
      </w:r>
    </w:p>
    <w:p w14:paraId="4FBE64A6" w14:textId="21F5BD95" w:rsidR="00AF7EF5" w:rsidRDefault="00115BF6" w:rsidP="00F16D18">
      <w:pPr>
        <w:pStyle w:val="ListBullet"/>
      </w:pPr>
      <w:r w:rsidRPr="00115BF6">
        <w:t>Healthcare workers</w:t>
      </w:r>
      <w:r w:rsidR="00150B71">
        <w:t xml:space="preserve"> are</w:t>
      </w:r>
      <w:r w:rsidRPr="00115BF6">
        <w:t xml:space="preserve"> recommended to wear the appropriate PPE including mask use and undertake other IPC measures as per the national</w:t>
      </w:r>
      <w:r>
        <w:t xml:space="preserve"> </w:t>
      </w:r>
      <w:hyperlink r:id="rId15">
        <w:r w:rsidR="00A43E40" w:rsidRPr="0056397F">
          <w:rPr>
            <w:rStyle w:val="Hyperlink"/>
            <w:rFonts w:ascii="Arial" w:eastAsia="Arial" w:hAnsi="Arial" w:cs="Arial"/>
          </w:rPr>
          <w:t>IPC guidance</w:t>
        </w:r>
      </w:hyperlink>
      <w:r w:rsidR="00A43E40" w:rsidRPr="0056397F">
        <w:rPr>
          <w:rStyle w:val="Hyperlink"/>
          <w:rFonts w:ascii="Arial" w:eastAsia="Arial" w:hAnsi="Arial" w:cs="Arial"/>
        </w:rPr>
        <w:t>.</w:t>
      </w:r>
    </w:p>
    <w:p w14:paraId="748AFBC9" w14:textId="07A13D6E" w:rsidR="00F16D18" w:rsidRPr="00F16D18" w:rsidRDefault="00F16D18" w:rsidP="00F16D18">
      <w:pPr>
        <w:pStyle w:val="ListBullet"/>
      </w:pPr>
      <w:r w:rsidRPr="00F16D18">
        <w:t xml:space="preserve">Asymptomatic testing of healthcare workers is not recommended if they are using risk assessment tools and applying systematic IPC measures which significantly reduce the risk of workplace exposure.  </w:t>
      </w:r>
    </w:p>
    <w:p w14:paraId="12EA337A" w14:textId="77777777" w:rsidR="00F16D18" w:rsidRPr="00F16D18" w:rsidRDefault="00F16D18" w:rsidP="00F16D18">
      <w:pPr>
        <w:pStyle w:val="ListBullet"/>
      </w:pPr>
      <w:r w:rsidRPr="00F16D18">
        <w:t xml:space="preserve">If the healthcare workforce is significantly affected by COVID-19, service providers may undertake their own risk assessments to ensure safety of patients and the workforce which may include a testing protocol.  </w:t>
      </w:r>
    </w:p>
    <w:p w14:paraId="352F69A3" w14:textId="77777777" w:rsidR="00F16D18" w:rsidRPr="00F16D18" w:rsidRDefault="00F16D18" w:rsidP="00F16D18">
      <w:pPr>
        <w:pStyle w:val="Heading3"/>
      </w:pPr>
      <w:r w:rsidRPr="00F16D18">
        <w:t>Asymptomatic testing of patients </w:t>
      </w:r>
    </w:p>
    <w:p w14:paraId="76F459EB" w14:textId="77777777" w:rsidR="00F16D18" w:rsidRPr="00F16D18" w:rsidRDefault="00F16D18" w:rsidP="00F16D18">
      <w:r w:rsidRPr="00F16D18">
        <w:t>Asymptomatic screening testing of patients within hospital and secondary care settings is generally not recommended, unless the patient is a household contact of a known COVID-19 case.</w:t>
      </w:r>
    </w:p>
    <w:p w14:paraId="5565A053" w14:textId="77777777" w:rsidR="00F16D18" w:rsidRPr="00F16D18" w:rsidRDefault="00F16D18" w:rsidP="00F16D18">
      <w:pPr>
        <w:pStyle w:val="Heading3"/>
      </w:pPr>
      <w:bookmarkStart w:id="0" w:name="_Hlk134615864"/>
      <w:r w:rsidRPr="00F16D18">
        <w:t xml:space="preserve">Symptomatic testing in hospital and secondary care settings </w:t>
      </w:r>
    </w:p>
    <w:p w14:paraId="36C476CE" w14:textId="77777777" w:rsidR="00F16D18" w:rsidRPr="00F16D18" w:rsidRDefault="00F16D18" w:rsidP="00F16D18">
      <w:r w:rsidRPr="00F16D18">
        <w:t>It is important to note that</w:t>
      </w:r>
      <w:r w:rsidRPr="00F16D18">
        <w:rPr>
          <w:b/>
          <w:bCs/>
        </w:rPr>
        <w:t xml:space="preserve"> </w:t>
      </w:r>
      <w:r w:rsidRPr="00F16D18">
        <w:t xml:space="preserve">people with </w:t>
      </w:r>
      <w:r w:rsidRPr="00F16D18">
        <w:rPr>
          <w:b/>
          <w:bCs/>
        </w:rPr>
        <w:t>COVID-19 symptoms</w:t>
      </w:r>
      <w:r w:rsidRPr="00F16D18">
        <w:t xml:space="preserve"> should be encouraged </w:t>
      </w:r>
      <w:r w:rsidRPr="00F16D18">
        <w:rPr>
          <w:b/>
          <w:bCs/>
        </w:rPr>
        <w:t>not</w:t>
      </w:r>
      <w:r w:rsidRPr="00F16D18">
        <w:t xml:space="preserve"> to attend healthcare facilities for non-urgent care while they are unwell.</w:t>
      </w:r>
    </w:p>
    <w:tbl>
      <w:tblPr>
        <w:tblStyle w:val="TeWhatuOra"/>
        <w:tblW w:w="0" w:type="auto"/>
        <w:tblLook w:val="04A0" w:firstRow="1" w:lastRow="0" w:firstColumn="1" w:lastColumn="0" w:noHBand="0" w:noVBand="1"/>
      </w:tblPr>
      <w:tblGrid>
        <w:gridCol w:w="2904"/>
        <w:gridCol w:w="6724"/>
      </w:tblGrid>
      <w:tr w:rsidR="00F16D18" w:rsidRPr="00F16D18" w14:paraId="153E7AB6" w14:textId="77777777" w:rsidTr="00F16D1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bookmarkEnd w:id="0"/>
          <w:p w14:paraId="399D3A1D" w14:textId="77777777" w:rsidR="00F16D18" w:rsidRPr="00F16D18" w:rsidRDefault="00F16D18" w:rsidP="00F16D18">
            <w:pPr>
              <w:rPr>
                <w:bCs/>
              </w:rPr>
            </w:pPr>
            <w:r w:rsidRPr="00F16D18">
              <w:rPr>
                <w:bCs/>
              </w:rPr>
              <w:t>Symptomology</w:t>
            </w:r>
          </w:p>
        </w:tc>
        <w:tc>
          <w:tcPr>
            <w:tcW w:w="0" w:type="auto"/>
          </w:tcPr>
          <w:p w14:paraId="5FCB4C64" w14:textId="77777777" w:rsidR="00F16D18" w:rsidRPr="00F16D18" w:rsidRDefault="00F16D18" w:rsidP="00F16D18">
            <w:pPr>
              <w:cnfStyle w:val="100000000000" w:firstRow="1" w:lastRow="0" w:firstColumn="0" w:lastColumn="0" w:oddVBand="0" w:evenVBand="0" w:oddHBand="0" w:evenHBand="0" w:firstRowFirstColumn="0" w:firstRowLastColumn="0" w:lastRowFirstColumn="0" w:lastRowLastColumn="0"/>
            </w:pPr>
            <w:r w:rsidRPr="00F16D18">
              <w:rPr>
                <w:bCs/>
              </w:rPr>
              <w:t>Recommended Testing</w:t>
            </w:r>
          </w:p>
        </w:tc>
      </w:tr>
      <w:tr w:rsidR="00F16D18" w:rsidRPr="00F16D18" w14:paraId="532FD712" w14:textId="77777777" w:rsidTr="00F16D18">
        <w:trPr>
          <w:trHeight w:val="2478"/>
        </w:trPr>
        <w:tc>
          <w:tcPr>
            <w:cnfStyle w:val="001000000000" w:firstRow="0" w:lastRow="0" w:firstColumn="1" w:lastColumn="0" w:oddVBand="0" w:evenVBand="0" w:oddHBand="0" w:evenHBand="0" w:firstRowFirstColumn="0" w:firstRowLastColumn="0" w:lastRowFirstColumn="0" w:lastRowLastColumn="0"/>
            <w:tcW w:w="0" w:type="auto"/>
          </w:tcPr>
          <w:p w14:paraId="18F65E8D" w14:textId="77777777" w:rsidR="00F16D18" w:rsidRPr="00F16D18" w:rsidRDefault="00F16D18" w:rsidP="00F16D18">
            <w:r w:rsidRPr="00F16D18">
              <w:lastRenderedPageBreak/>
              <w:t>Symptomatic patients</w:t>
            </w:r>
          </w:p>
          <w:p w14:paraId="3E96172C" w14:textId="77777777" w:rsidR="00F16D18" w:rsidRPr="00F16D18" w:rsidRDefault="00F16D18" w:rsidP="00F16D18"/>
        </w:tc>
        <w:tc>
          <w:tcPr>
            <w:tcW w:w="0" w:type="auto"/>
          </w:tcPr>
          <w:p w14:paraId="6EBEB8DE" w14:textId="5FCC1093" w:rsidR="00F16D18" w:rsidRPr="00F16D18" w:rsidRDefault="00F16D18" w:rsidP="00F16D18">
            <w:pPr>
              <w:cnfStyle w:val="000000000000" w:firstRow="0" w:lastRow="0" w:firstColumn="0" w:lastColumn="0" w:oddVBand="0" w:evenVBand="0" w:oddHBand="0" w:evenHBand="0" w:firstRowFirstColumn="0" w:firstRowLastColumn="0" w:lastRowFirstColumn="0" w:lastRowLastColumn="0"/>
            </w:pPr>
            <w:r w:rsidRPr="00F16D18">
              <w:rPr>
                <w:b/>
              </w:rPr>
              <w:t>RAT to inform clinical and public health management</w:t>
            </w:r>
            <w:r w:rsidRPr="00F16D18">
              <w:t xml:space="preserve"> </w:t>
            </w:r>
          </w:p>
          <w:p w14:paraId="5F43B00D" w14:textId="32A4B1FE" w:rsidR="00F16D18" w:rsidRPr="00F16D18" w:rsidRDefault="00F16D18" w:rsidP="00F16D18">
            <w:pPr>
              <w:cnfStyle w:val="000000000000" w:firstRow="0" w:lastRow="0" w:firstColumn="0" w:lastColumn="0" w:oddVBand="0" w:evenVBand="0" w:oddHBand="0" w:evenHBand="0" w:firstRowFirstColumn="0" w:firstRowLastColumn="0" w:lastRowFirstColumn="0" w:lastRowLastColumn="0"/>
            </w:pPr>
            <w:r w:rsidRPr="00F16D18">
              <w:t xml:space="preserve">If </w:t>
            </w:r>
            <w:r w:rsidRPr="00F16D18">
              <w:rPr>
                <w:b/>
              </w:rPr>
              <w:t>RAT</w:t>
            </w:r>
            <w:r w:rsidRPr="00F16D18">
              <w:t xml:space="preserve"> is negative, and COVID-19 symptoms persist, consider Infection prevention and control implications for placement as per local guidance. Repeat </w:t>
            </w:r>
            <w:r w:rsidRPr="00F16D18">
              <w:rPr>
                <w:b/>
              </w:rPr>
              <w:t>RAT</w:t>
            </w:r>
            <w:r w:rsidRPr="00F16D18">
              <w:t xml:space="preserve"> in 24 and 48 hours </w:t>
            </w:r>
          </w:p>
          <w:p w14:paraId="39F62E6C" w14:textId="734D27E6" w:rsidR="00F16D18" w:rsidRPr="00F16D18" w:rsidRDefault="00F16D18" w:rsidP="00F16D18">
            <w:pPr>
              <w:cnfStyle w:val="000000000000" w:firstRow="0" w:lastRow="0" w:firstColumn="0" w:lastColumn="0" w:oddVBand="0" w:evenVBand="0" w:oddHBand="0" w:evenHBand="0" w:firstRowFirstColumn="0" w:firstRowLastColumn="0" w:lastRowFirstColumn="0" w:lastRowLastColumn="0"/>
              <w:rPr>
                <w:b/>
                <w:bCs/>
              </w:rPr>
            </w:pPr>
            <w:r w:rsidRPr="00F16D18">
              <w:rPr>
                <w:b/>
              </w:rPr>
              <w:t>PCR</w:t>
            </w:r>
            <w:r w:rsidRPr="00F16D18">
              <w:t xml:space="preserve"> </w:t>
            </w:r>
            <w:r w:rsidRPr="00F16D18">
              <w:rPr>
                <w:b/>
              </w:rPr>
              <w:t>where a result can influence treatment options</w:t>
            </w:r>
            <w:r w:rsidRPr="00F16D18">
              <w:t xml:space="preserve"> </w:t>
            </w:r>
            <w:r w:rsidRPr="00F16D18">
              <w:rPr>
                <w:b/>
              </w:rPr>
              <w:t>for priority people</w:t>
            </w:r>
            <w:r w:rsidRPr="00F16D18">
              <w:rPr>
                <w:b/>
                <w:vertAlign w:val="superscript"/>
              </w:rPr>
              <w:t>1</w:t>
            </w:r>
            <w:r w:rsidRPr="00F16D18">
              <w:rPr>
                <w:b/>
              </w:rPr>
              <w:t xml:space="preserve"> and those at risk of severe illness from COVID-19(vulnerable)</w:t>
            </w:r>
            <w:r w:rsidRPr="00F16D18">
              <w:rPr>
                <w:b/>
                <w:vertAlign w:val="superscript"/>
              </w:rPr>
              <w:t>2</w:t>
            </w:r>
            <w:r w:rsidRPr="00F16D18">
              <w:rPr>
                <w:b/>
                <w:bCs/>
              </w:rPr>
              <w:t xml:space="preserve"> </w:t>
            </w:r>
          </w:p>
          <w:p w14:paraId="5504922C" w14:textId="72009F75" w:rsidR="00F16D18" w:rsidRPr="00F16D18" w:rsidRDefault="00F16D18" w:rsidP="00F16D18">
            <w:pPr>
              <w:cnfStyle w:val="000000000000" w:firstRow="0" w:lastRow="0" w:firstColumn="0" w:lastColumn="0" w:oddVBand="0" w:evenVBand="0" w:oddHBand="0" w:evenHBand="0" w:firstRowFirstColumn="0" w:firstRowLastColumn="0" w:lastRowFirstColumn="0" w:lastRowLastColumn="0"/>
              <w:rPr>
                <w:b/>
                <w:bCs/>
              </w:rPr>
            </w:pPr>
            <w:r w:rsidRPr="00F16D18">
              <w:rPr>
                <w:b/>
                <w:bCs/>
              </w:rPr>
              <w:t>Patient with history of exposure to a close contact or known case within the previous 5 days: PCR</w:t>
            </w:r>
          </w:p>
          <w:p w14:paraId="649F2596" w14:textId="1CF243EB" w:rsidR="00F16D18" w:rsidRPr="00F16D18" w:rsidRDefault="00F16D18" w:rsidP="00F16D18">
            <w:pPr>
              <w:cnfStyle w:val="000000000000" w:firstRow="0" w:lastRow="0" w:firstColumn="0" w:lastColumn="0" w:oddVBand="0" w:evenVBand="0" w:oddHBand="0" w:evenHBand="0" w:firstRowFirstColumn="0" w:firstRowLastColumn="0" w:lastRowFirstColumn="0" w:lastRowLastColumn="0"/>
              <w:rPr>
                <w:b/>
                <w:bCs/>
              </w:rPr>
            </w:pPr>
            <w:r w:rsidRPr="00F16D18">
              <w:rPr>
                <w:b/>
              </w:rPr>
              <w:t xml:space="preserve">(Consideration should be given of the clinical risk to other patients, including adherence to local IPC measures). </w:t>
            </w:r>
          </w:p>
          <w:p w14:paraId="4871DCC9" w14:textId="77777777" w:rsidR="00F16D18" w:rsidRPr="00F16D18" w:rsidRDefault="00F16D18" w:rsidP="00F16D18">
            <w:pPr>
              <w:cnfStyle w:val="000000000000" w:firstRow="0" w:lastRow="0" w:firstColumn="0" w:lastColumn="0" w:oddVBand="0" w:evenVBand="0" w:oddHBand="0" w:evenHBand="0" w:firstRowFirstColumn="0" w:firstRowLastColumn="0" w:lastRowFirstColumn="0" w:lastRowLastColumn="0"/>
            </w:pPr>
            <w:r w:rsidRPr="00F16D18">
              <w:t>(</w:t>
            </w:r>
            <w:proofErr w:type="gramStart"/>
            <w:r w:rsidRPr="00F16D18">
              <w:t>for</w:t>
            </w:r>
            <w:proofErr w:type="gramEnd"/>
            <w:r w:rsidRPr="00F16D18">
              <w:t xml:space="preserve"> all hospitalised positive </w:t>
            </w:r>
            <w:r w:rsidRPr="00F16D18">
              <w:rPr>
                <w:b/>
              </w:rPr>
              <w:t>PCR</w:t>
            </w:r>
            <w:r w:rsidRPr="00F16D18">
              <w:t xml:space="preserve"> cases, refer samples for WGS)</w:t>
            </w:r>
          </w:p>
        </w:tc>
      </w:tr>
      <w:tr w:rsidR="00F16D18" w:rsidRPr="00F16D18" w14:paraId="7362EEA9" w14:textId="77777777" w:rsidTr="00F16D18">
        <w:trPr>
          <w:trHeight w:val="1080"/>
        </w:trPr>
        <w:tc>
          <w:tcPr>
            <w:cnfStyle w:val="001000000000" w:firstRow="0" w:lastRow="0" w:firstColumn="1" w:lastColumn="0" w:oddVBand="0" w:evenVBand="0" w:oddHBand="0" w:evenHBand="0" w:firstRowFirstColumn="0" w:firstRowLastColumn="0" w:lastRowFirstColumn="0" w:lastRowLastColumn="0"/>
            <w:tcW w:w="0" w:type="auto"/>
          </w:tcPr>
          <w:p w14:paraId="6D5AB563" w14:textId="77777777" w:rsidR="00F16D18" w:rsidRPr="00F16D18" w:rsidRDefault="00F16D18" w:rsidP="00F16D18">
            <w:r w:rsidRPr="00F16D18">
              <w:t>Asymptomatic patients with known household exposure to COVID-19</w:t>
            </w:r>
          </w:p>
        </w:tc>
        <w:tc>
          <w:tcPr>
            <w:tcW w:w="0" w:type="auto"/>
          </w:tcPr>
          <w:p w14:paraId="4BED8DBA" w14:textId="77777777" w:rsidR="00F16D18" w:rsidRPr="00F16D18" w:rsidRDefault="00F16D18" w:rsidP="00F16D18">
            <w:pPr>
              <w:cnfStyle w:val="000000000000" w:firstRow="0" w:lastRow="0" w:firstColumn="0" w:lastColumn="0" w:oddVBand="0" w:evenVBand="0" w:oddHBand="0" w:evenHBand="0" w:firstRowFirstColumn="0" w:firstRowLastColumn="0" w:lastRowFirstColumn="0" w:lastRowLastColumn="0"/>
            </w:pPr>
            <w:r w:rsidRPr="00F16D18">
              <w:t>All household contacts of known COVID-19 cases are recommended to test daily for five days from the day when the first case in the household tested positive or developed symptoms (whichever is earliest). However, asymptomatic patients should not be discouraged from attending appointments or admission into hospital. Under these circumstances, measures including adherence to Public Health, IPC practices and vaccination and hybrid immunity are considered as proportional responses.</w:t>
            </w:r>
          </w:p>
        </w:tc>
      </w:tr>
      <w:tr w:rsidR="00F16D18" w:rsidRPr="00F16D18" w14:paraId="78215582" w14:textId="77777777" w:rsidTr="00F16D18">
        <w:trPr>
          <w:trHeight w:val="405"/>
        </w:trPr>
        <w:tc>
          <w:tcPr>
            <w:cnfStyle w:val="001000000000" w:firstRow="0" w:lastRow="0" w:firstColumn="1" w:lastColumn="0" w:oddVBand="0" w:evenVBand="0" w:oddHBand="0" w:evenHBand="0" w:firstRowFirstColumn="0" w:firstRowLastColumn="0" w:lastRowFirstColumn="0" w:lastRowLastColumn="0"/>
            <w:tcW w:w="0" w:type="auto"/>
          </w:tcPr>
          <w:p w14:paraId="356ABE49" w14:textId="77777777" w:rsidR="00F16D18" w:rsidRPr="00F16D18" w:rsidRDefault="00F16D18" w:rsidP="00F16D18">
            <w:r w:rsidRPr="00F16D18">
              <w:t>Symptomatic staff</w:t>
            </w:r>
          </w:p>
        </w:tc>
        <w:tc>
          <w:tcPr>
            <w:tcW w:w="0" w:type="auto"/>
          </w:tcPr>
          <w:p w14:paraId="5B12B7C8" w14:textId="77777777" w:rsidR="00F16D18" w:rsidRPr="00F16D18" w:rsidRDefault="00F16D18" w:rsidP="00F16D18">
            <w:pPr>
              <w:cnfStyle w:val="000000000000" w:firstRow="0" w:lastRow="0" w:firstColumn="0" w:lastColumn="0" w:oddVBand="0" w:evenVBand="0" w:oddHBand="0" w:evenHBand="0" w:firstRowFirstColumn="0" w:firstRowLastColumn="0" w:lastRowFirstColumn="0" w:lastRowLastColumn="0"/>
              <w:rPr>
                <w:b/>
              </w:rPr>
            </w:pPr>
            <w:r w:rsidRPr="00F16D18">
              <w:t xml:space="preserve">As per </w:t>
            </w:r>
            <w:hyperlink r:id="rId16" w:anchor="guidance-for-return-to-work-for-healthcare-workers">
              <w:r w:rsidRPr="00F16D18">
                <w:rPr>
                  <w:rStyle w:val="Hyperlink"/>
                </w:rPr>
                <w:t>Healt</w:t>
              </w:r>
              <w:r w:rsidRPr="00F16D18">
                <w:rPr>
                  <w:rStyle w:val="Hyperlink"/>
                </w:rPr>
                <w:t>h</w:t>
              </w:r>
              <w:r w:rsidRPr="00F16D18">
                <w:rPr>
                  <w:rStyle w:val="Hyperlink"/>
                </w:rPr>
                <w:t>care Worker guidance</w:t>
              </w:r>
            </w:hyperlink>
            <w:r w:rsidRPr="00F16D18">
              <w:t xml:space="preserve"> or local protocols</w:t>
            </w:r>
          </w:p>
        </w:tc>
      </w:tr>
      <w:tr w:rsidR="00F16D18" w:rsidRPr="00F16D18" w14:paraId="67F45CA5" w14:textId="77777777" w:rsidTr="00F16D18">
        <w:trPr>
          <w:trHeight w:val="697"/>
        </w:trPr>
        <w:tc>
          <w:tcPr>
            <w:cnfStyle w:val="001000000000" w:firstRow="0" w:lastRow="0" w:firstColumn="1" w:lastColumn="0" w:oddVBand="0" w:evenVBand="0" w:oddHBand="0" w:evenHBand="0" w:firstRowFirstColumn="0" w:firstRowLastColumn="0" w:lastRowFirstColumn="0" w:lastRowLastColumn="0"/>
            <w:tcW w:w="0" w:type="auto"/>
          </w:tcPr>
          <w:p w14:paraId="31DA64F9" w14:textId="77777777" w:rsidR="00F16D18" w:rsidRPr="00F16D18" w:rsidRDefault="00F16D18" w:rsidP="00F16D18">
            <w:r w:rsidRPr="00F16D18">
              <w:t>Asymptomatic staff with known household exposure to COVID-19</w:t>
            </w:r>
          </w:p>
        </w:tc>
        <w:tc>
          <w:tcPr>
            <w:tcW w:w="0" w:type="auto"/>
          </w:tcPr>
          <w:p w14:paraId="22606AF7" w14:textId="77777777" w:rsidR="00F16D18" w:rsidRPr="00F16D18" w:rsidRDefault="00F16D18" w:rsidP="00F16D18">
            <w:pPr>
              <w:cnfStyle w:val="000000000000" w:firstRow="0" w:lastRow="0" w:firstColumn="0" w:lastColumn="0" w:oddVBand="0" w:evenVBand="0" w:oddHBand="0" w:evenHBand="0" w:firstRowFirstColumn="0" w:firstRowLastColumn="0" w:lastRowFirstColumn="0" w:lastRowLastColumn="0"/>
            </w:pPr>
            <w:r w:rsidRPr="00F16D18">
              <w:t>All household contacts of known COVID-19 cases are recommended to test daily for five days from the day when the first case in the household tested positive or developed symptoms (whichever is earliest).</w:t>
            </w:r>
          </w:p>
        </w:tc>
      </w:tr>
      <w:tr w:rsidR="00F16D18" w:rsidRPr="00F16D18" w14:paraId="106F75D2" w14:textId="77777777" w:rsidTr="00F16D18">
        <w:trPr>
          <w:trHeight w:val="1455"/>
        </w:trPr>
        <w:tc>
          <w:tcPr>
            <w:cnfStyle w:val="001000000000" w:firstRow="0" w:lastRow="0" w:firstColumn="1" w:lastColumn="0" w:oddVBand="0" w:evenVBand="0" w:oddHBand="0" w:evenHBand="0" w:firstRowFirstColumn="0" w:firstRowLastColumn="0" w:lastRowFirstColumn="0" w:lastRowLastColumn="0"/>
            <w:tcW w:w="0" w:type="auto"/>
          </w:tcPr>
          <w:p w14:paraId="24931AC2" w14:textId="77777777" w:rsidR="00F16D18" w:rsidRPr="00F16D18" w:rsidRDefault="00F16D18" w:rsidP="00F16D18">
            <w:r w:rsidRPr="00F16D18">
              <w:t>Asymptomatic testing of</w:t>
            </w:r>
          </w:p>
          <w:p w14:paraId="3A763EC5" w14:textId="77777777" w:rsidR="00F16D18" w:rsidRPr="00F16D18" w:rsidRDefault="00F16D18" w:rsidP="00F16D18">
            <w:r w:rsidRPr="00F16D18">
              <w:t>Staff to work</w:t>
            </w:r>
          </w:p>
        </w:tc>
        <w:tc>
          <w:tcPr>
            <w:tcW w:w="0" w:type="auto"/>
          </w:tcPr>
          <w:p w14:paraId="6552F18B" w14:textId="77777777" w:rsidR="00F16D18" w:rsidRPr="00F16D18" w:rsidRDefault="00F16D18" w:rsidP="00F16D18">
            <w:pPr>
              <w:cnfStyle w:val="000000000000" w:firstRow="0" w:lastRow="0" w:firstColumn="0" w:lastColumn="0" w:oddVBand="0" w:evenVBand="0" w:oddHBand="0" w:evenHBand="0" w:firstRowFirstColumn="0" w:firstRowLastColumn="0" w:lastRowFirstColumn="0" w:lastRowLastColumn="0"/>
            </w:pPr>
            <w:r w:rsidRPr="00F16D18">
              <w:t>Generally, asymptomatic testing of healthcare workers is not recommended if they are using risk assessment tools and applying systematic IPC measures which significantly reduce the risk of workplace exposure.</w:t>
            </w:r>
          </w:p>
          <w:p w14:paraId="3A094381" w14:textId="77777777" w:rsidR="00F16D18" w:rsidRPr="00F16D18" w:rsidRDefault="00F16D18" w:rsidP="00F16D18">
            <w:pPr>
              <w:cnfStyle w:val="000000000000" w:firstRow="0" w:lastRow="0" w:firstColumn="0" w:lastColumn="0" w:oddVBand="0" w:evenVBand="0" w:oddHBand="0" w:evenHBand="0" w:firstRowFirstColumn="0" w:firstRowLastColumn="0" w:lastRowFirstColumn="0" w:lastRowLastColumn="0"/>
            </w:pPr>
            <w:r w:rsidRPr="00F16D18">
              <w:lastRenderedPageBreak/>
              <w:t>If the healthcare workforce is significantly affected by COVID-19, service providers may undertake their own risk assessments to ensure safety of patients and the workforce.</w:t>
            </w:r>
          </w:p>
        </w:tc>
      </w:tr>
      <w:tr w:rsidR="00F16D18" w:rsidRPr="00F16D18" w14:paraId="30F90D21" w14:textId="77777777" w:rsidTr="00F16D18">
        <w:trPr>
          <w:trHeight w:val="719"/>
        </w:trPr>
        <w:tc>
          <w:tcPr>
            <w:cnfStyle w:val="001000000000" w:firstRow="0" w:lastRow="0" w:firstColumn="1" w:lastColumn="0" w:oddVBand="0" w:evenVBand="0" w:oddHBand="0" w:evenHBand="0" w:firstRowFirstColumn="0" w:firstRowLastColumn="0" w:lastRowFirstColumn="0" w:lastRowLastColumn="0"/>
            <w:tcW w:w="0" w:type="auto"/>
          </w:tcPr>
          <w:p w14:paraId="1F07B77B" w14:textId="77777777" w:rsidR="00F16D18" w:rsidRPr="00F16D18" w:rsidRDefault="00F16D18" w:rsidP="00F16D18">
            <w:r w:rsidRPr="00F16D18">
              <w:lastRenderedPageBreak/>
              <w:t>Symptomatic visitors</w:t>
            </w:r>
          </w:p>
        </w:tc>
        <w:tc>
          <w:tcPr>
            <w:tcW w:w="0" w:type="auto"/>
          </w:tcPr>
          <w:p w14:paraId="0616BA63" w14:textId="315EDB25" w:rsidR="00F16D18" w:rsidRPr="00F16D18" w:rsidRDefault="00153B74" w:rsidP="00F16D18">
            <w:pPr>
              <w:cnfStyle w:val="000000000000" w:firstRow="0" w:lastRow="0" w:firstColumn="0" w:lastColumn="0" w:oddVBand="0" w:evenVBand="0" w:oddHBand="0" w:evenHBand="0" w:firstRowFirstColumn="0" w:firstRowLastColumn="0" w:lastRowFirstColumn="0" w:lastRowLastColumn="0"/>
            </w:pPr>
            <w:r w:rsidRPr="00153B74">
              <w:t>Recommended not to visit healthcare facilities if they have respiratory or COVID-19-compatible symptoms.</w:t>
            </w:r>
          </w:p>
        </w:tc>
      </w:tr>
      <w:tr w:rsidR="00F16D18" w:rsidRPr="00F16D18" w14:paraId="5CAE3614" w14:textId="77777777" w:rsidTr="00F16D18">
        <w:trPr>
          <w:trHeight w:val="306"/>
        </w:trPr>
        <w:tc>
          <w:tcPr>
            <w:cnfStyle w:val="001000000000" w:firstRow="0" w:lastRow="0" w:firstColumn="1" w:lastColumn="0" w:oddVBand="0" w:evenVBand="0" w:oddHBand="0" w:evenHBand="0" w:firstRowFirstColumn="0" w:firstRowLastColumn="0" w:lastRowFirstColumn="0" w:lastRowLastColumn="0"/>
            <w:tcW w:w="0" w:type="auto"/>
          </w:tcPr>
          <w:p w14:paraId="5D79886C" w14:textId="77777777" w:rsidR="00F16D18" w:rsidRPr="00F16D18" w:rsidRDefault="00F16D18" w:rsidP="00F16D18">
            <w:r w:rsidRPr="00F16D18">
              <w:t>Asymptomatic testing of visitors</w:t>
            </w:r>
          </w:p>
        </w:tc>
        <w:tc>
          <w:tcPr>
            <w:tcW w:w="0" w:type="auto"/>
          </w:tcPr>
          <w:p w14:paraId="1A73847C" w14:textId="77777777" w:rsidR="00F16D18" w:rsidRPr="00F16D18" w:rsidRDefault="00F16D18" w:rsidP="00F16D18">
            <w:pPr>
              <w:cnfStyle w:val="000000000000" w:firstRow="0" w:lastRow="0" w:firstColumn="0" w:lastColumn="0" w:oddVBand="0" w:evenVBand="0" w:oddHBand="0" w:evenHBand="0" w:firstRowFirstColumn="0" w:firstRowLastColumn="0" w:lastRowFirstColumn="0" w:lastRowLastColumn="0"/>
            </w:pPr>
            <w:r w:rsidRPr="00F16D18">
              <w:t>Asymptomatic testing is generally not recommended</w:t>
            </w:r>
          </w:p>
        </w:tc>
      </w:tr>
    </w:tbl>
    <w:p w14:paraId="504BD1C0" w14:textId="77777777" w:rsidR="00F16D18" w:rsidRPr="00F16D18" w:rsidRDefault="00F16D18" w:rsidP="00F16D18">
      <w:r w:rsidRPr="00F16D18">
        <w:rPr>
          <w:b/>
          <w:bCs/>
        </w:rPr>
        <w:t>Priority people</w:t>
      </w:r>
      <w:r w:rsidRPr="00F16D18">
        <w:rPr>
          <w:b/>
          <w:bCs/>
          <w:vertAlign w:val="superscript"/>
        </w:rPr>
        <w:t>1</w:t>
      </w:r>
      <w:r w:rsidRPr="00F16D18">
        <w:rPr>
          <w:i/>
          <w:iCs/>
        </w:rPr>
        <w:t xml:space="preserve"> </w:t>
      </w:r>
      <w:r w:rsidRPr="00F16D18">
        <w:t xml:space="preserve">are defined as those who are inequitably impacted by COVID-19. People in this group </w:t>
      </w:r>
      <w:proofErr w:type="gramStart"/>
      <w:r w:rsidRPr="00F16D18">
        <w:t>include:</w:t>
      </w:r>
      <w:proofErr w:type="gramEnd"/>
      <w:r w:rsidRPr="00F16D18">
        <w:t xml:space="preserve"> Māori, Pacific People, Elderly (65 years and over), Disabled people (including </w:t>
      </w:r>
      <w:proofErr w:type="spellStart"/>
      <w:r w:rsidRPr="00F16D18">
        <w:t>tāngata</w:t>
      </w:r>
      <w:proofErr w:type="spellEnd"/>
      <w:r w:rsidRPr="00F16D18">
        <w:t xml:space="preserve"> </w:t>
      </w:r>
      <w:proofErr w:type="spellStart"/>
      <w:r w:rsidRPr="00F16D18">
        <w:t>whaikaha</w:t>
      </w:r>
      <w:proofErr w:type="spellEnd"/>
      <w:r w:rsidRPr="00F16D18">
        <w:t xml:space="preserve"> Māori and Pacific disabled people), People with severe mental health and addiction, other inequitably impacted populations including refugee and asylum seekers, remote and rural people, rough sleepers and those in transitional housing, and </w:t>
      </w:r>
      <w:r w:rsidRPr="00F16D18">
        <w:rPr>
          <w:lang w:val="en-US"/>
        </w:rPr>
        <w:t>those not enrolled in primary practices.</w:t>
      </w:r>
      <w:r w:rsidRPr="00F16D18">
        <w:t xml:space="preserve"> </w:t>
      </w:r>
    </w:p>
    <w:p w14:paraId="5BA23BED" w14:textId="77777777" w:rsidR="00F16D18" w:rsidRPr="00F16D18" w:rsidRDefault="00F16D18" w:rsidP="00F16D18">
      <w:r w:rsidRPr="00F16D18">
        <w:t>The following group are those at higher risk of severe illness from COVID-19</w:t>
      </w:r>
      <w:r w:rsidRPr="00F16D18">
        <w:rPr>
          <w:b/>
        </w:rPr>
        <w:t xml:space="preserve"> (vulnerable people)</w:t>
      </w:r>
      <w:r w:rsidRPr="00F16D18">
        <w:rPr>
          <w:b/>
          <w:vertAlign w:val="superscript"/>
        </w:rPr>
        <w:t>2</w:t>
      </w:r>
      <w:r w:rsidRPr="00F16D18">
        <w:rPr>
          <w:b/>
        </w:rPr>
        <w:t>:</w:t>
      </w:r>
      <w:r w:rsidRPr="00F16D18">
        <w:t xml:space="preserve"> people with high-risk medical conditions (long-term health conditions and/or immunocompromised) are </w:t>
      </w:r>
      <w:hyperlink r:id="rId17">
        <w:r w:rsidRPr="00F16D18">
          <w:rPr>
            <w:rStyle w:val="Hyperlink"/>
          </w:rPr>
          <w:t>inequitably impacted due to increased susceptibility to COVID-19 infection and/or complications</w:t>
        </w:r>
      </w:hyperlink>
      <w:r w:rsidRPr="00F16D18">
        <w:t>, Pregnant people</w:t>
      </w:r>
      <w:r w:rsidRPr="00F16D18">
        <w:rPr>
          <w:b/>
        </w:rPr>
        <w:t xml:space="preserve"> (</w:t>
      </w:r>
      <w:r w:rsidRPr="00F16D18">
        <w:rPr>
          <w:lang w:val="en-US"/>
        </w:rPr>
        <w:t xml:space="preserve">Note </w:t>
      </w:r>
      <w:r w:rsidRPr="00F16D18">
        <w:t xml:space="preserve">this group includes Māori, Pacific people and the elderly over 65).  </w:t>
      </w:r>
    </w:p>
    <w:p w14:paraId="1AB88E15" w14:textId="77777777" w:rsidR="00F16D18" w:rsidRPr="00E52968" w:rsidRDefault="00F16D18" w:rsidP="00F16D18"/>
    <w:sectPr w:rsidR="00F16D18" w:rsidRPr="00E52968" w:rsidSect="00FF2B47">
      <w:footerReference w:type="default" r:id="rId18"/>
      <w:pgSz w:w="11906" w:h="16838" w:code="9"/>
      <w:pgMar w:top="1134" w:right="1134" w:bottom="1134" w:left="1134" w:header="130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C4A1E" w14:textId="77777777" w:rsidR="006F7135" w:rsidRDefault="006F7135" w:rsidP="00817A32">
      <w:pPr>
        <w:spacing w:before="0" w:after="0" w:line="240" w:lineRule="auto"/>
      </w:pPr>
      <w:r>
        <w:separator/>
      </w:r>
    </w:p>
  </w:endnote>
  <w:endnote w:type="continuationSeparator" w:id="0">
    <w:p w14:paraId="2EE67486" w14:textId="77777777" w:rsidR="006F7135" w:rsidRDefault="006F7135" w:rsidP="00817A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075C" w14:textId="47F4CE95" w:rsidR="00222274" w:rsidRPr="00630DE1" w:rsidRDefault="00E81E38" w:rsidP="00222274">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 xml:space="preserve">Updated August </w:t>
    </w:r>
    <w:r w:rsidR="00230D2A">
      <w:rPr>
        <w:rFonts w:ascii="Arial" w:eastAsia="Calibri" w:hAnsi="Arial" w:cs="Arial"/>
        <w:noProof/>
        <w:szCs w:val="24"/>
      </w:rPr>
      <w:t>2023</w:t>
    </w:r>
    <w:r w:rsidR="00222274" w:rsidRPr="00222274">
      <w:rPr>
        <w:rFonts w:ascii="Arial" w:eastAsia="Calibri" w:hAnsi="Arial" w:cs="Arial"/>
        <w:noProof/>
        <w:szCs w:val="24"/>
      </w:rPr>
      <w:tab/>
    </w:r>
    <w:r w:rsidR="00630DE1" w:rsidRPr="00630DE1">
      <w:rPr>
        <w:rFonts w:ascii="Arial" w:eastAsia="Calibri" w:hAnsi="Arial" w:cs="Arial"/>
        <w:noProof/>
        <w:szCs w:val="24"/>
      </w:rPr>
      <w:fldChar w:fldCharType="begin"/>
    </w:r>
    <w:r w:rsidR="00630DE1" w:rsidRPr="00630DE1">
      <w:rPr>
        <w:rFonts w:ascii="Arial" w:eastAsia="Calibri" w:hAnsi="Arial" w:cs="Arial"/>
        <w:noProof/>
        <w:szCs w:val="24"/>
      </w:rPr>
      <w:instrText xml:space="preserve"> PAGE   \* MERGEFORMAT </w:instrText>
    </w:r>
    <w:r w:rsidR="00630DE1" w:rsidRPr="00630DE1">
      <w:rPr>
        <w:rFonts w:ascii="Arial" w:eastAsia="Calibri" w:hAnsi="Arial" w:cs="Arial"/>
        <w:noProof/>
        <w:szCs w:val="24"/>
      </w:rPr>
      <w:fldChar w:fldCharType="separate"/>
    </w:r>
    <w:r w:rsidR="00630DE1" w:rsidRPr="00630DE1">
      <w:rPr>
        <w:rFonts w:ascii="Arial" w:eastAsia="Calibri" w:hAnsi="Arial" w:cs="Arial"/>
        <w:noProof/>
        <w:szCs w:val="24"/>
      </w:rPr>
      <w:t>1</w:t>
    </w:r>
    <w:r w:rsidR="00630DE1" w:rsidRPr="00630DE1">
      <w:rPr>
        <w:rFonts w:ascii="Arial" w:eastAsia="Calibri" w:hAnsi="Arial"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9C489" w14:textId="77777777" w:rsidR="006F7135" w:rsidRDefault="006F7135" w:rsidP="00817A32">
      <w:pPr>
        <w:spacing w:before="0" w:after="0" w:line="240" w:lineRule="auto"/>
      </w:pPr>
    </w:p>
  </w:footnote>
  <w:footnote w:type="continuationSeparator" w:id="0">
    <w:p w14:paraId="50C1FD5C" w14:textId="77777777" w:rsidR="006F7135" w:rsidRDefault="006F7135" w:rsidP="00817A32">
      <w:pPr>
        <w:spacing w:before="0" w:after="0" w:line="240" w:lineRule="auto"/>
      </w:pPr>
      <w:r>
        <w:continuationSeparator/>
      </w:r>
    </w:p>
  </w:footnote>
  <w:footnote w:id="1">
    <w:p w14:paraId="24A572EE" w14:textId="60276879" w:rsidR="00F16D18" w:rsidRDefault="00F16D18" w:rsidP="00F16D18">
      <w:pPr>
        <w:pStyle w:val="FootnoteText"/>
      </w:pPr>
      <w:r>
        <w:rPr>
          <w:rStyle w:val="FootnoteReference"/>
        </w:rPr>
        <w:footnoteRef/>
      </w:r>
      <w:r>
        <w:t xml:space="preserve"> </w:t>
      </w:r>
      <w:r w:rsidRPr="00F16D18">
        <w:rPr>
          <w:vertAlign w:val="superscript"/>
          <w:lang w:val="mi-NZ"/>
        </w:rPr>
        <w:t>’</w:t>
      </w:r>
      <w:r w:rsidRPr="00F16D18">
        <w:t>Rural’ is defined according to the </w:t>
      </w:r>
      <w:hyperlink r:id="rId1" w:tgtFrame="_blank" w:history="1">
        <w:r w:rsidRPr="00F16D18">
          <w:rPr>
            <w:rStyle w:val="Hyperlink"/>
          </w:rPr>
          <w:t>Geographic Classification of Healthcare</w:t>
        </w:r>
      </w:hyperlink>
      <w:r w:rsidRPr="00F16D18">
        <w:t>, based on the location of the patients home address, in defined regions R2 and R3.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198475A"/>
    <w:lvl w:ilvl="0">
      <w:start w:val="1"/>
      <w:numFmt w:val="lowerLetter"/>
      <w:pStyle w:val="ListNumber2"/>
      <w:lvlText w:val="%1)"/>
      <w:lvlJc w:val="left"/>
      <w:pPr>
        <w:ind w:left="644" w:hanging="360"/>
      </w:pPr>
    </w:lvl>
  </w:abstractNum>
  <w:abstractNum w:abstractNumId="1" w15:restartNumberingAfterBreak="0">
    <w:nsid w:val="FFFFFF82"/>
    <w:multiLevelType w:val="singleLevel"/>
    <w:tmpl w:val="03AE942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4CE09C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0529B14"/>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DE7CC03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8ABF3B"/>
    <w:multiLevelType w:val="hybridMultilevel"/>
    <w:tmpl w:val="F11C5E72"/>
    <w:lvl w:ilvl="0" w:tplc="C722D9C0">
      <w:start w:val="1"/>
      <w:numFmt w:val="bullet"/>
      <w:lvlText w:val=""/>
      <w:lvlJc w:val="left"/>
      <w:pPr>
        <w:ind w:left="780" w:hanging="360"/>
      </w:pPr>
      <w:rPr>
        <w:rFonts w:ascii="Symbol" w:hAnsi="Symbol" w:hint="default"/>
      </w:rPr>
    </w:lvl>
    <w:lvl w:ilvl="1" w:tplc="1C52D9D0">
      <w:start w:val="1"/>
      <w:numFmt w:val="bullet"/>
      <w:lvlText w:val="o"/>
      <w:lvlJc w:val="left"/>
      <w:pPr>
        <w:ind w:left="1440" w:hanging="360"/>
      </w:pPr>
      <w:rPr>
        <w:rFonts w:ascii="Courier New" w:hAnsi="Courier New" w:hint="default"/>
      </w:rPr>
    </w:lvl>
    <w:lvl w:ilvl="2" w:tplc="93E430A8">
      <w:start w:val="1"/>
      <w:numFmt w:val="bullet"/>
      <w:lvlText w:val=""/>
      <w:lvlJc w:val="left"/>
      <w:pPr>
        <w:ind w:left="2160" w:hanging="360"/>
      </w:pPr>
      <w:rPr>
        <w:rFonts w:ascii="Wingdings" w:hAnsi="Wingdings" w:hint="default"/>
      </w:rPr>
    </w:lvl>
    <w:lvl w:ilvl="3" w:tplc="12CC6296">
      <w:start w:val="1"/>
      <w:numFmt w:val="bullet"/>
      <w:lvlText w:val=""/>
      <w:lvlJc w:val="left"/>
      <w:pPr>
        <w:ind w:left="2880" w:hanging="360"/>
      </w:pPr>
      <w:rPr>
        <w:rFonts w:ascii="Symbol" w:hAnsi="Symbol" w:hint="default"/>
      </w:rPr>
    </w:lvl>
    <w:lvl w:ilvl="4" w:tplc="82DE20FA">
      <w:start w:val="1"/>
      <w:numFmt w:val="bullet"/>
      <w:lvlText w:val="o"/>
      <w:lvlJc w:val="left"/>
      <w:pPr>
        <w:ind w:left="3600" w:hanging="360"/>
      </w:pPr>
      <w:rPr>
        <w:rFonts w:ascii="Courier New" w:hAnsi="Courier New" w:hint="default"/>
      </w:rPr>
    </w:lvl>
    <w:lvl w:ilvl="5" w:tplc="5CF45C18">
      <w:start w:val="1"/>
      <w:numFmt w:val="bullet"/>
      <w:lvlText w:val=""/>
      <w:lvlJc w:val="left"/>
      <w:pPr>
        <w:ind w:left="4320" w:hanging="360"/>
      </w:pPr>
      <w:rPr>
        <w:rFonts w:ascii="Wingdings" w:hAnsi="Wingdings" w:hint="default"/>
      </w:rPr>
    </w:lvl>
    <w:lvl w:ilvl="6" w:tplc="8C88D9A6">
      <w:start w:val="1"/>
      <w:numFmt w:val="bullet"/>
      <w:lvlText w:val=""/>
      <w:lvlJc w:val="left"/>
      <w:pPr>
        <w:ind w:left="5040" w:hanging="360"/>
      </w:pPr>
      <w:rPr>
        <w:rFonts w:ascii="Symbol" w:hAnsi="Symbol" w:hint="default"/>
      </w:rPr>
    </w:lvl>
    <w:lvl w:ilvl="7" w:tplc="38826694">
      <w:start w:val="1"/>
      <w:numFmt w:val="bullet"/>
      <w:lvlText w:val="o"/>
      <w:lvlJc w:val="left"/>
      <w:pPr>
        <w:ind w:left="5760" w:hanging="360"/>
      </w:pPr>
      <w:rPr>
        <w:rFonts w:ascii="Courier New" w:hAnsi="Courier New" w:hint="default"/>
      </w:rPr>
    </w:lvl>
    <w:lvl w:ilvl="8" w:tplc="D50CCEFA">
      <w:start w:val="1"/>
      <w:numFmt w:val="bullet"/>
      <w:lvlText w:val=""/>
      <w:lvlJc w:val="left"/>
      <w:pPr>
        <w:ind w:left="6480" w:hanging="360"/>
      </w:pPr>
      <w:rPr>
        <w:rFonts w:ascii="Wingdings" w:hAnsi="Wingdings" w:hint="default"/>
      </w:rPr>
    </w:lvl>
  </w:abstractNum>
  <w:abstractNum w:abstractNumId="6" w15:restartNumberingAfterBreak="0">
    <w:nsid w:val="00D05531"/>
    <w:multiLevelType w:val="hybridMultilevel"/>
    <w:tmpl w:val="F72032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1C43E5"/>
    <w:multiLevelType w:val="hybridMultilevel"/>
    <w:tmpl w:val="F40C09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41F1B1F"/>
    <w:multiLevelType w:val="hybridMultilevel"/>
    <w:tmpl w:val="66BCA292"/>
    <w:lvl w:ilvl="0" w:tplc="A5A675D0">
      <w:start w:val="1"/>
      <w:numFmt w:val="bullet"/>
      <w:pStyle w:val="Box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9" w15:restartNumberingAfterBreak="0">
    <w:nsid w:val="157B4040"/>
    <w:multiLevelType w:val="multilevel"/>
    <w:tmpl w:val="2C5E7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8070BC"/>
    <w:multiLevelType w:val="hybridMultilevel"/>
    <w:tmpl w:val="57F481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CB05372"/>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A95897"/>
    <w:multiLevelType w:val="multilevel"/>
    <w:tmpl w:val="7E784D5A"/>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20" w:hanging="360"/>
      </w:pPr>
      <w:rPr>
        <w:rFonts w:hint="default"/>
      </w:rPr>
    </w:lvl>
    <w:lvl w:ilvl="2">
      <w:start w:val="1"/>
      <w:numFmt w:val="decimal"/>
      <w:pStyle w:val="Numbered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77F485B"/>
    <w:multiLevelType w:val="hybridMultilevel"/>
    <w:tmpl w:val="2EAA8E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9010BBD"/>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F704A4"/>
    <w:multiLevelType w:val="hybridMultilevel"/>
    <w:tmpl w:val="CA84AA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8325B96"/>
    <w:multiLevelType w:val="hybridMultilevel"/>
    <w:tmpl w:val="8592B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97A16CB"/>
    <w:multiLevelType w:val="hybridMultilevel"/>
    <w:tmpl w:val="35068F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A4206E6"/>
    <w:multiLevelType w:val="multilevel"/>
    <w:tmpl w:val="300471E6"/>
    <w:lvl w:ilvl="0">
      <w:start w:val="1"/>
      <w:numFmt w:val="bullet"/>
      <w:lvlText w:val=""/>
      <w:lvlJc w:val="left"/>
      <w:pPr>
        <w:tabs>
          <w:tab w:val="num" w:pos="720"/>
        </w:tabs>
        <w:ind w:left="397" w:hanging="227"/>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DA1C9C"/>
    <w:multiLevelType w:val="multilevel"/>
    <w:tmpl w:val="DFCE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1F17C2"/>
    <w:multiLevelType w:val="multilevel"/>
    <w:tmpl w:val="3B2A1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CE6659"/>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934F17"/>
    <w:multiLevelType w:val="hybridMultilevel"/>
    <w:tmpl w:val="CC0C9B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CB25D67"/>
    <w:multiLevelType w:val="hybridMultilevel"/>
    <w:tmpl w:val="F69418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E51083B"/>
    <w:multiLevelType w:val="hybridMultilevel"/>
    <w:tmpl w:val="BBB6B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E5E136E"/>
    <w:multiLevelType w:val="hybridMultilevel"/>
    <w:tmpl w:val="364082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0557831"/>
    <w:multiLevelType w:val="multilevel"/>
    <w:tmpl w:val="300471E6"/>
    <w:lvl w:ilvl="0">
      <w:start w:val="1"/>
      <w:numFmt w:val="bullet"/>
      <w:lvlText w:val=""/>
      <w:lvlJc w:val="left"/>
      <w:pPr>
        <w:tabs>
          <w:tab w:val="num" w:pos="720"/>
        </w:tabs>
        <w:ind w:left="397" w:hanging="227"/>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EC52CF"/>
    <w:multiLevelType w:val="hybridMultilevel"/>
    <w:tmpl w:val="45A2BE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3C42162"/>
    <w:multiLevelType w:val="multilevel"/>
    <w:tmpl w:val="112AB51C"/>
    <w:lvl w:ilvl="0">
      <w:start w:val="1"/>
      <w:numFmt w:val="bullet"/>
      <w:lvlText w:val=""/>
      <w:lvlJc w:val="left"/>
      <w:pPr>
        <w:ind w:left="2127" w:hanging="851"/>
      </w:pPr>
      <w:rPr>
        <w:rFonts w:ascii="Symbol" w:hAnsi="Symbol" w:hint="default"/>
        <w:b w:val="0"/>
        <w:i w:val="0"/>
        <w:color w:val="auto"/>
      </w:rPr>
    </w:lvl>
    <w:lvl w:ilvl="1">
      <w:start w:val="1"/>
      <w:numFmt w:val="lowerLetter"/>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bullet"/>
      <w:lvlText w:val="o"/>
      <w:lvlJc w:val="left"/>
      <w:pPr>
        <w:ind w:left="1800" w:hanging="180"/>
      </w:pPr>
      <w:rPr>
        <w:rFonts w:ascii="Courier New" w:hAnsi="Courier New" w:cs="Courier New"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644B647A"/>
    <w:multiLevelType w:val="hybridMultilevel"/>
    <w:tmpl w:val="B5D2C5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90412AD"/>
    <w:multiLevelType w:val="multilevel"/>
    <w:tmpl w:val="31B6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6B0CDA"/>
    <w:multiLevelType w:val="hybridMultilevel"/>
    <w:tmpl w:val="573AD9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AD408F6"/>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13717E"/>
    <w:multiLevelType w:val="multilevel"/>
    <w:tmpl w:val="53C41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397" w:hanging="227"/>
      </w:pPr>
      <w:rPr>
        <w:rFonts w:ascii="Symbol" w:hAnsi="Symbol" w:hint="default"/>
        <w:sz w:val="22"/>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A9609B"/>
    <w:multiLevelType w:val="hybridMultilevel"/>
    <w:tmpl w:val="3CB8E3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F916242"/>
    <w:multiLevelType w:val="hybridMultilevel"/>
    <w:tmpl w:val="B6160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6044CB3"/>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C5E0297"/>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6F4ED9"/>
    <w:multiLevelType w:val="hybridMultilevel"/>
    <w:tmpl w:val="4ECE95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
  </w:num>
  <w:num w:numId="4">
    <w:abstractNumId w:val="1"/>
  </w:num>
  <w:num w:numId="5">
    <w:abstractNumId w:val="3"/>
  </w:num>
  <w:num w:numId="6">
    <w:abstractNumId w:val="0"/>
  </w:num>
  <w:num w:numId="7">
    <w:abstractNumId w:val="8"/>
  </w:num>
  <w:num w:numId="8">
    <w:abstractNumId w:val="9"/>
  </w:num>
  <w:num w:numId="9">
    <w:abstractNumId w:val="20"/>
  </w:num>
  <w:num w:numId="10">
    <w:abstractNumId w:val="16"/>
  </w:num>
  <w:num w:numId="11">
    <w:abstractNumId w:val="18"/>
  </w:num>
  <w:num w:numId="12">
    <w:abstractNumId w:val="25"/>
  </w:num>
  <w:num w:numId="13">
    <w:abstractNumId w:val="26"/>
  </w:num>
  <w:num w:numId="14">
    <w:abstractNumId w:val="33"/>
  </w:num>
  <w:num w:numId="15">
    <w:abstractNumId w:val="27"/>
  </w:num>
  <w:num w:numId="16">
    <w:abstractNumId w:val="11"/>
  </w:num>
  <w:num w:numId="17">
    <w:abstractNumId w:val="10"/>
  </w:num>
  <w:num w:numId="18">
    <w:abstractNumId w:val="21"/>
  </w:num>
  <w:num w:numId="19">
    <w:abstractNumId w:val="35"/>
  </w:num>
  <w:num w:numId="20">
    <w:abstractNumId w:val="37"/>
  </w:num>
  <w:num w:numId="21">
    <w:abstractNumId w:val="36"/>
  </w:num>
  <w:num w:numId="22">
    <w:abstractNumId w:val="7"/>
  </w:num>
  <w:num w:numId="23">
    <w:abstractNumId w:val="32"/>
  </w:num>
  <w:num w:numId="24">
    <w:abstractNumId w:val="17"/>
  </w:num>
  <w:num w:numId="25">
    <w:abstractNumId w:val="29"/>
  </w:num>
  <w:num w:numId="26">
    <w:abstractNumId w:val="14"/>
  </w:num>
  <w:num w:numId="27">
    <w:abstractNumId w:val="6"/>
  </w:num>
  <w:num w:numId="28">
    <w:abstractNumId w:val="22"/>
  </w:num>
  <w:num w:numId="29">
    <w:abstractNumId w:val="38"/>
  </w:num>
  <w:num w:numId="30">
    <w:abstractNumId w:val="34"/>
  </w:num>
  <w:num w:numId="31">
    <w:abstractNumId w:val="23"/>
  </w:num>
  <w:num w:numId="32">
    <w:abstractNumId w:val="24"/>
  </w:num>
  <w:num w:numId="33">
    <w:abstractNumId w:val="15"/>
  </w:num>
  <w:num w:numId="34">
    <w:abstractNumId w:val="28"/>
  </w:num>
  <w:num w:numId="35">
    <w:abstractNumId w:val="30"/>
  </w:num>
  <w:num w:numId="36">
    <w:abstractNumId w:val="31"/>
  </w:num>
  <w:num w:numId="37">
    <w:abstractNumId w:val="13"/>
  </w:num>
  <w:num w:numId="38">
    <w:abstractNumId w:val="5"/>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F6E"/>
    <w:rsid w:val="0000497C"/>
    <w:rsid w:val="00014BB0"/>
    <w:rsid w:val="00027E62"/>
    <w:rsid w:val="0004750A"/>
    <w:rsid w:val="00077915"/>
    <w:rsid w:val="000960F6"/>
    <w:rsid w:val="000974B3"/>
    <w:rsid w:val="000A4F6E"/>
    <w:rsid w:val="000A5357"/>
    <w:rsid w:val="000D0501"/>
    <w:rsid w:val="00115BF6"/>
    <w:rsid w:val="00150B71"/>
    <w:rsid w:val="00153B74"/>
    <w:rsid w:val="001A078F"/>
    <w:rsid w:val="001C1DFD"/>
    <w:rsid w:val="001C37CA"/>
    <w:rsid w:val="001C6320"/>
    <w:rsid w:val="001C7D96"/>
    <w:rsid w:val="002122D2"/>
    <w:rsid w:val="00222274"/>
    <w:rsid w:val="00230D2A"/>
    <w:rsid w:val="00273975"/>
    <w:rsid w:val="002D04A4"/>
    <w:rsid w:val="00303FDD"/>
    <w:rsid w:val="00310FC3"/>
    <w:rsid w:val="00332DA5"/>
    <w:rsid w:val="00344FBD"/>
    <w:rsid w:val="003742BB"/>
    <w:rsid w:val="00374DF7"/>
    <w:rsid w:val="003E2C36"/>
    <w:rsid w:val="00407875"/>
    <w:rsid w:val="00422623"/>
    <w:rsid w:val="00435C95"/>
    <w:rsid w:val="0047317C"/>
    <w:rsid w:val="004753F0"/>
    <w:rsid w:val="004C2E5B"/>
    <w:rsid w:val="004C7B54"/>
    <w:rsid w:val="00514FDF"/>
    <w:rsid w:val="00533781"/>
    <w:rsid w:val="005561E4"/>
    <w:rsid w:val="0056397F"/>
    <w:rsid w:val="005938BD"/>
    <w:rsid w:val="005B1D62"/>
    <w:rsid w:val="005B7200"/>
    <w:rsid w:val="006239E7"/>
    <w:rsid w:val="00625412"/>
    <w:rsid w:val="00630DE1"/>
    <w:rsid w:val="006B569E"/>
    <w:rsid w:val="006D4D3F"/>
    <w:rsid w:val="006F24B2"/>
    <w:rsid w:val="006F7135"/>
    <w:rsid w:val="007231F3"/>
    <w:rsid w:val="007443B9"/>
    <w:rsid w:val="00750CDA"/>
    <w:rsid w:val="007A2B86"/>
    <w:rsid w:val="007A41AD"/>
    <w:rsid w:val="007C2904"/>
    <w:rsid w:val="00817A32"/>
    <w:rsid w:val="00852A28"/>
    <w:rsid w:val="0087795F"/>
    <w:rsid w:val="008A7A5F"/>
    <w:rsid w:val="008C6802"/>
    <w:rsid w:val="008D15C3"/>
    <w:rsid w:val="008D78D9"/>
    <w:rsid w:val="008E04A8"/>
    <w:rsid w:val="009104F7"/>
    <w:rsid w:val="0092286A"/>
    <w:rsid w:val="009C155A"/>
    <w:rsid w:val="00A43E40"/>
    <w:rsid w:val="00AA57D3"/>
    <w:rsid w:val="00AB5739"/>
    <w:rsid w:val="00AF0DE6"/>
    <w:rsid w:val="00AF7EF5"/>
    <w:rsid w:val="00B05BEA"/>
    <w:rsid w:val="00B75F7F"/>
    <w:rsid w:val="00BC0C81"/>
    <w:rsid w:val="00BD69DF"/>
    <w:rsid w:val="00BE11DC"/>
    <w:rsid w:val="00C0313E"/>
    <w:rsid w:val="00C033FA"/>
    <w:rsid w:val="00C5139C"/>
    <w:rsid w:val="00C822AD"/>
    <w:rsid w:val="00CB26AB"/>
    <w:rsid w:val="00CB7093"/>
    <w:rsid w:val="00CD398B"/>
    <w:rsid w:val="00D0703D"/>
    <w:rsid w:val="00E16976"/>
    <w:rsid w:val="00E230A0"/>
    <w:rsid w:val="00E52968"/>
    <w:rsid w:val="00E555AC"/>
    <w:rsid w:val="00E73F30"/>
    <w:rsid w:val="00E81E38"/>
    <w:rsid w:val="00E866BB"/>
    <w:rsid w:val="00E91E14"/>
    <w:rsid w:val="00EC430E"/>
    <w:rsid w:val="00ED0E3D"/>
    <w:rsid w:val="00ED4008"/>
    <w:rsid w:val="00F10DE1"/>
    <w:rsid w:val="00F16D18"/>
    <w:rsid w:val="00F84F7E"/>
    <w:rsid w:val="00F979A1"/>
    <w:rsid w:val="00FC27A9"/>
    <w:rsid w:val="00FF2B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9EEF3"/>
  <w15:chartTrackingRefBased/>
  <w15:docId w15:val="{05399847-01B6-4BB2-BF7B-4A3D1412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28"/>
    <w:pPr>
      <w:spacing w:before="120" w:after="240" w:line="288" w:lineRule="auto"/>
    </w:pPr>
    <w:rPr>
      <w:sz w:val="24"/>
    </w:rPr>
  </w:style>
  <w:style w:type="paragraph" w:styleId="Heading1">
    <w:name w:val="heading 1"/>
    <w:basedOn w:val="Normal"/>
    <w:next w:val="Normal"/>
    <w:link w:val="Heading1Char"/>
    <w:uiPriority w:val="9"/>
    <w:qFormat/>
    <w:rsid w:val="005938BD"/>
    <w:pPr>
      <w:keepNext/>
      <w:keepLines/>
      <w:spacing w:before="480" w:after="120"/>
      <w:outlineLvl w:val="0"/>
    </w:pPr>
    <w:rPr>
      <w:rFonts w:asciiTheme="majorHAnsi" w:eastAsiaTheme="majorEastAsia" w:hAnsiTheme="majorHAnsi" w:cstheme="majorBidi"/>
      <w:b/>
      <w:color w:val="1C2549" w:themeColor="text2"/>
      <w:sz w:val="72"/>
      <w:szCs w:val="32"/>
    </w:rPr>
  </w:style>
  <w:style w:type="paragraph" w:styleId="Heading2">
    <w:name w:val="heading 2"/>
    <w:basedOn w:val="Normal"/>
    <w:next w:val="Normal"/>
    <w:link w:val="Heading2Char"/>
    <w:uiPriority w:val="9"/>
    <w:qFormat/>
    <w:rsid w:val="0087795F"/>
    <w:pPr>
      <w:keepNext/>
      <w:keepLines/>
      <w:spacing w:before="480" w:after="120"/>
      <w:outlineLvl w:val="1"/>
    </w:pPr>
    <w:rPr>
      <w:rFonts w:asciiTheme="majorHAnsi" w:eastAsiaTheme="majorEastAsia" w:hAnsiTheme="majorHAnsi" w:cstheme="majorBidi"/>
      <w:b/>
      <w:color w:val="1C2549" w:themeColor="text2"/>
      <w:sz w:val="48"/>
      <w:szCs w:val="26"/>
    </w:rPr>
  </w:style>
  <w:style w:type="paragraph" w:styleId="Heading3">
    <w:name w:val="heading 3"/>
    <w:basedOn w:val="Normal"/>
    <w:next w:val="Normal"/>
    <w:link w:val="Heading3Char"/>
    <w:uiPriority w:val="9"/>
    <w:qFormat/>
    <w:rsid w:val="0087795F"/>
    <w:pPr>
      <w:keepNext/>
      <w:keepLines/>
      <w:spacing w:before="360" w:after="120"/>
      <w:outlineLvl w:val="2"/>
    </w:pPr>
    <w:rPr>
      <w:rFonts w:asciiTheme="majorHAnsi" w:eastAsiaTheme="majorEastAsia" w:hAnsiTheme="majorHAnsi" w:cstheme="majorBidi"/>
      <w:b/>
      <w:color w:val="1C2549" w:themeColor="text2"/>
      <w:sz w:val="36"/>
      <w:szCs w:val="24"/>
    </w:rPr>
  </w:style>
  <w:style w:type="paragraph" w:styleId="Heading4">
    <w:name w:val="heading 4"/>
    <w:basedOn w:val="Normal"/>
    <w:next w:val="Normal"/>
    <w:link w:val="Heading4Char"/>
    <w:uiPriority w:val="9"/>
    <w:unhideWhenUsed/>
    <w:qFormat/>
    <w:rsid w:val="004C2E5B"/>
    <w:pPr>
      <w:keepNext/>
      <w:keepLines/>
      <w:spacing w:before="40" w:after="0"/>
      <w:outlineLvl w:val="3"/>
    </w:pPr>
    <w:rPr>
      <w:rFonts w:asciiTheme="majorHAnsi" w:eastAsiaTheme="majorEastAsia" w:hAnsiTheme="majorHAnsi" w:cstheme="majorBidi"/>
      <w:b/>
      <w:iCs/>
      <w:color w:val="1C2549"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7795F"/>
    <w:pPr>
      <w:spacing w:before="0" w:after="0" w:line="240" w:lineRule="auto"/>
      <w:contextualSpacing/>
    </w:pPr>
    <w:rPr>
      <w:rFonts w:asciiTheme="majorHAnsi" w:eastAsiaTheme="majorEastAsia" w:hAnsiTheme="majorHAnsi" w:cstheme="majorBidi"/>
      <w:b/>
      <w:color w:val="007681" w:themeColor="accent2"/>
      <w:spacing w:val="-10"/>
      <w:kern w:val="28"/>
      <w:sz w:val="72"/>
      <w:szCs w:val="56"/>
    </w:rPr>
  </w:style>
  <w:style w:type="character" w:customStyle="1" w:styleId="TitleChar">
    <w:name w:val="Title Char"/>
    <w:basedOn w:val="DefaultParagraphFont"/>
    <w:link w:val="Title"/>
    <w:uiPriority w:val="99"/>
    <w:rsid w:val="004C2E5B"/>
    <w:rPr>
      <w:rFonts w:asciiTheme="majorHAnsi" w:eastAsiaTheme="majorEastAsia" w:hAnsiTheme="majorHAnsi" w:cstheme="majorBidi"/>
      <w:b/>
      <w:color w:val="007681" w:themeColor="accent2"/>
      <w:spacing w:val="-10"/>
      <w:kern w:val="28"/>
      <w:sz w:val="72"/>
      <w:szCs w:val="56"/>
    </w:rPr>
  </w:style>
  <w:style w:type="paragraph" w:styleId="Subtitle">
    <w:name w:val="Subtitle"/>
    <w:basedOn w:val="Normal"/>
    <w:next w:val="Normal"/>
    <w:link w:val="SubtitleChar"/>
    <w:uiPriority w:val="99"/>
    <w:qFormat/>
    <w:rsid w:val="00817A32"/>
    <w:pPr>
      <w:numPr>
        <w:ilvl w:val="1"/>
      </w:numPr>
      <w:spacing w:before="160"/>
    </w:pPr>
    <w:rPr>
      <w:rFonts w:eastAsiaTheme="minorEastAsia"/>
      <w:b/>
      <w:color w:val="007681" w:themeColor="accent2"/>
      <w:sz w:val="40"/>
    </w:rPr>
  </w:style>
  <w:style w:type="character" w:customStyle="1" w:styleId="SubtitleChar">
    <w:name w:val="Subtitle Char"/>
    <w:basedOn w:val="DefaultParagraphFont"/>
    <w:link w:val="Subtitle"/>
    <w:uiPriority w:val="99"/>
    <w:rsid w:val="004C2E5B"/>
    <w:rPr>
      <w:rFonts w:eastAsiaTheme="minorEastAsia"/>
      <w:b/>
      <w:color w:val="007681" w:themeColor="accent2"/>
      <w:sz w:val="40"/>
    </w:rPr>
  </w:style>
  <w:style w:type="paragraph" w:styleId="Header">
    <w:name w:val="header"/>
    <w:basedOn w:val="Normal"/>
    <w:link w:val="HeaderChar"/>
    <w:uiPriority w:val="99"/>
    <w:semiHidden/>
    <w:rsid w:val="00817A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33FA"/>
    <w:rPr>
      <w:sz w:val="24"/>
    </w:rPr>
  </w:style>
  <w:style w:type="paragraph" w:styleId="Footer">
    <w:name w:val="footer"/>
    <w:basedOn w:val="Normal"/>
    <w:link w:val="FooterChar"/>
    <w:uiPriority w:val="99"/>
    <w:semiHidden/>
    <w:rsid w:val="00817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2E5B"/>
    <w:rPr>
      <w:sz w:val="24"/>
    </w:rPr>
  </w:style>
  <w:style w:type="paragraph" w:customStyle="1" w:styleId="Provider">
    <w:name w:val="Provider"/>
    <w:uiPriority w:val="99"/>
    <w:qFormat/>
    <w:rsid w:val="0087795F"/>
    <w:rPr>
      <w:rFonts w:eastAsiaTheme="minorEastAsia"/>
      <w:b/>
      <w:color w:val="2DCCD3"/>
      <w:sz w:val="56"/>
    </w:rPr>
  </w:style>
  <w:style w:type="character" w:customStyle="1" w:styleId="Heading1Char">
    <w:name w:val="Heading 1 Char"/>
    <w:basedOn w:val="DefaultParagraphFont"/>
    <w:link w:val="Heading1"/>
    <w:uiPriority w:val="9"/>
    <w:rsid w:val="005938BD"/>
    <w:rPr>
      <w:rFonts w:asciiTheme="majorHAnsi" w:eastAsiaTheme="majorEastAsia" w:hAnsiTheme="majorHAnsi" w:cstheme="majorBidi"/>
      <w:b/>
      <w:color w:val="1C2549" w:themeColor="text2"/>
      <w:sz w:val="72"/>
      <w:szCs w:val="32"/>
    </w:rPr>
  </w:style>
  <w:style w:type="paragraph" w:customStyle="1" w:styleId="NumberedHeading1">
    <w:name w:val="Numbered Heading 1"/>
    <w:basedOn w:val="Heading1"/>
    <w:next w:val="Normal"/>
    <w:uiPriority w:val="10"/>
    <w:qFormat/>
    <w:rsid w:val="005938BD"/>
    <w:pPr>
      <w:numPr>
        <w:numId w:val="1"/>
      </w:numPr>
      <w:tabs>
        <w:tab w:val="left" w:pos="1021"/>
      </w:tabs>
      <w:ind w:left="1021" w:hanging="1021"/>
    </w:pPr>
  </w:style>
  <w:style w:type="character" w:customStyle="1" w:styleId="Heading2Char">
    <w:name w:val="Heading 2 Char"/>
    <w:basedOn w:val="DefaultParagraphFont"/>
    <w:link w:val="Heading2"/>
    <w:uiPriority w:val="9"/>
    <w:rsid w:val="0087795F"/>
    <w:rPr>
      <w:rFonts w:asciiTheme="majorHAnsi" w:eastAsiaTheme="majorEastAsia" w:hAnsiTheme="majorHAnsi" w:cstheme="majorBidi"/>
      <w:b/>
      <w:color w:val="1C2549" w:themeColor="text2"/>
      <w:sz w:val="48"/>
      <w:szCs w:val="26"/>
    </w:rPr>
  </w:style>
  <w:style w:type="character" w:customStyle="1" w:styleId="Heading3Char">
    <w:name w:val="Heading 3 Char"/>
    <w:basedOn w:val="DefaultParagraphFont"/>
    <w:link w:val="Heading3"/>
    <w:uiPriority w:val="9"/>
    <w:rsid w:val="0087795F"/>
    <w:rPr>
      <w:rFonts w:asciiTheme="majorHAnsi" w:eastAsiaTheme="majorEastAsia" w:hAnsiTheme="majorHAnsi" w:cstheme="majorBidi"/>
      <w:b/>
      <w:color w:val="1C2549" w:themeColor="text2"/>
      <w:sz w:val="36"/>
      <w:szCs w:val="24"/>
    </w:rPr>
  </w:style>
  <w:style w:type="paragraph" w:customStyle="1" w:styleId="NumberedHeading2">
    <w:name w:val="Numbered Heading 2"/>
    <w:basedOn w:val="Heading2"/>
    <w:next w:val="Normal"/>
    <w:uiPriority w:val="10"/>
    <w:qFormat/>
    <w:rsid w:val="005938BD"/>
    <w:pPr>
      <w:numPr>
        <w:ilvl w:val="1"/>
        <w:numId w:val="1"/>
      </w:numPr>
      <w:tabs>
        <w:tab w:val="left" w:pos="1021"/>
      </w:tabs>
      <w:ind w:left="1021" w:hanging="1021"/>
    </w:pPr>
  </w:style>
  <w:style w:type="paragraph" w:customStyle="1" w:styleId="NumberedHeading3">
    <w:name w:val="Numbered Heading 3"/>
    <w:basedOn w:val="Heading3"/>
    <w:next w:val="Normal"/>
    <w:uiPriority w:val="10"/>
    <w:qFormat/>
    <w:rsid w:val="005938BD"/>
    <w:pPr>
      <w:numPr>
        <w:ilvl w:val="2"/>
        <w:numId w:val="1"/>
      </w:numPr>
      <w:tabs>
        <w:tab w:val="left" w:pos="1021"/>
      </w:tabs>
      <w:ind w:left="1021" w:hanging="1021"/>
    </w:pPr>
  </w:style>
  <w:style w:type="paragraph" w:styleId="TOCHeading">
    <w:name w:val="TOC Heading"/>
    <w:next w:val="Normal"/>
    <w:uiPriority w:val="39"/>
    <w:semiHidden/>
    <w:qFormat/>
    <w:rsid w:val="00630DE1"/>
    <w:pPr>
      <w:spacing w:before="360"/>
    </w:pPr>
    <w:rPr>
      <w:rFonts w:asciiTheme="majorHAnsi" w:eastAsiaTheme="majorEastAsia" w:hAnsiTheme="majorHAnsi" w:cstheme="majorBidi"/>
      <w:b/>
      <w:color w:val="1C2549" w:themeColor="text2"/>
      <w:sz w:val="72"/>
      <w:szCs w:val="32"/>
    </w:rPr>
  </w:style>
  <w:style w:type="paragraph" w:styleId="TOC1">
    <w:name w:val="toc 1"/>
    <w:basedOn w:val="Normal"/>
    <w:next w:val="Normal"/>
    <w:autoRedefine/>
    <w:uiPriority w:val="39"/>
    <w:rsid w:val="00630DE1"/>
    <w:pPr>
      <w:spacing w:before="300" w:after="100"/>
    </w:pPr>
    <w:rPr>
      <w:b/>
    </w:rPr>
  </w:style>
  <w:style w:type="paragraph" w:styleId="TOC2">
    <w:name w:val="toc 2"/>
    <w:basedOn w:val="Normal"/>
    <w:next w:val="Normal"/>
    <w:autoRedefine/>
    <w:uiPriority w:val="39"/>
    <w:rsid w:val="00630DE1"/>
    <w:pPr>
      <w:spacing w:after="100"/>
      <w:ind w:left="240"/>
    </w:pPr>
  </w:style>
  <w:style w:type="paragraph" w:styleId="TOC3">
    <w:name w:val="toc 3"/>
    <w:basedOn w:val="Normal"/>
    <w:next w:val="Normal"/>
    <w:autoRedefine/>
    <w:uiPriority w:val="39"/>
    <w:semiHidden/>
    <w:rsid w:val="00630DE1"/>
    <w:pPr>
      <w:spacing w:after="100"/>
      <w:ind w:left="480"/>
    </w:pPr>
  </w:style>
  <w:style w:type="character" w:styleId="Hyperlink">
    <w:name w:val="Hyperlink"/>
    <w:basedOn w:val="DefaultParagraphFont"/>
    <w:uiPriority w:val="99"/>
    <w:rsid w:val="00B75F7F"/>
    <w:rPr>
      <w:b/>
      <w:color w:val="auto"/>
      <w:u w:val="single"/>
    </w:rPr>
  </w:style>
  <w:style w:type="character" w:styleId="UnresolvedMention">
    <w:name w:val="Unresolved Mention"/>
    <w:basedOn w:val="DefaultParagraphFont"/>
    <w:uiPriority w:val="99"/>
    <w:semiHidden/>
    <w:unhideWhenUsed/>
    <w:rsid w:val="00B75F7F"/>
    <w:rPr>
      <w:color w:val="605E5C"/>
      <w:shd w:val="clear" w:color="auto" w:fill="E1DFDD"/>
    </w:rPr>
  </w:style>
  <w:style w:type="table" w:styleId="TableGrid">
    <w:name w:val="Table Grid"/>
    <w:basedOn w:val="TableNormal"/>
    <w:uiPriority w:val="39"/>
    <w:rsid w:val="00B7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8"/>
    <w:rsid w:val="00C033FA"/>
    <w:pPr>
      <w:numPr>
        <w:numId w:val="2"/>
      </w:numPr>
      <w:tabs>
        <w:tab w:val="clear" w:pos="360"/>
        <w:tab w:val="left" w:pos="425"/>
      </w:tabs>
      <w:spacing w:after="120"/>
      <w:ind w:left="425" w:hanging="425"/>
    </w:pPr>
  </w:style>
  <w:style w:type="paragraph" w:styleId="ListBullet2">
    <w:name w:val="List Bullet 2"/>
    <w:basedOn w:val="Normal"/>
    <w:uiPriority w:val="8"/>
    <w:rsid w:val="00C033FA"/>
    <w:pPr>
      <w:numPr>
        <w:numId w:val="3"/>
      </w:numPr>
      <w:tabs>
        <w:tab w:val="clear" w:pos="643"/>
        <w:tab w:val="left" w:pos="851"/>
      </w:tabs>
      <w:spacing w:after="120"/>
      <w:ind w:left="850" w:hanging="425"/>
    </w:pPr>
  </w:style>
  <w:style w:type="paragraph" w:styleId="ListBullet3">
    <w:name w:val="List Bullet 3"/>
    <w:basedOn w:val="Normal"/>
    <w:uiPriority w:val="8"/>
    <w:rsid w:val="005938BD"/>
    <w:pPr>
      <w:numPr>
        <w:numId w:val="4"/>
      </w:numPr>
      <w:tabs>
        <w:tab w:val="clear" w:pos="926"/>
        <w:tab w:val="left" w:pos="1276"/>
      </w:tabs>
      <w:spacing w:after="120"/>
      <w:ind w:left="1276" w:hanging="425"/>
    </w:pPr>
  </w:style>
  <w:style w:type="paragraph" w:styleId="ListNumber">
    <w:name w:val="List Number"/>
    <w:basedOn w:val="Normal"/>
    <w:uiPriority w:val="8"/>
    <w:rsid w:val="005938BD"/>
    <w:pPr>
      <w:numPr>
        <w:numId w:val="5"/>
      </w:numPr>
      <w:tabs>
        <w:tab w:val="clear" w:pos="360"/>
        <w:tab w:val="left" w:pos="425"/>
      </w:tabs>
      <w:spacing w:after="120"/>
      <w:ind w:left="425" w:hanging="425"/>
    </w:pPr>
  </w:style>
  <w:style w:type="paragraph" w:styleId="ListNumber2">
    <w:name w:val="List Number 2"/>
    <w:basedOn w:val="Normal"/>
    <w:uiPriority w:val="8"/>
    <w:rsid w:val="005938BD"/>
    <w:pPr>
      <w:numPr>
        <w:numId w:val="6"/>
      </w:numPr>
      <w:tabs>
        <w:tab w:val="left" w:pos="851"/>
      </w:tabs>
      <w:spacing w:after="120"/>
      <w:ind w:left="850" w:hanging="425"/>
    </w:pPr>
  </w:style>
  <w:style w:type="character" w:customStyle="1" w:styleId="Heading4Char">
    <w:name w:val="Heading 4 Char"/>
    <w:basedOn w:val="DefaultParagraphFont"/>
    <w:link w:val="Heading4"/>
    <w:uiPriority w:val="9"/>
    <w:rsid w:val="004C2E5B"/>
    <w:rPr>
      <w:rFonts w:asciiTheme="majorHAnsi" w:eastAsiaTheme="majorEastAsia" w:hAnsiTheme="majorHAnsi" w:cstheme="majorBidi"/>
      <w:b/>
      <w:iCs/>
      <w:color w:val="1C2549" w:themeColor="text2"/>
      <w:sz w:val="28"/>
    </w:rPr>
  </w:style>
  <w:style w:type="paragraph" w:styleId="FootnoteText">
    <w:name w:val="footnote text"/>
    <w:basedOn w:val="Normal"/>
    <w:link w:val="FootnoteTextChar"/>
    <w:uiPriority w:val="99"/>
    <w:semiHidden/>
    <w:rsid w:val="004C2E5B"/>
    <w:pPr>
      <w:tabs>
        <w:tab w:val="left" w:pos="170"/>
      </w:tabs>
      <w:spacing w:before="0" w:after="0" w:line="240" w:lineRule="auto"/>
      <w:ind w:left="170" w:hanging="170"/>
    </w:pPr>
    <w:rPr>
      <w:sz w:val="20"/>
      <w:szCs w:val="20"/>
    </w:rPr>
  </w:style>
  <w:style w:type="character" w:customStyle="1" w:styleId="FootnoteTextChar">
    <w:name w:val="Footnote Text Char"/>
    <w:basedOn w:val="DefaultParagraphFont"/>
    <w:link w:val="FootnoteText"/>
    <w:uiPriority w:val="99"/>
    <w:semiHidden/>
    <w:rsid w:val="00852A28"/>
    <w:rPr>
      <w:sz w:val="20"/>
      <w:szCs w:val="20"/>
    </w:rPr>
  </w:style>
  <w:style w:type="character" w:styleId="FootnoteReference">
    <w:name w:val="footnote reference"/>
    <w:basedOn w:val="DefaultParagraphFont"/>
    <w:unhideWhenUsed/>
    <w:rsid w:val="004C2E5B"/>
    <w:rPr>
      <w:vertAlign w:val="superscript"/>
    </w:rPr>
  </w:style>
  <w:style w:type="table" w:styleId="GridTable4">
    <w:name w:val="Grid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eWhatuOra">
    <w:name w:val="Te Whatu Ora"/>
    <w:basedOn w:val="TableNormal"/>
    <w:uiPriority w:val="99"/>
    <w:rsid w:val="00852A28"/>
    <w:pPr>
      <w:spacing w:before="100" w:beforeAutospacing="1" w:after="100" w:afterAutospacing="1"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table" w:styleId="ListTable4">
    <w:name w:val="List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1">
    <w:name w:val="Table Grid 1"/>
    <w:basedOn w:val="TableNormal"/>
    <w:uiPriority w:val="99"/>
    <w:semiHidden/>
    <w:unhideWhenUsed/>
    <w:rsid w:val="00C0313E"/>
    <w:pPr>
      <w:spacing w:before="120"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qFormat/>
    <w:rsid w:val="00C0313E"/>
    <w:pPr>
      <w:spacing w:before="0" w:after="0"/>
    </w:pPr>
  </w:style>
  <w:style w:type="paragraph" w:customStyle="1" w:styleId="Figure">
    <w:name w:val="Figure"/>
    <w:basedOn w:val="Normal"/>
    <w:uiPriority w:val="11"/>
    <w:qFormat/>
    <w:rsid w:val="00852A28"/>
    <w:rPr>
      <w:b/>
    </w:rPr>
  </w:style>
  <w:style w:type="paragraph" w:customStyle="1" w:styleId="Box">
    <w:name w:val="Box"/>
    <w:basedOn w:val="Normal"/>
    <w:qFormat/>
    <w:rsid w:val="005561E4"/>
    <w:pPr>
      <w:pBdr>
        <w:top w:val="single" w:sz="8" w:space="8" w:color="00A2AC" w:themeColor="background2"/>
        <w:left w:val="single" w:sz="8" w:space="8" w:color="00A2AC" w:themeColor="background2"/>
        <w:bottom w:val="single" w:sz="8" w:space="8" w:color="00A2AC" w:themeColor="background2"/>
        <w:right w:val="single" w:sz="8" w:space="8" w:color="00A2AC" w:themeColor="background2"/>
      </w:pBdr>
      <w:spacing w:after="120"/>
      <w:ind w:left="170" w:right="170"/>
    </w:pPr>
  </w:style>
  <w:style w:type="paragraph" w:customStyle="1" w:styleId="BoxBullet">
    <w:name w:val="Box Bullet"/>
    <w:basedOn w:val="Box"/>
    <w:qFormat/>
    <w:rsid w:val="005561E4"/>
    <w:pPr>
      <w:numPr>
        <w:numId w:val="7"/>
      </w:numPr>
      <w:ind w:left="527" w:hanging="357"/>
    </w:pPr>
  </w:style>
  <w:style w:type="table" w:styleId="GridTable1Light-Accent4">
    <w:name w:val="Grid Table 1 Light Accent 4"/>
    <w:basedOn w:val="TableNormal"/>
    <w:uiPriority w:val="46"/>
    <w:rsid w:val="000A4F6E"/>
    <w:pPr>
      <w:spacing w:after="0" w:line="240" w:lineRule="auto"/>
    </w:pPr>
    <w:tblPr>
      <w:tblStyleRowBandSize w:val="1"/>
      <w:tblStyleColBandSize w:val="1"/>
      <w:tblBorders>
        <w:top w:val="single" w:sz="4" w:space="0" w:color="F9F4EF" w:themeColor="accent4" w:themeTint="66"/>
        <w:left w:val="single" w:sz="4" w:space="0" w:color="F9F4EF" w:themeColor="accent4" w:themeTint="66"/>
        <w:bottom w:val="single" w:sz="4" w:space="0" w:color="F9F4EF" w:themeColor="accent4" w:themeTint="66"/>
        <w:right w:val="single" w:sz="4" w:space="0" w:color="F9F4EF" w:themeColor="accent4" w:themeTint="66"/>
        <w:insideH w:val="single" w:sz="4" w:space="0" w:color="F9F4EF" w:themeColor="accent4" w:themeTint="66"/>
        <w:insideV w:val="single" w:sz="4" w:space="0" w:color="F9F4EF" w:themeColor="accent4" w:themeTint="66"/>
      </w:tblBorders>
    </w:tblPr>
    <w:tblStylePr w:type="firstRow">
      <w:rPr>
        <w:b/>
        <w:bCs/>
      </w:rPr>
      <w:tblPr/>
      <w:tcPr>
        <w:tcBorders>
          <w:bottom w:val="single" w:sz="12" w:space="0" w:color="F6EFE7" w:themeColor="accent4" w:themeTint="99"/>
        </w:tcBorders>
      </w:tcPr>
    </w:tblStylePr>
    <w:tblStylePr w:type="lastRow">
      <w:rPr>
        <w:b/>
        <w:bCs/>
      </w:rPr>
      <w:tblPr/>
      <w:tcPr>
        <w:tcBorders>
          <w:top w:val="double" w:sz="2" w:space="0" w:color="F6EFE7" w:themeColor="accent4"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344FBD"/>
    <w:rPr>
      <w:color w:val="0055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whatuora.govt.nz/for-the-health-sector/covid-19-information-for-health-professionals/covid-19-information-for-all-health-professionals/covid-19-infection-prevention-and-control-recommendations-for-health-and-disability-care-worker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vid19.govt.nz/prepare-and-stay-safe/people-at-higher-risk-of-severe-illness-from-covid-19/" TargetMode="External"/><Relationship Id="rId17" Type="http://schemas.openxmlformats.org/officeDocument/2006/relationships/hyperlink" Target="https://covid19.govt.nz/prepare-and-stay-safe/people-at-higher-risk-of-severe-illness-from-covid-19/" TargetMode="External"/><Relationship Id="rId2" Type="http://schemas.openxmlformats.org/officeDocument/2006/relationships/customXml" Target="../customXml/item2.xml"/><Relationship Id="rId16" Type="http://schemas.openxmlformats.org/officeDocument/2006/relationships/hyperlink" Target="https://www.tewhatuora.govt.nz/for-the-health-sector/covid-19-information-for-health-professionals/covid-19-information-for-all-health-professionals/guidance-for-critical-health-services-during-an-omicron-outbrea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tewhatuora.govt.nz/for-the-health-sector/covid-19-information-for-health-professionals/covid-19-information-for-all-health-professionals/covid-19-infection-prevention-and-control-recommendations-for-health-and-disability-care-worker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whatuora.govt.nz/for-the-health-sector/covid-19-information-for-health-professionals/covid-19-information-for-all-health-professionals/guidance-for-critical-health-services-during-an-omicron-outbrea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torymaps.arcgis.com/stories/da035e374dbb4ea0ae3b31b6777924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maSergent\OneDrive%20-%20Allfields\Documents\Te%20Whatu%20Ora\Published%20Report%20and%20Guidance%20Template.dotx" TargetMode="External"/></Relationships>
</file>

<file path=word/theme/theme1.xml><?xml version="1.0" encoding="utf-8"?>
<a:theme xmlns:a="http://schemas.openxmlformats.org/drawingml/2006/main" name="Office Theme">
  <a:themeElements>
    <a:clrScheme name="Te Whatu Ora 2">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AFB0BF72AA8D48AE924ADFB66F7EED" ma:contentTypeVersion="20" ma:contentTypeDescription="Create a new document." ma:contentTypeScope="" ma:versionID="e7c9687ce320819e82dc6071ab3137c8">
  <xsd:schema xmlns:xsd="http://www.w3.org/2001/XMLSchema" xmlns:xs="http://www.w3.org/2001/XMLSchema" xmlns:p="http://schemas.microsoft.com/office/2006/metadata/properties" xmlns:ns2="115cab4d-6f10-452d-be6b-9948dc02e1cd" xmlns:ns3="cab06639-4b0c-4205-80b4-0b156190631b" targetNamespace="http://schemas.microsoft.com/office/2006/metadata/properties" ma:root="true" ma:fieldsID="48df1f5558e4b8de43b2d3a3cb493451" ns2:_="" ns3:_="">
    <xsd:import namespace="115cab4d-6f10-452d-be6b-9948dc02e1cd"/>
    <xsd:import namespace="cab06639-4b0c-4205-80b4-0b15619063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FilesType" minOccurs="0"/>
                <xsd:element ref="ns2:Owner"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Classification" minOccurs="0"/>
                <xsd:element ref="ns2:MediaLengthInSeconds" minOccurs="0"/>
                <xsd:element ref="ns2:MediaServiceLocation" minOccurs="0"/>
                <xsd:element ref="ns2:lcf76f155ced4ddcb4097134ff3c332f" minOccurs="0"/>
                <xsd:element ref="ns3:TaxCatchAll"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cab4d-6f10-452d-be6b-9948dc02e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FilesType" ma:index="14" nillable="true" ma:displayName="Files Type" ma:format="Dropdown" ma:internalName="FilesType">
      <xsd:simpleType>
        <xsd:restriction base="dms:Choice">
          <xsd:enumeration value="Files Summary"/>
          <xsd:enumeration value="Ready to Print"/>
        </xsd:restriction>
      </xsd:simpleType>
    </xsd:element>
    <xsd:element name="Owner" ma:index="1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Classification" ma:index="21" nillable="true" ma:displayName="Classification" ma:format="Dropdown" ma:internalName="Classification">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bff8f57-f0a0-4b7f-9cbb-df478fdc822b" ma:termSetId="09814cd3-568e-fe90-9814-8d621ff8fb84" ma:anchorId="fba54fb3-c3e1-fe81-a776-ca4b69148c4d" ma:open="true" ma:isKeyword="false">
      <xsd:complexType>
        <xsd:sequence>
          <xsd:element ref="pc:Terms" minOccurs="0" maxOccurs="1"/>
        </xsd:sequence>
      </xsd:complexType>
    </xsd:element>
    <xsd:element name="Status" ma:index="27" nillable="true" ma:displayName="Status" ma:default="Not started" ma:format="Dropdown" ma:internalName="Status">
      <xsd:simpleType>
        <xsd:restriction base="dms:Choice">
          <xsd:enumeration value="Not started"/>
          <xsd:enumeration value="Working on now"/>
          <xsd:enumeration value="Finished"/>
          <xsd:enumeration value="Hold - need answers"/>
        </xsd:restriction>
      </xsd:simpleType>
    </xsd:element>
  </xsd:schema>
  <xsd:schema xmlns:xsd="http://www.w3.org/2001/XMLSchema" xmlns:xs="http://www.w3.org/2001/XMLSchema" xmlns:dms="http://schemas.microsoft.com/office/2006/documentManagement/types" xmlns:pc="http://schemas.microsoft.com/office/infopath/2007/PartnerControls" targetNamespace="cab06639-4b0c-4205-80b4-0b15619063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b72d11c-62ca-41c8-bdb0-2f18c9805b2f}" ma:internalName="TaxCatchAll" ma:showField="CatchAllData" ma:web="cab06639-4b0c-4205-80b4-0b15619063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ilesType xmlns="115cab4d-6f10-452d-be6b-9948dc02e1cd" xsi:nil="true"/>
    <TaxCatchAll xmlns="cab06639-4b0c-4205-80b4-0b156190631b" xsi:nil="true"/>
    <Classification xmlns="115cab4d-6f10-452d-be6b-9948dc02e1cd" xsi:nil="true"/>
    <Owner xmlns="115cab4d-6f10-452d-be6b-9948dc02e1cd">
      <UserInfo>
        <DisplayName/>
        <AccountId xsi:nil="true"/>
        <AccountType/>
      </UserInfo>
    </Owner>
    <lcf76f155ced4ddcb4097134ff3c332f xmlns="115cab4d-6f10-452d-be6b-9948dc02e1cd">
      <Terms xmlns="http://schemas.microsoft.com/office/infopath/2007/PartnerControls"/>
    </lcf76f155ced4ddcb4097134ff3c332f>
    <Status xmlns="115cab4d-6f10-452d-be6b-9948dc02e1cd">Not started</Status>
  </documentManagement>
</p:properties>
</file>

<file path=customXml/itemProps1.xml><?xml version="1.0" encoding="utf-8"?>
<ds:datastoreItem xmlns:ds="http://schemas.openxmlformats.org/officeDocument/2006/customXml" ds:itemID="{0221AC38-E14C-4710-9A6E-12C6963B6AE4}">
  <ds:schemaRefs>
    <ds:schemaRef ds:uri="http://schemas.microsoft.com/sharepoint/v3/contenttype/forms"/>
  </ds:schemaRefs>
</ds:datastoreItem>
</file>

<file path=customXml/itemProps2.xml><?xml version="1.0" encoding="utf-8"?>
<ds:datastoreItem xmlns:ds="http://schemas.openxmlformats.org/officeDocument/2006/customXml" ds:itemID="{7AEDE761-74C7-4ADB-8520-CEE0CC622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cab4d-6f10-452d-be6b-9948dc02e1cd"/>
    <ds:schemaRef ds:uri="cab06639-4b0c-4205-80b4-0b1561906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31884B-1E52-4152-B052-541519991659}">
  <ds:schemaRefs>
    <ds:schemaRef ds:uri="http://schemas.openxmlformats.org/officeDocument/2006/bibliography"/>
  </ds:schemaRefs>
</ds:datastoreItem>
</file>

<file path=customXml/itemProps4.xml><?xml version="1.0" encoding="utf-8"?>
<ds:datastoreItem xmlns:ds="http://schemas.openxmlformats.org/officeDocument/2006/customXml" ds:itemID="{4350AF35-FDD3-43E3-8EB0-4353CD1A85FE}">
  <ds:schemaRefs>
    <ds:schemaRef ds:uri="http://schemas.microsoft.com/office/2006/metadata/properties"/>
    <ds:schemaRef ds:uri="http://schemas.microsoft.com/office/infopath/2007/PartnerControls"/>
    <ds:schemaRef ds:uri="115cab4d-6f10-452d-be6b-9948dc02e1cd"/>
    <ds:schemaRef ds:uri="cab06639-4b0c-4205-80b4-0b156190631b"/>
  </ds:schemaRefs>
</ds:datastoreItem>
</file>

<file path=docProps/app.xml><?xml version="1.0" encoding="utf-8"?>
<Properties xmlns="http://schemas.openxmlformats.org/officeDocument/2006/extended-properties" xmlns:vt="http://schemas.openxmlformats.org/officeDocument/2006/docPropsVTypes">
  <Template>Published Report and Guidance Template</Template>
  <TotalTime>7</TotalTime>
  <Pages>5</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Sergent</dc:creator>
  <cp:keywords/>
  <dc:description/>
  <cp:lastModifiedBy>Vanessa Coull</cp:lastModifiedBy>
  <cp:revision>8</cp:revision>
  <dcterms:created xsi:type="dcterms:W3CDTF">2023-08-09T01:22:00Z</dcterms:created>
  <dcterms:modified xsi:type="dcterms:W3CDTF">2023-08-09T03:45:00Z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0x01010075AFB0BF72AA8D48AE924ADFB66F7EED</vt:lpwstr>
  </property>
</Properties>
</file>