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32688" w14:textId="77777777" w:rsidR="00BC5FB9" w:rsidRDefault="00BC5FB9" w:rsidP="00662C7C">
      <w:pPr>
        <w:spacing w:line="240" w:lineRule="auto"/>
        <w:jc w:val="center"/>
        <w:rPr>
          <w:b/>
          <w:bCs/>
          <w:color w:val="00AFB9"/>
          <w:sz w:val="36"/>
          <w:szCs w:val="36"/>
        </w:rPr>
      </w:pPr>
    </w:p>
    <w:p w14:paraId="34FCC829" w14:textId="0B508035" w:rsidR="00D53C11" w:rsidRPr="008E31C7" w:rsidRDefault="00BC5FB9" w:rsidP="00662C7C">
      <w:pPr>
        <w:spacing w:line="240" w:lineRule="auto"/>
        <w:jc w:val="center"/>
        <w:rPr>
          <w:b/>
          <w:bCs/>
          <w:color w:val="00AFB9"/>
          <w:sz w:val="36"/>
          <w:szCs w:val="36"/>
        </w:rPr>
      </w:pPr>
      <w:r>
        <w:rPr>
          <w:noProof/>
        </w:rPr>
        <w:drawing>
          <wp:anchor distT="0" distB="0" distL="114300" distR="114300" simplePos="0" relativeHeight="251659264" behindDoc="0" locked="0" layoutInCell="1" allowOverlap="1" wp14:anchorId="5527EFEC" wp14:editId="7AE3AC28">
            <wp:simplePos x="0" y="0"/>
            <wp:positionH relativeFrom="column">
              <wp:posOffset>4914900</wp:posOffset>
            </wp:positionH>
            <wp:positionV relativeFrom="topMargin">
              <wp:align>bottom</wp:align>
            </wp:positionV>
            <wp:extent cx="1569085" cy="407035"/>
            <wp:effectExtent l="0" t="0" r="0" b="0"/>
            <wp:wrapSquare wrapText="bothSides"/>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9085" cy="407035"/>
                    </a:xfrm>
                    <a:prstGeom prst="rect">
                      <a:avLst/>
                    </a:prstGeom>
                  </pic:spPr>
                </pic:pic>
              </a:graphicData>
            </a:graphic>
          </wp:anchor>
        </w:drawing>
      </w:r>
      <w:r w:rsidR="00662C7C">
        <w:rPr>
          <w:b/>
          <w:bCs/>
          <w:noProof/>
          <w:color w:val="00AFB9"/>
          <w:sz w:val="36"/>
          <w:szCs w:val="36"/>
        </w:rPr>
        <w:drawing>
          <wp:anchor distT="0" distB="0" distL="114300" distR="114300" simplePos="0" relativeHeight="251661312" behindDoc="1" locked="0" layoutInCell="1" allowOverlap="1" wp14:anchorId="136EF3B4" wp14:editId="13C75D6D">
            <wp:simplePos x="0" y="0"/>
            <wp:positionH relativeFrom="column">
              <wp:posOffset>-457200</wp:posOffset>
            </wp:positionH>
            <wp:positionV relativeFrom="topMargin">
              <wp:posOffset>403860</wp:posOffset>
            </wp:positionV>
            <wp:extent cx="2095500" cy="580390"/>
            <wp:effectExtent l="0" t="0" r="0" b="0"/>
            <wp:wrapNone/>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95500" cy="580390"/>
                    </a:xfrm>
                    <a:prstGeom prst="rect">
                      <a:avLst/>
                    </a:prstGeom>
                  </pic:spPr>
                </pic:pic>
              </a:graphicData>
            </a:graphic>
          </wp:anchor>
        </w:drawing>
      </w:r>
      <w:r w:rsidR="00D53C11" w:rsidRPr="008E31C7">
        <w:rPr>
          <w:b/>
          <w:bCs/>
          <w:color w:val="00AFB9"/>
          <w:sz w:val="36"/>
          <w:szCs w:val="36"/>
        </w:rPr>
        <w:t>Immunisation Taskforce</w:t>
      </w:r>
    </w:p>
    <w:p w14:paraId="6097ABD4" w14:textId="0F7ED8BD" w:rsidR="00D53C11" w:rsidRPr="008E31C7" w:rsidRDefault="00D53C11" w:rsidP="00662C7C">
      <w:pPr>
        <w:spacing w:line="240" w:lineRule="auto"/>
        <w:jc w:val="center"/>
        <w:rPr>
          <w:b/>
          <w:bCs/>
          <w:color w:val="00AFB9"/>
          <w:sz w:val="36"/>
          <w:szCs w:val="36"/>
        </w:rPr>
      </w:pPr>
      <w:r w:rsidRPr="008E31C7">
        <w:rPr>
          <w:b/>
          <w:bCs/>
          <w:color w:val="00AFB9"/>
          <w:sz w:val="36"/>
          <w:szCs w:val="36"/>
        </w:rPr>
        <w:t>Terms of Reference</w:t>
      </w:r>
    </w:p>
    <w:p w14:paraId="35A7C32D" w14:textId="68BCECF7" w:rsidR="00D53C11" w:rsidRPr="008E31C7" w:rsidRDefault="00B517D8" w:rsidP="00662C7C">
      <w:pPr>
        <w:spacing w:line="240" w:lineRule="auto"/>
        <w:jc w:val="center"/>
        <w:rPr>
          <w:color w:val="00AFB9"/>
          <w:sz w:val="32"/>
          <w:szCs w:val="32"/>
        </w:rPr>
      </w:pPr>
      <w:r>
        <w:rPr>
          <w:color w:val="00AFB9"/>
          <w:sz w:val="32"/>
          <w:szCs w:val="32"/>
        </w:rPr>
        <w:t>October</w:t>
      </w:r>
      <w:r w:rsidR="00D53C11" w:rsidRPr="008E31C7">
        <w:rPr>
          <w:color w:val="00AFB9"/>
          <w:sz w:val="32"/>
          <w:szCs w:val="32"/>
        </w:rPr>
        <w:t xml:space="preserve"> 2022</w:t>
      </w:r>
    </w:p>
    <w:p w14:paraId="509FAB0F" w14:textId="77777777" w:rsidR="00D53C11" w:rsidRPr="008E31C7" w:rsidRDefault="00D53C11" w:rsidP="00D53C11">
      <w:pPr>
        <w:pStyle w:val="Heading1"/>
        <w:numPr>
          <w:ilvl w:val="0"/>
          <w:numId w:val="1"/>
        </w:numPr>
        <w:rPr>
          <w:b/>
          <w:color w:val="00A8AC"/>
        </w:rPr>
      </w:pPr>
      <w:r w:rsidRPr="008E31C7">
        <w:rPr>
          <w:b/>
          <w:color w:val="00A8AC"/>
        </w:rPr>
        <w:t>Aim</w:t>
      </w:r>
    </w:p>
    <w:p w14:paraId="58B13F65" w14:textId="647B655F" w:rsidR="00654C48" w:rsidRDefault="00D53C11" w:rsidP="00D53C11">
      <w:bookmarkStart w:id="0" w:name="_Hlk104379290"/>
      <w:r>
        <w:t>The Immunisation Taskforce</w:t>
      </w:r>
      <w:r w:rsidR="00343F2B" w:rsidRPr="00343F2B">
        <w:t xml:space="preserve"> </w:t>
      </w:r>
      <w:r w:rsidR="00343F2B">
        <w:t>has been</w:t>
      </w:r>
      <w:r w:rsidR="00343F2B" w:rsidRPr="00343F2B">
        <w:t xml:space="preserve"> commissioned by </w:t>
      </w:r>
      <w:r w:rsidR="00343F2B">
        <w:t>the</w:t>
      </w:r>
      <w:r w:rsidR="00343F2B" w:rsidRPr="00343F2B">
        <w:t xml:space="preserve"> C</w:t>
      </w:r>
      <w:r w:rsidR="00343F2B">
        <w:t xml:space="preserve">hief </w:t>
      </w:r>
      <w:r w:rsidR="00343F2B" w:rsidRPr="00343F2B">
        <w:t>E</w:t>
      </w:r>
      <w:r w:rsidR="00343F2B">
        <w:t>xecutive</w:t>
      </w:r>
      <w:r w:rsidR="00343F2B" w:rsidRPr="00343F2B">
        <w:t xml:space="preserve"> of </w:t>
      </w:r>
      <w:r w:rsidR="00EE40C3">
        <w:t>Te Whatu Ora</w:t>
      </w:r>
      <w:r w:rsidR="00343F2B" w:rsidRPr="00343F2B">
        <w:t xml:space="preserve"> </w:t>
      </w:r>
      <w:r w:rsidR="00343F2B">
        <w:t>to</w:t>
      </w:r>
      <w:r w:rsidR="00343F2B" w:rsidRPr="00343F2B">
        <w:t xml:space="preserve"> provide a focus on immunisation</w:t>
      </w:r>
      <w:r w:rsidR="00343F2B">
        <w:t>.</w:t>
      </w:r>
      <w:r w:rsidR="005E5F9B">
        <w:t xml:space="preserve"> </w:t>
      </w:r>
      <w:r w:rsidR="00E57502" w:rsidRPr="005B7DBC">
        <w:t xml:space="preserve">The Taskforce will </w:t>
      </w:r>
      <w:r w:rsidR="008F555D">
        <w:t>contribute</w:t>
      </w:r>
      <w:r w:rsidR="00E57502" w:rsidRPr="005B7DBC">
        <w:t xml:space="preserve"> evidence-based advice on how Aotearoa can </w:t>
      </w:r>
      <w:r w:rsidR="00AD34C3">
        <w:t>build</w:t>
      </w:r>
      <w:r w:rsidR="00E57502" w:rsidRPr="005B7DBC">
        <w:t xml:space="preserve"> </w:t>
      </w:r>
      <w:r w:rsidR="00AD34C3">
        <w:t xml:space="preserve">a </w:t>
      </w:r>
      <w:r w:rsidR="00DE2C8E">
        <w:t>fully</w:t>
      </w:r>
      <w:r w:rsidR="00F63DF9">
        <w:t xml:space="preserve"> </w:t>
      </w:r>
      <w:r w:rsidR="00DE2C8E">
        <w:t>functioning</w:t>
      </w:r>
      <w:r w:rsidR="00AD34C3">
        <w:t xml:space="preserve"> </w:t>
      </w:r>
      <w:r w:rsidR="004F3B2B">
        <w:t>system</w:t>
      </w:r>
      <w:r w:rsidR="00D55367">
        <w:t xml:space="preserve"> to deliver </w:t>
      </w:r>
      <w:r w:rsidR="00E57502" w:rsidRPr="005B7DBC">
        <w:t xml:space="preserve">all the immunisations </w:t>
      </w:r>
      <w:r w:rsidR="004F3B2B">
        <w:t>available</w:t>
      </w:r>
      <w:r w:rsidR="00E57502" w:rsidRPr="005B7DBC">
        <w:t xml:space="preserve"> in Aotearoa</w:t>
      </w:r>
      <w:r w:rsidR="00E57502">
        <w:t>,</w:t>
      </w:r>
      <w:r w:rsidR="00E57502" w:rsidRPr="005B7DBC">
        <w:t xml:space="preserve"> with a focus on </w:t>
      </w:r>
      <w:r w:rsidR="00BA100D">
        <w:t xml:space="preserve">priority populations </w:t>
      </w:r>
      <w:r w:rsidR="00F63DF9">
        <w:t xml:space="preserve">and the systemic issues </w:t>
      </w:r>
      <w:r w:rsidR="00BA100D">
        <w:t xml:space="preserve">that </w:t>
      </w:r>
      <w:r w:rsidR="00F63DF9">
        <w:t>lead to</w:t>
      </w:r>
      <w:r w:rsidR="00BA100D">
        <w:t xml:space="preserve"> </w:t>
      </w:r>
      <w:r w:rsidR="00281603">
        <w:t>in</w:t>
      </w:r>
      <w:r w:rsidR="00BA100D">
        <w:t>equitable access</w:t>
      </w:r>
      <w:r w:rsidR="00653EFB">
        <w:t xml:space="preserve"> and disparities</w:t>
      </w:r>
      <w:r w:rsidR="00BA100D">
        <w:t xml:space="preserve"> </w:t>
      </w:r>
      <w:r w:rsidR="00F63DF9">
        <w:t>in</w:t>
      </w:r>
      <w:r w:rsidR="00653EFB">
        <w:t xml:space="preserve"> </w:t>
      </w:r>
      <w:r w:rsidR="00BA100D">
        <w:t>vaccination</w:t>
      </w:r>
      <w:r w:rsidR="00F63DF9">
        <w:t xml:space="preserve"> rates</w:t>
      </w:r>
      <w:r w:rsidR="00BA100D">
        <w:t xml:space="preserve"> across Aotearoa. </w:t>
      </w:r>
      <w:r w:rsidR="00343F2B">
        <w:t>The</w:t>
      </w:r>
      <w:r w:rsidR="00E63F26">
        <w:t xml:space="preserve">re is an opportunity </w:t>
      </w:r>
      <w:r w:rsidR="001B4FA0">
        <w:t xml:space="preserve">for greater, and more effective, </w:t>
      </w:r>
      <w:r w:rsidR="00343F2B">
        <w:t xml:space="preserve">coordination </w:t>
      </w:r>
      <w:r w:rsidR="001B4FA0">
        <w:t>across</w:t>
      </w:r>
      <w:r w:rsidR="00343F2B">
        <w:t xml:space="preserve"> the health system to</w:t>
      </w:r>
      <w:r>
        <w:t xml:space="preserve"> accelerate the uptake of </w:t>
      </w:r>
      <w:r w:rsidR="0026407D">
        <w:t xml:space="preserve">immunisations </w:t>
      </w:r>
      <w:r w:rsidR="001B4FA0">
        <w:t>in</w:t>
      </w:r>
      <w:r w:rsidR="0026407D">
        <w:t xml:space="preserve"> Aotearoa. </w:t>
      </w:r>
      <w:r w:rsidR="00654C48">
        <w:t>These immunisations include:</w:t>
      </w:r>
    </w:p>
    <w:p w14:paraId="1ACBBCCE" w14:textId="71B2D702" w:rsidR="00654C48" w:rsidRDefault="00654C48" w:rsidP="00654C48">
      <w:pPr>
        <w:pStyle w:val="ListParagraph"/>
        <w:numPr>
          <w:ilvl w:val="0"/>
          <w:numId w:val="25"/>
        </w:numPr>
      </w:pPr>
      <w:r>
        <w:t>All childhood immunisations</w:t>
      </w:r>
    </w:p>
    <w:p w14:paraId="74EF5352" w14:textId="463666D5" w:rsidR="00654C48" w:rsidRDefault="00E9461F" w:rsidP="00654C48">
      <w:pPr>
        <w:pStyle w:val="ListParagraph"/>
        <w:numPr>
          <w:ilvl w:val="0"/>
          <w:numId w:val="25"/>
        </w:numPr>
      </w:pPr>
      <w:r>
        <w:t>COVID</w:t>
      </w:r>
      <w:r w:rsidR="00432EBB">
        <w:t>-19</w:t>
      </w:r>
      <w:r w:rsidR="00654C48">
        <w:t xml:space="preserve"> immunisations</w:t>
      </w:r>
    </w:p>
    <w:p w14:paraId="1CD4B5D5" w14:textId="4FFA05B9" w:rsidR="00654C48" w:rsidRDefault="00654C48" w:rsidP="00654C48">
      <w:pPr>
        <w:pStyle w:val="ListParagraph"/>
        <w:numPr>
          <w:ilvl w:val="0"/>
          <w:numId w:val="25"/>
        </w:numPr>
      </w:pPr>
      <w:r>
        <w:t>Maternal immunisations</w:t>
      </w:r>
    </w:p>
    <w:p w14:paraId="14827E49" w14:textId="7C6174AB" w:rsidR="00F546A7" w:rsidRDefault="00654C48" w:rsidP="00F546A7">
      <w:pPr>
        <w:pStyle w:val="ListParagraph"/>
        <w:numPr>
          <w:ilvl w:val="0"/>
          <w:numId w:val="25"/>
        </w:numPr>
      </w:pPr>
      <w:r>
        <w:t>Influenza</w:t>
      </w:r>
    </w:p>
    <w:p w14:paraId="18BC91F0" w14:textId="1EFD4486" w:rsidR="00654C48" w:rsidRDefault="00654C48" w:rsidP="00654C48">
      <w:pPr>
        <w:pStyle w:val="ListParagraph"/>
        <w:numPr>
          <w:ilvl w:val="0"/>
          <w:numId w:val="25"/>
        </w:numPr>
      </w:pPr>
      <w:r>
        <w:t>Catch up on missed immunisations, with particular focus on MMR.</w:t>
      </w:r>
    </w:p>
    <w:p w14:paraId="2B2F2BE8" w14:textId="6D4B28BF" w:rsidR="00654C48" w:rsidRDefault="00516269" w:rsidP="00654C48">
      <w:r>
        <w:t xml:space="preserve">The current changes </w:t>
      </w:r>
      <w:r w:rsidR="00043149">
        <w:t>to</w:t>
      </w:r>
      <w:r>
        <w:t xml:space="preserve"> the</w:t>
      </w:r>
      <w:r w:rsidR="00043149">
        <w:t xml:space="preserve"> wider</w:t>
      </w:r>
      <w:r>
        <w:t xml:space="preserve"> health system provide a</w:t>
      </w:r>
      <w:r w:rsidR="000D675A">
        <w:t xml:space="preserve">n </w:t>
      </w:r>
      <w:r>
        <w:t xml:space="preserve">opportunity for a </w:t>
      </w:r>
      <w:r w:rsidR="00291C76">
        <w:t xml:space="preserve">redesign of the </w:t>
      </w:r>
      <w:r w:rsidR="00BC7BA3">
        <w:t xml:space="preserve">current </w:t>
      </w:r>
      <w:r w:rsidR="00291C76">
        <w:t xml:space="preserve">immunisation system. This can be informed </w:t>
      </w:r>
      <w:r w:rsidR="00BF2DEE">
        <w:t xml:space="preserve">by, and </w:t>
      </w:r>
      <w:r w:rsidR="00291C76">
        <w:t>through</w:t>
      </w:r>
      <w:r w:rsidR="00BF2DEE">
        <w:t xml:space="preserve"> leveraging,</w:t>
      </w:r>
      <w:r w:rsidR="00291C76">
        <w:t xml:space="preserve"> the knowledge and experience acquired through the </w:t>
      </w:r>
      <w:r w:rsidR="00E9461F">
        <w:t>COVID</w:t>
      </w:r>
      <w:r w:rsidR="00291C76">
        <w:t>-19 vaccine roll-out, including the use of novel approaches</w:t>
      </w:r>
      <w:r w:rsidR="0051223C">
        <w:t>, infrastructure</w:t>
      </w:r>
      <w:r w:rsidR="00291C76">
        <w:t xml:space="preserve"> and outreach campaigns designed around priority populations. </w:t>
      </w:r>
      <w:r w:rsidR="00C80B10">
        <w:t>T</w:t>
      </w:r>
      <w:r w:rsidR="003E7687">
        <w:t xml:space="preserve">he </w:t>
      </w:r>
      <w:r w:rsidR="00592933">
        <w:t xml:space="preserve">experience of the </w:t>
      </w:r>
      <w:r w:rsidR="00A41595">
        <w:t xml:space="preserve">administration of the COVID-19 vaccine to children </w:t>
      </w:r>
      <w:r w:rsidR="0017546C">
        <w:t>highlighted</w:t>
      </w:r>
      <w:r w:rsidR="00B23C9D">
        <w:t xml:space="preserve"> </w:t>
      </w:r>
      <w:r w:rsidR="00C80B10">
        <w:t xml:space="preserve">fundamental </w:t>
      </w:r>
      <w:r w:rsidR="00B23C9D">
        <w:t>ethnic inequalities and</w:t>
      </w:r>
      <w:r w:rsidR="002C3408">
        <w:t xml:space="preserve"> inequities in the</w:t>
      </w:r>
      <w:r w:rsidR="00A41595">
        <w:t xml:space="preserve"> system</w:t>
      </w:r>
      <w:r w:rsidR="00592933">
        <w:t xml:space="preserve">. The </w:t>
      </w:r>
      <w:r w:rsidR="000E19AB">
        <w:t>Taskforce will</w:t>
      </w:r>
      <w:r w:rsidR="00A41595">
        <w:t xml:space="preserve"> </w:t>
      </w:r>
      <w:r w:rsidR="00592933">
        <w:t xml:space="preserve">contribute advice on </w:t>
      </w:r>
      <w:r w:rsidR="008863CE">
        <w:t>opportunities to address these.</w:t>
      </w:r>
    </w:p>
    <w:bookmarkEnd w:id="0"/>
    <w:p w14:paraId="2CF46054" w14:textId="608F1CD8" w:rsidR="00D53C11" w:rsidRPr="008E31C7" w:rsidRDefault="00D53C11" w:rsidP="008E5FA1">
      <w:pPr>
        <w:pStyle w:val="Heading1"/>
        <w:numPr>
          <w:ilvl w:val="0"/>
          <w:numId w:val="1"/>
        </w:numPr>
        <w:rPr>
          <w:b/>
          <w:color w:val="00A8AC"/>
        </w:rPr>
      </w:pPr>
      <w:r w:rsidRPr="008E31C7">
        <w:rPr>
          <w:b/>
          <w:color w:val="00A8AC"/>
        </w:rPr>
        <w:t>Role</w:t>
      </w:r>
    </w:p>
    <w:p w14:paraId="0FFF8D03" w14:textId="63BD046C" w:rsidR="00D53C11" w:rsidRDefault="00C14567" w:rsidP="00C0322E">
      <w:pPr>
        <w:pStyle w:val="ListParagraph"/>
        <w:spacing w:after="0"/>
        <w:ind w:left="0"/>
      </w:pPr>
      <w:bookmarkStart w:id="1" w:name="_Hlk104383001"/>
      <w:r>
        <w:t xml:space="preserve">The Taskforce will </w:t>
      </w:r>
      <w:r w:rsidR="0017546C">
        <w:t>report back</w:t>
      </w:r>
      <w:r>
        <w:t xml:space="preserve"> to</w:t>
      </w:r>
      <w:r w:rsidR="0017546C">
        <w:t xml:space="preserve"> the Chief Executive of</w:t>
      </w:r>
      <w:r>
        <w:t xml:space="preserve"> </w:t>
      </w:r>
      <w:r w:rsidR="008521CA" w:rsidRPr="000626AF">
        <w:t>Te Wha</w:t>
      </w:r>
      <w:r w:rsidR="00B5029D" w:rsidRPr="000626AF">
        <w:t>tu Ora</w:t>
      </w:r>
      <w:r w:rsidR="00AD07FA" w:rsidRPr="000626AF">
        <w:t xml:space="preserve"> </w:t>
      </w:r>
      <w:r w:rsidR="00AD07FA">
        <w:t xml:space="preserve">through the </w:t>
      </w:r>
      <w:r w:rsidR="008E5FA1">
        <w:t xml:space="preserve">Director, </w:t>
      </w:r>
      <w:r w:rsidR="00A121CC">
        <w:t xml:space="preserve">National </w:t>
      </w:r>
      <w:r w:rsidR="008E5FA1">
        <w:t>Public Health Service</w:t>
      </w:r>
      <w:r w:rsidR="00AD07FA">
        <w:t>. Its role will include</w:t>
      </w:r>
      <w:r w:rsidR="00207BDA">
        <w:t xml:space="preserve"> contributing advice to Te Whatu Ora on how </w:t>
      </w:r>
      <w:r w:rsidR="00EE40C3">
        <w:t>Te Whatu Ora</w:t>
      </w:r>
      <w:r w:rsidR="00207BDA">
        <w:t xml:space="preserve"> can</w:t>
      </w:r>
      <w:r w:rsidR="00500B96">
        <w:t>:</w:t>
      </w:r>
      <w:r w:rsidR="00E80AE7">
        <w:tab/>
      </w:r>
    </w:p>
    <w:p w14:paraId="59D15A52" w14:textId="77777777" w:rsidR="00316131" w:rsidRDefault="00316131" w:rsidP="00316131">
      <w:pPr>
        <w:spacing w:after="0"/>
      </w:pPr>
    </w:p>
    <w:p w14:paraId="3B9F795B" w14:textId="380D1EBB" w:rsidR="00C14567" w:rsidRDefault="00422395" w:rsidP="00316131">
      <w:pPr>
        <w:pStyle w:val="ListParagraph"/>
        <w:numPr>
          <w:ilvl w:val="0"/>
          <w:numId w:val="2"/>
        </w:numPr>
        <w:spacing w:after="0"/>
        <w:ind w:left="714" w:hanging="357"/>
      </w:pPr>
      <w:r>
        <w:t>D</w:t>
      </w:r>
      <w:r w:rsidR="002B748E">
        <w:t xml:space="preserve">evelop a </w:t>
      </w:r>
      <w:r w:rsidR="00731D1A">
        <w:t>governance structure around immunisations in Aotearoa. This should include leadership and responsibility for the system</w:t>
      </w:r>
    </w:p>
    <w:p w14:paraId="1229A2B0" w14:textId="77777777" w:rsidR="001D66F1" w:rsidRDefault="001D66F1" w:rsidP="001D66F1">
      <w:pPr>
        <w:pStyle w:val="ListParagraph"/>
        <w:spacing w:after="0"/>
        <w:ind w:left="714"/>
      </w:pPr>
    </w:p>
    <w:p w14:paraId="73A3CB0B" w14:textId="6A60B330" w:rsidR="0090556B" w:rsidRDefault="00422395" w:rsidP="0090556B">
      <w:pPr>
        <w:pStyle w:val="ListParagraph"/>
        <w:numPr>
          <w:ilvl w:val="0"/>
          <w:numId w:val="2"/>
        </w:numPr>
        <w:spacing w:after="0"/>
        <w:ind w:left="714" w:hanging="357"/>
      </w:pPr>
      <w:r>
        <w:t xml:space="preserve">Establish </w:t>
      </w:r>
      <w:r w:rsidR="001D66F1">
        <w:t>the appropriate roles and functions of all parts</w:t>
      </w:r>
      <w:r w:rsidR="0090556B">
        <w:t xml:space="preserve"> of the immunisation system and process</w:t>
      </w:r>
    </w:p>
    <w:p w14:paraId="17D82AEE" w14:textId="77777777" w:rsidR="0090556B" w:rsidRDefault="0090556B" w:rsidP="0090556B">
      <w:pPr>
        <w:pStyle w:val="ListParagraph"/>
      </w:pPr>
    </w:p>
    <w:p w14:paraId="3C44009C" w14:textId="534719C8" w:rsidR="0090556B" w:rsidRDefault="00422395" w:rsidP="0090556B">
      <w:pPr>
        <w:pStyle w:val="ListParagraph"/>
        <w:numPr>
          <w:ilvl w:val="0"/>
          <w:numId w:val="2"/>
        </w:numPr>
        <w:spacing w:after="0"/>
        <w:ind w:left="714" w:hanging="357"/>
      </w:pPr>
      <w:r>
        <w:t>M</w:t>
      </w:r>
      <w:r w:rsidR="00B46FCB">
        <w:t xml:space="preserve">eet </w:t>
      </w:r>
      <w:r w:rsidR="00EE40C3">
        <w:t>its</w:t>
      </w:r>
      <w:r w:rsidR="00B46FCB">
        <w:t xml:space="preserve"> obligation</w:t>
      </w:r>
      <w:r w:rsidR="004D439B">
        <w:t>s</w:t>
      </w:r>
      <w:r w:rsidR="00B46FCB">
        <w:t xml:space="preserve"> under Te Tiriti o Waitangi by </w:t>
      </w:r>
      <w:r w:rsidR="002B4FB8">
        <w:t xml:space="preserve">working towards the </w:t>
      </w:r>
      <w:r w:rsidR="00B46FCB">
        <w:t>eliminat</w:t>
      </w:r>
      <w:r w:rsidR="002B4FB8">
        <w:t>ion of</w:t>
      </w:r>
      <w:r w:rsidR="00B46FCB">
        <w:t xml:space="preserve"> ethnic disparities in the immunisation system in Aotearoa</w:t>
      </w:r>
      <w:r w:rsidR="00C36CF8">
        <w:t>,</w:t>
      </w:r>
      <w:r w:rsidR="002B4FB8">
        <w:t xml:space="preserve"> and </w:t>
      </w:r>
      <w:r w:rsidR="00C36CF8">
        <w:t>ensur</w:t>
      </w:r>
      <w:r w:rsidR="004D439B">
        <w:t>e</w:t>
      </w:r>
      <w:r w:rsidR="00C36CF8">
        <w:t xml:space="preserve"> equity is embedded in all aspects of the immunisation system</w:t>
      </w:r>
    </w:p>
    <w:p w14:paraId="5E73BCB8" w14:textId="77777777" w:rsidR="00511409" w:rsidRDefault="00511409" w:rsidP="00511409">
      <w:pPr>
        <w:spacing w:after="0"/>
      </w:pPr>
    </w:p>
    <w:p w14:paraId="29EA7FB5" w14:textId="127FA76C" w:rsidR="00511409" w:rsidRDefault="004D439B" w:rsidP="00511409">
      <w:pPr>
        <w:pStyle w:val="ListParagraph"/>
        <w:numPr>
          <w:ilvl w:val="0"/>
          <w:numId w:val="2"/>
        </w:numPr>
        <w:spacing w:after="0"/>
        <w:ind w:left="714" w:hanging="357"/>
      </w:pPr>
      <w:r>
        <w:t>S</w:t>
      </w:r>
      <w:r w:rsidR="00511409" w:rsidRPr="00680767">
        <w:t xml:space="preserve">upport and </w:t>
      </w:r>
      <w:r w:rsidR="00EB381E">
        <w:t>empower M</w:t>
      </w:r>
      <w:r w:rsidR="00EB381E">
        <w:rPr>
          <w:rFonts w:cstheme="minorHAnsi"/>
        </w:rPr>
        <w:t>ā</w:t>
      </w:r>
      <w:r w:rsidR="00EB381E">
        <w:t>ori providers,</w:t>
      </w:r>
      <w:r w:rsidR="00511409" w:rsidRPr="00680767">
        <w:t xml:space="preserve"> </w:t>
      </w:r>
      <w:proofErr w:type="spellStart"/>
      <w:r w:rsidR="00511409" w:rsidRPr="00680767">
        <w:t>whānau</w:t>
      </w:r>
      <w:proofErr w:type="spellEnd"/>
      <w:r w:rsidR="00511409" w:rsidRPr="00680767">
        <w:t xml:space="preserve">, </w:t>
      </w:r>
      <w:proofErr w:type="spellStart"/>
      <w:r w:rsidR="00511409" w:rsidRPr="00680767">
        <w:t>hapū</w:t>
      </w:r>
      <w:proofErr w:type="spellEnd"/>
      <w:r w:rsidR="00511409" w:rsidRPr="00680767">
        <w:t xml:space="preserve">, </w:t>
      </w:r>
      <w:r w:rsidR="00EB381E">
        <w:t xml:space="preserve">and </w:t>
      </w:r>
      <w:r w:rsidR="00511409" w:rsidRPr="00680767">
        <w:t>iwi</w:t>
      </w:r>
      <w:r w:rsidR="00EB381E">
        <w:t xml:space="preserve"> </w:t>
      </w:r>
      <w:r w:rsidR="00511409" w:rsidRPr="00680767">
        <w:t xml:space="preserve">to deliver the </w:t>
      </w:r>
      <w:r w:rsidR="000203C9">
        <w:t xml:space="preserve">immunisation </w:t>
      </w:r>
      <w:r w:rsidR="00511409">
        <w:t>p</w:t>
      </w:r>
      <w:r w:rsidR="00511409" w:rsidRPr="00680767">
        <w:t>rogramme to their communities where possible</w:t>
      </w:r>
    </w:p>
    <w:p w14:paraId="64B07CA1" w14:textId="77777777" w:rsidR="00EB381E" w:rsidRDefault="00EB381E" w:rsidP="00EB381E">
      <w:pPr>
        <w:pStyle w:val="ListParagraph"/>
      </w:pPr>
    </w:p>
    <w:p w14:paraId="2EDD605D" w14:textId="5D58F072" w:rsidR="00766144" w:rsidRDefault="004D439B" w:rsidP="00511409">
      <w:pPr>
        <w:pStyle w:val="ListParagraph"/>
        <w:numPr>
          <w:ilvl w:val="0"/>
          <w:numId w:val="2"/>
        </w:numPr>
        <w:spacing w:after="0"/>
        <w:ind w:left="714" w:hanging="357"/>
      </w:pPr>
      <w:r>
        <w:lastRenderedPageBreak/>
        <w:t>P</w:t>
      </w:r>
      <w:r w:rsidR="00766144">
        <w:t>romot</w:t>
      </w:r>
      <w:r w:rsidR="00207BDA">
        <w:t>e</w:t>
      </w:r>
      <w:r w:rsidR="00766144">
        <w:t xml:space="preserve"> and creat</w:t>
      </w:r>
      <w:r>
        <w:t>e</w:t>
      </w:r>
      <w:r w:rsidR="00766144">
        <w:t xml:space="preserve"> disability inclusive and accessible immunisation program</w:t>
      </w:r>
      <w:r w:rsidR="00905B6D">
        <w:t>m</w:t>
      </w:r>
      <w:r w:rsidR="00766144">
        <w:t>es</w:t>
      </w:r>
    </w:p>
    <w:p w14:paraId="7DC69EAE" w14:textId="77777777" w:rsidR="00766144" w:rsidRDefault="00766144" w:rsidP="00766144">
      <w:pPr>
        <w:pStyle w:val="ListParagraph"/>
      </w:pPr>
    </w:p>
    <w:p w14:paraId="211CB09F" w14:textId="0E9277A2" w:rsidR="00EB381E" w:rsidRDefault="003B2F5D" w:rsidP="00511409">
      <w:pPr>
        <w:pStyle w:val="ListParagraph"/>
        <w:numPr>
          <w:ilvl w:val="0"/>
          <w:numId w:val="2"/>
        </w:numPr>
        <w:spacing w:after="0"/>
        <w:ind w:left="714" w:hanging="357"/>
      </w:pPr>
      <w:r>
        <w:t>I</w:t>
      </w:r>
      <w:r w:rsidR="005B50D7">
        <w:t>mprov</w:t>
      </w:r>
      <w:r>
        <w:t>e</w:t>
      </w:r>
      <w:r w:rsidR="005B50D7">
        <w:t xml:space="preserve"> enablers in the immunisation system to increase </w:t>
      </w:r>
      <w:r w:rsidR="00E908E1">
        <w:t>vaccination uptake in an equitable and accessible way</w:t>
      </w:r>
    </w:p>
    <w:p w14:paraId="542A9A0E" w14:textId="77777777" w:rsidR="00E908E1" w:rsidRDefault="00E908E1" w:rsidP="00E908E1">
      <w:pPr>
        <w:pStyle w:val="ListParagraph"/>
      </w:pPr>
    </w:p>
    <w:p w14:paraId="0B36E638" w14:textId="3517F255" w:rsidR="00E908E1" w:rsidRDefault="00E908E1" w:rsidP="00511409">
      <w:pPr>
        <w:pStyle w:val="ListParagraph"/>
        <w:numPr>
          <w:ilvl w:val="0"/>
          <w:numId w:val="2"/>
        </w:numPr>
        <w:spacing w:after="0"/>
        <w:ind w:left="714" w:hanging="357"/>
      </w:pPr>
      <w:r>
        <w:t>Promot</w:t>
      </w:r>
      <w:r w:rsidR="00E565A9">
        <w:t>e</w:t>
      </w:r>
      <w:r>
        <w:t xml:space="preserve"> and support the development</w:t>
      </w:r>
      <w:r w:rsidR="008E75EA">
        <w:t xml:space="preserve"> of M</w:t>
      </w:r>
      <w:r w:rsidR="008E75EA">
        <w:rPr>
          <w:rFonts w:cstheme="minorHAnsi"/>
        </w:rPr>
        <w:t>ā</w:t>
      </w:r>
      <w:r w:rsidR="008E75EA">
        <w:t xml:space="preserve">ori and </w:t>
      </w:r>
      <w:r w:rsidR="00BC3AF9">
        <w:t>P</w:t>
      </w:r>
      <w:r w:rsidR="008E75EA">
        <w:t>acific providers to deliver vaccines through culturally appropriate methods in their own communities</w:t>
      </w:r>
    </w:p>
    <w:p w14:paraId="35015A6D" w14:textId="77777777" w:rsidR="005609D1" w:rsidRDefault="005609D1" w:rsidP="005609D1">
      <w:pPr>
        <w:pStyle w:val="ListParagraph"/>
      </w:pPr>
    </w:p>
    <w:p w14:paraId="2954CB20" w14:textId="6E95E5D0" w:rsidR="005609D1" w:rsidRDefault="005609D1" w:rsidP="005609D1">
      <w:pPr>
        <w:spacing w:after="0"/>
      </w:pPr>
      <w:r>
        <w:t xml:space="preserve">In addition, the Taskforce will </w:t>
      </w:r>
      <w:r w:rsidR="009806FB">
        <w:t>have a role in:</w:t>
      </w:r>
    </w:p>
    <w:p w14:paraId="54F63209" w14:textId="53A514ED" w:rsidR="003C34C1" w:rsidRDefault="003C34C1" w:rsidP="003C34C1">
      <w:pPr>
        <w:pStyle w:val="ListParagraph"/>
        <w:numPr>
          <w:ilvl w:val="0"/>
          <w:numId w:val="2"/>
        </w:numPr>
        <w:spacing w:after="0"/>
        <w:ind w:left="714" w:hanging="357"/>
      </w:pPr>
      <w:r>
        <w:t>Ensur</w:t>
      </w:r>
      <w:r w:rsidR="009806FB">
        <w:t xml:space="preserve">ing the </w:t>
      </w:r>
      <w:r>
        <w:t>effective prioritisation of immunisation-related initiatives by Ministry of Health</w:t>
      </w:r>
      <w:r w:rsidR="00EE40C3">
        <w:t>, the</w:t>
      </w:r>
      <w:r>
        <w:t xml:space="preserve"> National Public Health </w:t>
      </w:r>
      <w:r w:rsidR="00EE40C3">
        <w:t>Service</w:t>
      </w:r>
      <w:r>
        <w:t>, health districts and regions.</w:t>
      </w:r>
    </w:p>
    <w:p w14:paraId="32D0473E" w14:textId="77777777" w:rsidR="009806FB" w:rsidRDefault="009806FB" w:rsidP="009806FB">
      <w:pPr>
        <w:spacing w:after="0"/>
      </w:pPr>
    </w:p>
    <w:p w14:paraId="6F87ADF6" w14:textId="1454B67C" w:rsidR="00781E2E" w:rsidRDefault="00500B96" w:rsidP="00316131">
      <w:pPr>
        <w:pStyle w:val="ListParagraph"/>
        <w:numPr>
          <w:ilvl w:val="0"/>
          <w:numId w:val="2"/>
        </w:numPr>
        <w:spacing w:after="0"/>
        <w:ind w:left="714" w:hanging="357"/>
      </w:pPr>
      <w:r>
        <w:t>Act</w:t>
      </w:r>
      <w:r w:rsidR="00AD07FA">
        <w:t>ing</w:t>
      </w:r>
      <w:r>
        <w:t xml:space="preserve"> as an escalation point for </w:t>
      </w:r>
      <w:r w:rsidR="006A65E3">
        <w:t xml:space="preserve">regional issues identified with the delivery of </w:t>
      </w:r>
      <w:r w:rsidR="00EE40C3">
        <w:t>influenza</w:t>
      </w:r>
      <w:r w:rsidR="00781E2E">
        <w:t>, childhood, MMR, Covid, and maternal immunisations, and providing guidance to resolve issues quickly where possible</w:t>
      </w:r>
    </w:p>
    <w:p w14:paraId="0F6BD47E" w14:textId="78193FA6" w:rsidR="00AD07FA" w:rsidRDefault="00AD07FA" w:rsidP="00D204FA">
      <w:pPr>
        <w:spacing w:after="0"/>
      </w:pPr>
    </w:p>
    <w:p w14:paraId="7B016A8D" w14:textId="639F04E7" w:rsidR="00D46F9A" w:rsidRDefault="00D46F9A" w:rsidP="00FA6635">
      <w:pPr>
        <w:spacing w:after="0"/>
      </w:pPr>
      <w:r w:rsidRPr="00FA6635">
        <w:t xml:space="preserve">The </w:t>
      </w:r>
      <w:r w:rsidR="00FA6635">
        <w:t>Taskforce</w:t>
      </w:r>
      <w:r w:rsidRPr="00FA6635">
        <w:t xml:space="preserve"> will </w:t>
      </w:r>
      <w:r w:rsidR="009806FB">
        <w:t xml:space="preserve">also </w:t>
      </w:r>
      <w:r w:rsidRPr="00FA6635">
        <w:t>consider for endorsement any proposals or plans provided by other</w:t>
      </w:r>
      <w:r w:rsidR="00283794">
        <w:t xml:space="preserve"> </w:t>
      </w:r>
      <w:r w:rsidR="00103197">
        <w:t xml:space="preserve">immunisation </w:t>
      </w:r>
      <w:r w:rsidRPr="00FA6635">
        <w:t xml:space="preserve">advisory groups. The </w:t>
      </w:r>
      <w:r w:rsidR="00F253B6">
        <w:t>Taskforce</w:t>
      </w:r>
      <w:r w:rsidR="00F253B6" w:rsidRPr="00FA6635">
        <w:t xml:space="preserve"> </w:t>
      </w:r>
      <w:r w:rsidRPr="00FA6635">
        <w:t xml:space="preserve">will provide </w:t>
      </w:r>
      <w:r w:rsidR="00E60B44">
        <w:t xml:space="preserve">Te Whatu Ora </w:t>
      </w:r>
      <w:r w:rsidRPr="00FA6635">
        <w:t>with its best advice. This advice is not binding</w:t>
      </w:r>
      <w:r w:rsidR="006A7E96">
        <w:t xml:space="preserve">, </w:t>
      </w:r>
      <w:r w:rsidR="007D0713">
        <w:t xml:space="preserve">as </w:t>
      </w:r>
      <w:r w:rsidR="006A7E96">
        <w:t xml:space="preserve">Te Whatu Ora </w:t>
      </w:r>
      <w:r w:rsidR="007D0713">
        <w:t>may take a different position</w:t>
      </w:r>
      <w:r w:rsidR="006A7E96">
        <w:t>.</w:t>
      </w:r>
    </w:p>
    <w:p w14:paraId="6F598A0A" w14:textId="77777777" w:rsidR="00FA6635" w:rsidRPr="00FA6635" w:rsidRDefault="00FA6635" w:rsidP="00FA6635">
      <w:pPr>
        <w:spacing w:after="0"/>
      </w:pPr>
    </w:p>
    <w:p w14:paraId="00618AED" w14:textId="40FBB96C" w:rsidR="00D46F9A" w:rsidRPr="00B07F56" w:rsidRDefault="00D46F9A" w:rsidP="003B3D99">
      <w:pPr>
        <w:pStyle w:val="Heading1"/>
        <w:numPr>
          <w:ilvl w:val="1"/>
          <w:numId w:val="1"/>
        </w:numPr>
        <w:ind w:left="567" w:hanging="567"/>
        <w:rPr>
          <w:b/>
          <w:bCs/>
          <w:color w:val="00A8AC"/>
          <w:sz w:val="28"/>
          <w:szCs w:val="28"/>
        </w:rPr>
      </w:pPr>
      <w:r w:rsidRPr="00B07F56">
        <w:rPr>
          <w:b/>
          <w:bCs/>
          <w:color w:val="00A8AC"/>
          <w:sz w:val="28"/>
          <w:szCs w:val="28"/>
        </w:rPr>
        <w:t>Sub-groups and wider consultation</w:t>
      </w:r>
    </w:p>
    <w:p w14:paraId="5EDFF2DB" w14:textId="2A753CDE" w:rsidR="00D46F9A" w:rsidRDefault="00D46F9A" w:rsidP="004C70E9">
      <w:pPr>
        <w:spacing w:after="0"/>
      </w:pPr>
      <w:r w:rsidRPr="000C4335">
        <w:t xml:space="preserve">The </w:t>
      </w:r>
      <w:r w:rsidR="000C4335" w:rsidRPr="000C4335">
        <w:t>Taskforce</w:t>
      </w:r>
      <w:r w:rsidRPr="000C4335">
        <w:t xml:space="preserve"> will convene appropriate sub-groups to meet and provide specialist advice when required or requested by </w:t>
      </w:r>
      <w:r w:rsidR="007D0713">
        <w:t>Te Wha</w:t>
      </w:r>
      <w:r w:rsidR="00896F8F">
        <w:t>t</w:t>
      </w:r>
      <w:r w:rsidR="007D0713">
        <w:t>u Ora.</w:t>
      </w:r>
      <w:r w:rsidRPr="000C4335">
        <w:t xml:space="preserve">  The </w:t>
      </w:r>
      <w:r w:rsidR="000C4335" w:rsidRPr="000C4335">
        <w:t>Taskforce</w:t>
      </w:r>
      <w:r w:rsidRPr="000C4335">
        <w:t xml:space="preserve"> will nominate a chair from the </w:t>
      </w:r>
      <w:r w:rsidR="000C4335" w:rsidRPr="000C4335">
        <w:t>Taskforce</w:t>
      </w:r>
      <w:r w:rsidRPr="000C4335">
        <w:t xml:space="preserve"> for each of these sub-groups. The </w:t>
      </w:r>
      <w:r w:rsidR="000C4335" w:rsidRPr="000C4335">
        <w:t xml:space="preserve">Taskforce </w:t>
      </w:r>
      <w:r w:rsidRPr="000C4335">
        <w:t xml:space="preserve">and sub-groups are required to have targeted consultation with Māori health experts. The </w:t>
      </w:r>
      <w:r w:rsidR="000C4335" w:rsidRPr="000C4335">
        <w:t xml:space="preserve">Taskforce </w:t>
      </w:r>
      <w:r w:rsidRPr="000C4335">
        <w:t xml:space="preserve">and sub-groups may request expansion of consultation beyond the membership </w:t>
      </w:r>
      <w:proofErr w:type="gramStart"/>
      <w:r w:rsidRPr="000C4335">
        <w:t>in order to</w:t>
      </w:r>
      <w:proofErr w:type="gramEnd"/>
      <w:r w:rsidRPr="000C4335">
        <w:t xml:space="preserve"> develop robust advice that is fit for purpose. Stakeholder reference groups may be convened with the permission of </w:t>
      </w:r>
      <w:r w:rsidR="00102EBE">
        <w:t xml:space="preserve">Te Whatu Ora </w:t>
      </w:r>
      <w:r w:rsidRPr="000C4335">
        <w:t xml:space="preserve">to capture other wider interests (such as social sector, education, business) in the shaping of advice. </w:t>
      </w:r>
    </w:p>
    <w:bookmarkEnd w:id="1"/>
    <w:p w14:paraId="543DE3C4" w14:textId="77777777" w:rsidR="008A2FB7" w:rsidRPr="00B07F56" w:rsidRDefault="005B6991" w:rsidP="008A2FB7">
      <w:pPr>
        <w:pStyle w:val="Heading1"/>
        <w:numPr>
          <w:ilvl w:val="0"/>
          <w:numId w:val="1"/>
        </w:numPr>
        <w:rPr>
          <w:b/>
          <w:color w:val="00A8AC"/>
        </w:rPr>
      </w:pPr>
      <w:r w:rsidRPr="00B07F56">
        <w:rPr>
          <w:b/>
          <w:color w:val="00A8AC"/>
        </w:rPr>
        <w:t>Scope</w:t>
      </w:r>
    </w:p>
    <w:p w14:paraId="72FD65A7" w14:textId="0DC88EF2" w:rsidR="005B6991" w:rsidRDefault="005B6991" w:rsidP="005B6991">
      <w:r>
        <w:t xml:space="preserve">The scope of this </w:t>
      </w:r>
      <w:r w:rsidR="004C70E9">
        <w:t>T</w:t>
      </w:r>
      <w:r>
        <w:t xml:space="preserve">askforce will include, but not be limited to, resolving </w:t>
      </w:r>
      <w:proofErr w:type="gramStart"/>
      <w:r>
        <w:t>issues</w:t>
      </w:r>
      <w:proofErr w:type="gramEnd"/>
      <w:r>
        <w:t xml:space="preserve"> and realising opportunities associated with:</w:t>
      </w:r>
    </w:p>
    <w:p w14:paraId="01895BC8" w14:textId="1D08868B" w:rsidR="00A6734C" w:rsidRDefault="00A6734C" w:rsidP="00A6734C">
      <w:pPr>
        <w:rPr>
          <w:b/>
        </w:rPr>
      </w:pPr>
      <w:r>
        <w:rPr>
          <w:b/>
        </w:rPr>
        <w:t>Delivery</w:t>
      </w:r>
    </w:p>
    <w:p w14:paraId="61DFBF70" w14:textId="3B35B9BC" w:rsidR="00A6734C" w:rsidRPr="00845720" w:rsidRDefault="001B334D" w:rsidP="00A6734C">
      <w:pPr>
        <w:pStyle w:val="ListParagraph"/>
        <w:numPr>
          <w:ilvl w:val="0"/>
          <w:numId w:val="6"/>
        </w:numPr>
        <w:rPr>
          <w:b/>
        </w:rPr>
      </w:pPr>
      <w:r>
        <w:rPr>
          <w:i/>
        </w:rPr>
        <w:t>System constraints</w:t>
      </w:r>
    </w:p>
    <w:p w14:paraId="2338F875" w14:textId="77777777" w:rsidR="005F4BAE" w:rsidRDefault="00845720" w:rsidP="005F4BAE">
      <w:pPr>
        <w:pStyle w:val="ListParagraph"/>
        <w:numPr>
          <w:ilvl w:val="0"/>
          <w:numId w:val="6"/>
        </w:numPr>
        <w:rPr>
          <w:i/>
        </w:rPr>
      </w:pPr>
      <w:r>
        <w:rPr>
          <w:i/>
        </w:rPr>
        <w:t>O</w:t>
      </w:r>
      <w:r w:rsidR="00CD1442">
        <w:rPr>
          <w:i/>
        </w:rPr>
        <w:t>perational strategy</w:t>
      </w:r>
      <w:r w:rsidR="005F4BAE" w:rsidRPr="005F4BAE">
        <w:rPr>
          <w:i/>
        </w:rPr>
        <w:t xml:space="preserve"> </w:t>
      </w:r>
    </w:p>
    <w:p w14:paraId="172326D5" w14:textId="4A508C73" w:rsidR="00845720" w:rsidRPr="005F4BAE" w:rsidRDefault="005F4BAE" w:rsidP="005F4BAE">
      <w:pPr>
        <w:pStyle w:val="ListParagraph"/>
        <w:numPr>
          <w:ilvl w:val="0"/>
          <w:numId w:val="6"/>
        </w:numPr>
        <w:rPr>
          <w:i/>
        </w:rPr>
      </w:pPr>
      <w:r>
        <w:rPr>
          <w:i/>
        </w:rPr>
        <w:t>Service delivery and design</w:t>
      </w:r>
    </w:p>
    <w:p w14:paraId="1819953A" w14:textId="77777777" w:rsidR="007D3147" w:rsidRDefault="007D3147" w:rsidP="007D3147">
      <w:pPr>
        <w:rPr>
          <w:b/>
        </w:rPr>
      </w:pPr>
      <w:r>
        <w:rPr>
          <w:b/>
        </w:rPr>
        <w:t>Workforce</w:t>
      </w:r>
    </w:p>
    <w:p w14:paraId="287E87B9" w14:textId="77777777" w:rsidR="007D3147" w:rsidRPr="005875D5" w:rsidRDefault="007D3147" w:rsidP="007D3147">
      <w:pPr>
        <w:pStyle w:val="ListParagraph"/>
        <w:numPr>
          <w:ilvl w:val="0"/>
          <w:numId w:val="6"/>
        </w:numPr>
        <w:rPr>
          <w:b/>
        </w:rPr>
      </w:pPr>
      <w:r>
        <w:rPr>
          <w:i/>
        </w:rPr>
        <w:t>Resourcing constraints and initiatives.</w:t>
      </w:r>
    </w:p>
    <w:p w14:paraId="192979C9" w14:textId="77777777" w:rsidR="007D3147" w:rsidRPr="00316131" w:rsidRDefault="007D3147" w:rsidP="007D3147">
      <w:pPr>
        <w:pStyle w:val="ListParagraph"/>
        <w:numPr>
          <w:ilvl w:val="0"/>
          <w:numId w:val="6"/>
        </w:numPr>
        <w:rPr>
          <w:b/>
        </w:rPr>
      </w:pPr>
      <w:r>
        <w:rPr>
          <w:i/>
        </w:rPr>
        <w:t>Identification of legislative blockages.</w:t>
      </w:r>
    </w:p>
    <w:p w14:paraId="6731C29F" w14:textId="77777777" w:rsidR="007D3147" w:rsidRPr="00C0322E" w:rsidRDefault="007D3147" w:rsidP="007D3147">
      <w:pPr>
        <w:pStyle w:val="ListParagraph"/>
        <w:numPr>
          <w:ilvl w:val="0"/>
          <w:numId w:val="6"/>
        </w:numPr>
        <w:rPr>
          <w:b/>
        </w:rPr>
      </w:pPr>
      <w:r>
        <w:rPr>
          <w:i/>
        </w:rPr>
        <w:t>Staff training and micro-credentialing requirements.</w:t>
      </w:r>
    </w:p>
    <w:p w14:paraId="7B044D36" w14:textId="77777777" w:rsidR="007D3147" w:rsidRPr="00A6734C" w:rsidRDefault="007D3147" w:rsidP="007D3147">
      <w:pPr>
        <w:pStyle w:val="ListParagraph"/>
        <w:numPr>
          <w:ilvl w:val="0"/>
          <w:numId w:val="6"/>
        </w:numPr>
        <w:rPr>
          <w:b/>
        </w:rPr>
      </w:pPr>
      <w:r>
        <w:rPr>
          <w:i/>
        </w:rPr>
        <w:t>Maintaining workforce capacity within Māori and Pacific Providers</w:t>
      </w:r>
    </w:p>
    <w:p w14:paraId="23D5226C" w14:textId="77777777" w:rsidR="005B6991" w:rsidRDefault="005B6991" w:rsidP="005B6991">
      <w:pPr>
        <w:rPr>
          <w:b/>
        </w:rPr>
      </w:pPr>
      <w:r>
        <w:rPr>
          <w:b/>
        </w:rPr>
        <w:t>Funding</w:t>
      </w:r>
    </w:p>
    <w:p w14:paraId="42964F5E" w14:textId="4AC86FDC" w:rsidR="005B6991" w:rsidRDefault="005B6991" w:rsidP="005B6991">
      <w:pPr>
        <w:pStyle w:val="ListParagraph"/>
        <w:numPr>
          <w:ilvl w:val="0"/>
          <w:numId w:val="7"/>
        </w:numPr>
        <w:rPr>
          <w:i/>
        </w:rPr>
      </w:pPr>
      <w:r>
        <w:rPr>
          <w:i/>
        </w:rPr>
        <w:t>Funding models and relative incentives.</w:t>
      </w:r>
    </w:p>
    <w:p w14:paraId="7728D78F" w14:textId="6556D241" w:rsidR="00EE40C3" w:rsidRPr="00BC5FB9" w:rsidRDefault="005B6991" w:rsidP="00426593">
      <w:pPr>
        <w:pStyle w:val="ListParagraph"/>
        <w:numPr>
          <w:ilvl w:val="0"/>
          <w:numId w:val="7"/>
        </w:numPr>
        <w:spacing w:after="160"/>
        <w:rPr>
          <w:b/>
        </w:rPr>
      </w:pPr>
      <w:r w:rsidRPr="00BC5FB9">
        <w:rPr>
          <w:i/>
        </w:rPr>
        <w:lastRenderedPageBreak/>
        <w:t xml:space="preserve">Funding streams for </w:t>
      </w:r>
      <w:r w:rsidR="00E80AE7" w:rsidRPr="00BC5FB9">
        <w:rPr>
          <w:i/>
        </w:rPr>
        <w:t xml:space="preserve">Māori and Pacific </w:t>
      </w:r>
      <w:r w:rsidRPr="00BC5FB9">
        <w:rPr>
          <w:i/>
        </w:rPr>
        <w:t>Providers.</w:t>
      </w:r>
    </w:p>
    <w:p w14:paraId="24E3948D" w14:textId="6EACD308" w:rsidR="005B6991" w:rsidRDefault="005B6991" w:rsidP="005B6991">
      <w:pPr>
        <w:rPr>
          <w:b/>
        </w:rPr>
      </w:pPr>
      <w:r>
        <w:rPr>
          <w:b/>
        </w:rPr>
        <w:t>Communications</w:t>
      </w:r>
    </w:p>
    <w:p w14:paraId="49C69DA5" w14:textId="77777777" w:rsidR="005B6991" w:rsidRDefault="005B6991" w:rsidP="005B6991">
      <w:pPr>
        <w:pStyle w:val="ListParagraph"/>
        <w:numPr>
          <w:ilvl w:val="0"/>
          <w:numId w:val="8"/>
        </w:numPr>
        <w:rPr>
          <w:i/>
        </w:rPr>
      </w:pPr>
      <w:r>
        <w:rPr>
          <w:i/>
        </w:rPr>
        <w:t>Public facing communications.</w:t>
      </w:r>
    </w:p>
    <w:p w14:paraId="639A9429" w14:textId="77777777" w:rsidR="005B6991" w:rsidRPr="00316131" w:rsidRDefault="005B6991" w:rsidP="005B6991">
      <w:pPr>
        <w:pStyle w:val="ListParagraph"/>
        <w:numPr>
          <w:ilvl w:val="0"/>
          <w:numId w:val="8"/>
        </w:numPr>
        <w:rPr>
          <w:i/>
        </w:rPr>
      </w:pPr>
      <w:r>
        <w:rPr>
          <w:i/>
        </w:rPr>
        <w:t>Health sector communications.</w:t>
      </w:r>
    </w:p>
    <w:p w14:paraId="713564B0" w14:textId="2E4B0E84" w:rsidR="00964C28" w:rsidRPr="00780141" w:rsidRDefault="001F1840" w:rsidP="00035256">
      <w:pPr>
        <w:rPr>
          <w:b/>
          <w:bCs/>
        </w:rPr>
      </w:pPr>
      <w:r w:rsidRPr="00780141">
        <w:rPr>
          <w:b/>
          <w:bCs/>
        </w:rPr>
        <w:t>Equity</w:t>
      </w:r>
    </w:p>
    <w:p w14:paraId="7137BB07" w14:textId="1868F18E" w:rsidR="001F1840" w:rsidRDefault="00812A84" w:rsidP="00780141">
      <w:pPr>
        <w:pStyle w:val="ListParagraph"/>
        <w:numPr>
          <w:ilvl w:val="0"/>
          <w:numId w:val="14"/>
        </w:numPr>
        <w:rPr>
          <w:i/>
          <w:iCs/>
        </w:rPr>
      </w:pPr>
      <w:r w:rsidRPr="00780141">
        <w:rPr>
          <w:i/>
          <w:iCs/>
        </w:rPr>
        <w:t>Priority populations’ initiatives and activities</w:t>
      </w:r>
    </w:p>
    <w:p w14:paraId="7065224F" w14:textId="1E02A348" w:rsidR="00FE4B65" w:rsidRDefault="00FE4B65" w:rsidP="00FE4B65">
      <w:pPr>
        <w:rPr>
          <w:b/>
        </w:rPr>
      </w:pPr>
      <w:r>
        <w:rPr>
          <w:b/>
        </w:rPr>
        <w:t>Technology</w:t>
      </w:r>
    </w:p>
    <w:p w14:paraId="72E236BF" w14:textId="2D827989" w:rsidR="00FE4B65" w:rsidRDefault="00D12E8F" w:rsidP="00FE4B65">
      <w:pPr>
        <w:pStyle w:val="ListParagraph"/>
        <w:numPr>
          <w:ilvl w:val="0"/>
          <w:numId w:val="14"/>
        </w:numPr>
        <w:rPr>
          <w:i/>
        </w:rPr>
      </w:pPr>
      <w:r>
        <w:rPr>
          <w:i/>
        </w:rPr>
        <w:t>Consumer-facing initi</w:t>
      </w:r>
      <w:r w:rsidR="005B3A6A">
        <w:rPr>
          <w:i/>
        </w:rPr>
        <w:t>atives</w:t>
      </w:r>
    </w:p>
    <w:p w14:paraId="6B5B211D" w14:textId="02FFC6A4" w:rsidR="00FE4B65" w:rsidRDefault="005B3A6A" w:rsidP="00FE4B65">
      <w:pPr>
        <w:pStyle w:val="ListParagraph"/>
        <w:numPr>
          <w:ilvl w:val="0"/>
          <w:numId w:val="14"/>
        </w:numPr>
        <w:rPr>
          <w:i/>
        </w:rPr>
      </w:pPr>
      <w:r>
        <w:rPr>
          <w:i/>
        </w:rPr>
        <w:t>Provider-facing initiatives</w:t>
      </w:r>
    </w:p>
    <w:p w14:paraId="0109CF5F" w14:textId="6BA92461" w:rsidR="00FE4B65" w:rsidRDefault="005B3A6A" w:rsidP="00780141">
      <w:pPr>
        <w:pStyle w:val="ListParagraph"/>
        <w:numPr>
          <w:ilvl w:val="0"/>
          <w:numId w:val="14"/>
        </w:numPr>
        <w:rPr>
          <w:i/>
          <w:iCs/>
        </w:rPr>
      </w:pPr>
      <w:r>
        <w:rPr>
          <w:i/>
          <w:iCs/>
        </w:rPr>
        <w:t>System enhancing</w:t>
      </w:r>
    </w:p>
    <w:p w14:paraId="791D6FE4" w14:textId="77777777" w:rsidR="00E657B6" w:rsidRPr="003B3D99" w:rsidRDefault="00E657B6" w:rsidP="003B3D99">
      <w:pPr>
        <w:pStyle w:val="Heading2"/>
        <w:numPr>
          <w:ilvl w:val="1"/>
          <w:numId w:val="1"/>
        </w:numPr>
        <w:ind w:left="284"/>
        <w:rPr>
          <w:b/>
          <w:bCs/>
          <w:sz w:val="28"/>
          <w:szCs w:val="28"/>
        </w:rPr>
      </w:pPr>
      <w:r w:rsidRPr="00B07F56">
        <w:rPr>
          <w:b/>
          <w:bCs/>
          <w:color w:val="00A8AC"/>
          <w:sz w:val="28"/>
          <w:szCs w:val="28"/>
        </w:rPr>
        <w:t xml:space="preserve">Scope of advice </w:t>
      </w:r>
    </w:p>
    <w:p w14:paraId="795A6932" w14:textId="4B217F31" w:rsidR="00E657B6" w:rsidRPr="00A37029" w:rsidRDefault="00472831" w:rsidP="00E657B6">
      <w:pPr>
        <w:rPr>
          <w:rFonts w:cstheme="minorHAnsi"/>
        </w:rPr>
      </w:pPr>
      <w:r w:rsidRPr="00A37029">
        <w:rPr>
          <w:rFonts w:cstheme="minorHAnsi"/>
        </w:rPr>
        <w:t>The Taskforce provides</w:t>
      </w:r>
      <w:r w:rsidR="00E657B6" w:rsidRPr="00A37029">
        <w:rPr>
          <w:rFonts w:cstheme="minorHAnsi"/>
        </w:rPr>
        <w:t xml:space="preserve"> advice</w:t>
      </w:r>
      <w:r w:rsidR="000B1127" w:rsidRPr="00A37029">
        <w:rPr>
          <w:rFonts w:cstheme="minorHAnsi"/>
        </w:rPr>
        <w:t xml:space="preserve"> and recommendations</w:t>
      </w:r>
      <w:r w:rsidR="00E657B6" w:rsidRPr="00A37029">
        <w:rPr>
          <w:rFonts w:cstheme="minorHAnsi"/>
        </w:rPr>
        <w:t xml:space="preserve"> on the Programme in the environment of other advisory groups. In particular:</w:t>
      </w:r>
    </w:p>
    <w:p w14:paraId="1C82AE9C" w14:textId="2FCEA7D8" w:rsidR="00E657B6" w:rsidRPr="00A37029" w:rsidRDefault="00E657B6" w:rsidP="00E657B6">
      <w:pPr>
        <w:pStyle w:val="ListParagraph"/>
        <w:numPr>
          <w:ilvl w:val="0"/>
          <w:numId w:val="17"/>
        </w:numPr>
        <w:spacing w:after="160"/>
        <w:rPr>
          <w:rFonts w:cstheme="minorHAnsi"/>
        </w:rPr>
      </w:pPr>
      <w:r w:rsidRPr="00A37029">
        <w:rPr>
          <w:rFonts w:cstheme="minorHAnsi"/>
          <w:b/>
          <w:bCs/>
        </w:rPr>
        <w:t xml:space="preserve">COVID-19 Vaccine </w:t>
      </w:r>
      <w:r w:rsidR="00E437D2">
        <w:rPr>
          <w:rFonts w:cstheme="minorHAnsi"/>
          <w:b/>
          <w:bCs/>
        </w:rPr>
        <w:t xml:space="preserve">[National Immunisations] </w:t>
      </w:r>
      <w:r w:rsidRPr="00A37029">
        <w:rPr>
          <w:rFonts w:cstheme="minorHAnsi"/>
          <w:b/>
          <w:bCs/>
        </w:rPr>
        <w:t>Technical Advisory Group</w:t>
      </w:r>
      <w:r w:rsidRPr="00A37029">
        <w:rPr>
          <w:rFonts w:cstheme="minorHAnsi"/>
        </w:rPr>
        <w:t xml:space="preserve"> – provides science advice and decision to use advice on specific vaccines</w:t>
      </w:r>
      <w:r w:rsidR="00F32F03">
        <w:rPr>
          <w:rFonts w:cstheme="minorHAnsi"/>
        </w:rPr>
        <w:t>.</w:t>
      </w:r>
    </w:p>
    <w:p w14:paraId="29A09948" w14:textId="7C579EC4" w:rsidR="000B1127" w:rsidRPr="00A37029" w:rsidRDefault="00590F12" w:rsidP="00E657B6">
      <w:pPr>
        <w:pStyle w:val="ListParagraph"/>
        <w:numPr>
          <w:ilvl w:val="0"/>
          <w:numId w:val="17"/>
        </w:numPr>
        <w:spacing w:after="160"/>
        <w:rPr>
          <w:rFonts w:cstheme="minorHAnsi"/>
        </w:rPr>
      </w:pPr>
      <w:r w:rsidRPr="00A37029">
        <w:rPr>
          <w:rFonts w:cstheme="minorHAnsi"/>
          <w:b/>
          <w:bCs/>
        </w:rPr>
        <w:t>COVID</w:t>
      </w:r>
      <w:r w:rsidR="000B1127" w:rsidRPr="00A37029">
        <w:rPr>
          <w:rFonts w:cstheme="minorHAnsi"/>
          <w:b/>
          <w:bCs/>
        </w:rPr>
        <w:t xml:space="preserve"> Vaccine Independent Safety Monitoring Board</w:t>
      </w:r>
      <w:r w:rsidR="00A37029">
        <w:rPr>
          <w:rFonts w:cstheme="minorHAnsi"/>
          <w:b/>
          <w:bCs/>
        </w:rPr>
        <w:t xml:space="preserve"> </w:t>
      </w:r>
      <w:r w:rsidR="00A37029">
        <w:rPr>
          <w:rFonts w:cstheme="minorHAnsi"/>
        </w:rPr>
        <w:t xml:space="preserve">- </w:t>
      </w:r>
      <w:r w:rsidR="00F32F03">
        <w:rPr>
          <w:rFonts w:cstheme="minorHAnsi"/>
        </w:rPr>
        <w:t>provides expert advice on vaccine safety.</w:t>
      </w:r>
    </w:p>
    <w:p w14:paraId="2D2CD892" w14:textId="5B1F8132" w:rsidR="00A37029" w:rsidRPr="00A37029" w:rsidRDefault="00F32F03" w:rsidP="00E657B6">
      <w:pPr>
        <w:pStyle w:val="ListParagraph"/>
        <w:numPr>
          <w:ilvl w:val="0"/>
          <w:numId w:val="17"/>
        </w:numPr>
        <w:spacing w:after="160"/>
        <w:rPr>
          <w:rFonts w:cstheme="minorHAnsi"/>
        </w:rPr>
      </w:pPr>
      <w:r>
        <w:rPr>
          <w:rFonts w:cstheme="minorHAnsi"/>
          <w:b/>
          <w:bCs/>
        </w:rPr>
        <w:t>SROs</w:t>
      </w:r>
      <w:r w:rsidR="00A37029" w:rsidRPr="00A37029">
        <w:rPr>
          <w:rFonts w:cstheme="minorHAnsi"/>
          <w:b/>
          <w:bCs/>
        </w:rPr>
        <w:t xml:space="preserve"> Forum</w:t>
      </w:r>
      <w:r w:rsidR="00A37029">
        <w:rPr>
          <w:rFonts w:cstheme="minorHAnsi"/>
          <w:b/>
          <w:bCs/>
        </w:rPr>
        <w:t xml:space="preserve"> </w:t>
      </w:r>
      <w:r>
        <w:rPr>
          <w:rFonts w:cstheme="minorHAnsi"/>
        </w:rPr>
        <w:t>–</w:t>
      </w:r>
      <w:r w:rsidR="00A37029">
        <w:rPr>
          <w:rFonts w:cstheme="minorHAnsi"/>
        </w:rPr>
        <w:t xml:space="preserve"> </w:t>
      </w:r>
      <w:r>
        <w:rPr>
          <w:rFonts w:cstheme="minorHAnsi"/>
        </w:rPr>
        <w:t>identifies delivery and operational issues at the day-to-day level.</w:t>
      </w:r>
    </w:p>
    <w:p w14:paraId="5C714B7F" w14:textId="49E9620E" w:rsidR="00E657B6" w:rsidRPr="00A37029" w:rsidRDefault="00E657B6" w:rsidP="00E657B6">
      <w:pPr>
        <w:pStyle w:val="ListParagraph"/>
        <w:numPr>
          <w:ilvl w:val="0"/>
          <w:numId w:val="17"/>
        </w:numPr>
        <w:spacing w:after="160"/>
        <w:rPr>
          <w:rFonts w:cstheme="minorHAnsi"/>
        </w:rPr>
      </w:pPr>
      <w:r w:rsidRPr="00A37029">
        <w:rPr>
          <w:rFonts w:cstheme="minorHAnsi"/>
          <w:b/>
          <w:bCs/>
        </w:rPr>
        <w:t xml:space="preserve">The Programme </w:t>
      </w:r>
      <w:r w:rsidR="00590F12" w:rsidRPr="00A37029">
        <w:rPr>
          <w:rFonts w:cstheme="minorHAnsi"/>
          <w:b/>
          <w:bCs/>
        </w:rPr>
        <w:t>Leadership</w:t>
      </w:r>
      <w:r w:rsidRPr="00A37029">
        <w:rPr>
          <w:rFonts w:cstheme="minorHAnsi"/>
          <w:b/>
          <w:bCs/>
        </w:rPr>
        <w:t xml:space="preserve"> Group</w:t>
      </w:r>
      <w:r w:rsidRPr="00A37029">
        <w:rPr>
          <w:rFonts w:cstheme="minorHAnsi"/>
        </w:rPr>
        <w:t xml:space="preserve"> – provides oversight and assurance of the Programme, reporting to</w:t>
      </w:r>
      <w:r w:rsidR="00D77769">
        <w:rPr>
          <w:rFonts w:cstheme="minorHAnsi"/>
        </w:rPr>
        <w:t xml:space="preserve"> the Director,</w:t>
      </w:r>
      <w:r w:rsidRPr="00A37029">
        <w:rPr>
          <w:rFonts w:cstheme="minorHAnsi"/>
        </w:rPr>
        <w:t xml:space="preserve"> </w:t>
      </w:r>
      <w:r w:rsidR="005C6FA4">
        <w:rPr>
          <w:rFonts w:cstheme="minorHAnsi"/>
        </w:rPr>
        <w:t>National Public Health Service</w:t>
      </w:r>
      <w:r w:rsidR="00D77769">
        <w:rPr>
          <w:rFonts w:cstheme="minorHAnsi"/>
        </w:rPr>
        <w:t xml:space="preserve">. This </w:t>
      </w:r>
      <w:r w:rsidR="00F32F03">
        <w:rPr>
          <w:rFonts w:cstheme="minorHAnsi"/>
        </w:rPr>
        <w:t>flows through to</w:t>
      </w:r>
      <w:r w:rsidR="005C6FA4">
        <w:rPr>
          <w:rFonts w:cstheme="minorHAnsi"/>
        </w:rPr>
        <w:t xml:space="preserve"> the</w:t>
      </w:r>
      <w:r w:rsidR="00F32F03">
        <w:rPr>
          <w:rFonts w:cstheme="minorHAnsi"/>
        </w:rPr>
        <w:t xml:space="preserve"> </w:t>
      </w:r>
      <w:r w:rsidR="005C6FA4">
        <w:rPr>
          <w:rFonts w:cstheme="minorHAnsi"/>
        </w:rPr>
        <w:t>Te Whatu Ora</w:t>
      </w:r>
      <w:r w:rsidR="00F32F03">
        <w:rPr>
          <w:rFonts w:cstheme="minorHAnsi"/>
        </w:rPr>
        <w:t xml:space="preserve"> CE</w:t>
      </w:r>
      <w:r w:rsidR="00791EBE">
        <w:rPr>
          <w:rFonts w:cstheme="minorHAnsi"/>
        </w:rPr>
        <w:t>,</w:t>
      </w:r>
      <w:r w:rsidR="00F32F03">
        <w:rPr>
          <w:rFonts w:cstheme="minorHAnsi"/>
        </w:rPr>
        <w:t xml:space="preserve"> and</w:t>
      </w:r>
      <w:r w:rsidR="00791EBE">
        <w:rPr>
          <w:rFonts w:cstheme="minorHAnsi"/>
        </w:rPr>
        <w:t xml:space="preserve"> Te Whatu Ora and Te Aka Whai Ora </w:t>
      </w:r>
      <w:r w:rsidR="00F32F03">
        <w:rPr>
          <w:rFonts w:cstheme="minorHAnsi"/>
        </w:rPr>
        <w:t>Board</w:t>
      </w:r>
      <w:r w:rsidR="00BE41E3">
        <w:rPr>
          <w:rFonts w:cstheme="minorHAnsi"/>
        </w:rPr>
        <w:t>s</w:t>
      </w:r>
      <w:r w:rsidR="00F32F03">
        <w:rPr>
          <w:rFonts w:cstheme="minorHAnsi"/>
        </w:rPr>
        <w:t>.</w:t>
      </w:r>
    </w:p>
    <w:p w14:paraId="4319A521" w14:textId="6ADE54B7" w:rsidR="00FE38C8" w:rsidRDefault="00DB2189" w:rsidP="00E657B6">
      <w:pPr>
        <w:rPr>
          <w:rFonts w:cstheme="minorHAnsi"/>
        </w:rPr>
      </w:pPr>
      <w:r>
        <w:rPr>
          <w:rFonts w:cstheme="minorHAnsi"/>
        </w:rPr>
        <w:t xml:space="preserve">Together, these groups will input into </w:t>
      </w:r>
      <w:r w:rsidR="001B023E">
        <w:rPr>
          <w:rFonts w:cstheme="minorHAnsi"/>
        </w:rPr>
        <w:t xml:space="preserve">advice that is considered by </w:t>
      </w:r>
      <w:r w:rsidR="00447590">
        <w:rPr>
          <w:rFonts w:cstheme="minorHAnsi"/>
        </w:rPr>
        <w:t xml:space="preserve">the National Public Health Service, </w:t>
      </w:r>
      <w:r w:rsidR="007A35EC">
        <w:rPr>
          <w:rFonts w:cstheme="minorHAnsi"/>
        </w:rPr>
        <w:t>Te Whatu Ora, Man</w:t>
      </w:r>
      <w:proofErr w:type="spellStart"/>
      <w:r w:rsidR="00D17C27">
        <w:rPr>
          <w:rFonts w:cstheme="minorHAnsi"/>
          <w:lang w:val="mi-NZ"/>
        </w:rPr>
        <w:t>a</w:t>
      </w:r>
      <w:r w:rsidR="00307163">
        <w:rPr>
          <w:rFonts w:cstheme="minorHAnsi"/>
          <w:lang w:val="mi-NZ"/>
        </w:rPr>
        <w:t>t</w:t>
      </w:r>
      <w:r w:rsidR="00D17C27">
        <w:rPr>
          <w:rFonts w:cstheme="minorHAnsi"/>
          <w:lang w:val="mi-NZ"/>
        </w:rPr>
        <w:t>ū</w:t>
      </w:r>
      <w:proofErr w:type="spellEnd"/>
      <w:r w:rsidR="00307163">
        <w:rPr>
          <w:rFonts w:cstheme="minorHAnsi"/>
          <w:lang w:val="mi-NZ"/>
        </w:rPr>
        <w:t xml:space="preserve"> Hauora</w:t>
      </w:r>
      <w:r w:rsidR="00D17C27">
        <w:rPr>
          <w:rFonts w:cstheme="minorHAnsi"/>
        </w:rPr>
        <w:t xml:space="preserve">, Te Aka Whai </w:t>
      </w:r>
      <w:proofErr w:type="gramStart"/>
      <w:r w:rsidR="00D17C27">
        <w:rPr>
          <w:rFonts w:cstheme="minorHAnsi"/>
        </w:rPr>
        <w:t>Ora</w:t>
      </w:r>
      <w:proofErr w:type="gramEnd"/>
      <w:r w:rsidR="00D17C27">
        <w:rPr>
          <w:rFonts w:cstheme="minorHAnsi"/>
        </w:rPr>
        <w:t xml:space="preserve"> and</w:t>
      </w:r>
      <w:r w:rsidR="00A200E6">
        <w:rPr>
          <w:rFonts w:cstheme="minorHAnsi"/>
        </w:rPr>
        <w:t xml:space="preserve"> the Public Health Agency.</w:t>
      </w:r>
      <w:r w:rsidR="00D17C27">
        <w:rPr>
          <w:rFonts w:cstheme="minorHAnsi"/>
        </w:rPr>
        <w:t xml:space="preserve"> </w:t>
      </w:r>
      <w:r w:rsidR="0064770E">
        <w:rPr>
          <w:rFonts w:cstheme="minorHAnsi"/>
        </w:rPr>
        <w:t xml:space="preserve"> </w:t>
      </w:r>
    </w:p>
    <w:p w14:paraId="5FD344BD" w14:textId="6811DD4E" w:rsidR="00E657B6" w:rsidRPr="00A37029" w:rsidRDefault="00E657B6" w:rsidP="00E657B6">
      <w:pPr>
        <w:rPr>
          <w:rFonts w:cstheme="minorHAnsi"/>
        </w:rPr>
      </w:pPr>
      <w:r w:rsidRPr="00A37029">
        <w:rPr>
          <w:rFonts w:cstheme="minorHAnsi"/>
        </w:rPr>
        <w:t xml:space="preserve">The </w:t>
      </w:r>
      <w:r w:rsidR="00FC6297">
        <w:rPr>
          <w:rFonts w:cstheme="minorHAnsi"/>
        </w:rPr>
        <w:t>Taskforce</w:t>
      </w:r>
      <w:r w:rsidRPr="00A37029">
        <w:rPr>
          <w:rFonts w:cstheme="minorHAnsi"/>
        </w:rPr>
        <w:t xml:space="preserve"> may canvas areas in providing advice to </w:t>
      </w:r>
      <w:r w:rsidR="00F85A99">
        <w:rPr>
          <w:rFonts w:cstheme="minorHAnsi"/>
        </w:rPr>
        <w:t>the National Public Health Service, Te Whatu Ora</w:t>
      </w:r>
      <w:r w:rsidR="00F85A99" w:rsidRPr="00A37029">
        <w:rPr>
          <w:rFonts w:cstheme="minorHAnsi"/>
        </w:rPr>
        <w:t xml:space="preserve"> </w:t>
      </w:r>
      <w:r w:rsidR="00F85A99">
        <w:rPr>
          <w:rFonts w:cstheme="minorHAnsi"/>
        </w:rPr>
        <w:t xml:space="preserve">and Te Aka Whai Ora </w:t>
      </w:r>
      <w:r w:rsidRPr="00A37029">
        <w:rPr>
          <w:rFonts w:cstheme="minorHAnsi"/>
        </w:rPr>
        <w:t>but does not hold specific responsibility for doing so.</w:t>
      </w:r>
    </w:p>
    <w:p w14:paraId="33C14094" w14:textId="17D73ADF" w:rsidR="00D63AFB" w:rsidRPr="00B07F56" w:rsidRDefault="00D63AFB" w:rsidP="00316131">
      <w:pPr>
        <w:pStyle w:val="Heading1"/>
        <w:numPr>
          <w:ilvl w:val="0"/>
          <w:numId w:val="1"/>
        </w:numPr>
        <w:rPr>
          <w:b/>
          <w:color w:val="00A8AC"/>
        </w:rPr>
      </w:pPr>
      <w:r w:rsidRPr="00B07F56">
        <w:rPr>
          <w:b/>
          <w:color w:val="00A8AC"/>
        </w:rPr>
        <w:t>Membership</w:t>
      </w:r>
    </w:p>
    <w:p w14:paraId="36FA2CF7" w14:textId="3D49AA87" w:rsidR="00D63AFB" w:rsidRPr="00B07F56" w:rsidRDefault="00D63AFB" w:rsidP="003B3D99">
      <w:pPr>
        <w:pStyle w:val="Heading2"/>
        <w:numPr>
          <w:ilvl w:val="1"/>
          <w:numId w:val="1"/>
        </w:numPr>
        <w:ind w:left="567" w:hanging="567"/>
        <w:rPr>
          <w:b/>
          <w:bCs/>
          <w:color w:val="00A8AC"/>
          <w:sz w:val="28"/>
          <w:szCs w:val="28"/>
        </w:rPr>
      </w:pPr>
      <w:r w:rsidRPr="00B07F56">
        <w:rPr>
          <w:b/>
          <w:bCs/>
          <w:color w:val="00A8AC"/>
          <w:sz w:val="28"/>
          <w:szCs w:val="28"/>
        </w:rPr>
        <w:t xml:space="preserve">Appointment process  </w:t>
      </w:r>
    </w:p>
    <w:p w14:paraId="369BE329" w14:textId="5A95962F" w:rsidR="00D63AFB" w:rsidRPr="00FF0695" w:rsidRDefault="00D63AFB" w:rsidP="00FF0695">
      <w:pPr>
        <w:rPr>
          <w:rFonts w:cstheme="minorHAnsi"/>
        </w:rPr>
      </w:pPr>
      <w:r w:rsidRPr="00FF0695">
        <w:rPr>
          <w:rFonts w:cstheme="minorHAnsi"/>
        </w:rPr>
        <w:t>Membership of the Taskforce, including the appointment to the role of co-chairperson is through a direct selection appointment process by the Director</w:t>
      </w:r>
      <w:r w:rsidR="00CC19E8" w:rsidRPr="00FF0695">
        <w:rPr>
          <w:rFonts w:cstheme="minorHAnsi"/>
        </w:rPr>
        <w:t xml:space="preserve"> of the National Public Health Service</w:t>
      </w:r>
      <w:r w:rsidR="003D632A">
        <w:rPr>
          <w:rFonts w:cstheme="minorHAnsi"/>
        </w:rPr>
        <w:t>.</w:t>
      </w:r>
      <w:r w:rsidRPr="00FF0695">
        <w:rPr>
          <w:rFonts w:cstheme="minorHAnsi"/>
        </w:rPr>
        <w:t xml:space="preserve"> </w:t>
      </w:r>
    </w:p>
    <w:p w14:paraId="15667729" w14:textId="77777777" w:rsidR="00D63AFB" w:rsidRPr="00FF0695" w:rsidRDefault="00D63AFB" w:rsidP="00FF0695">
      <w:pPr>
        <w:rPr>
          <w:rFonts w:cstheme="minorHAnsi"/>
        </w:rPr>
      </w:pPr>
      <w:r w:rsidRPr="00FF0695">
        <w:rPr>
          <w:rFonts w:cstheme="minorHAnsi"/>
        </w:rPr>
        <w:t xml:space="preserve">Members will be appointed based on their individual skills, </w:t>
      </w:r>
      <w:proofErr w:type="gramStart"/>
      <w:r w:rsidRPr="00FF0695">
        <w:rPr>
          <w:rFonts w:cstheme="minorHAnsi"/>
        </w:rPr>
        <w:t>knowledge</w:t>
      </w:r>
      <w:proofErr w:type="gramEnd"/>
      <w:r w:rsidRPr="00FF0695">
        <w:rPr>
          <w:rFonts w:cstheme="minorHAnsi"/>
        </w:rPr>
        <w:t xml:space="preserve"> and expertise. In most cases members are not appointed as representatives of organisations and are expected to contribute their own views and perspectives on the practical implementation of the Programme, and together form a system view. </w:t>
      </w:r>
    </w:p>
    <w:p w14:paraId="49B009E4" w14:textId="6906CDB4" w:rsidR="00FF0695" w:rsidRDefault="00D63AFB" w:rsidP="00FF0695">
      <w:pPr>
        <w:rPr>
          <w:rFonts w:cstheme="minorHAnsi"/>
        </w:rPr>
      </w:pPr>
      <w:r w:rsidRPr="00FF0695">
        <w:rPr>
          <w:rFonts w:cstheme="minorHAnsi"/>
        </w:rPr>
        <w:t>Consideration will be given to have Māori</w:t>
      </w:r>
      <w:r w:rsidR="006C541F">
        <w:rPr>
          <w:rFonts w:cstheme="minorHAnsi"/>
        </w:rPr>
        <w:t>, P</w:t>
      </w:r>
      <w:r w:rsidRPr="00FF0695">
        <w:rPr>
          <w:rFonts w:cstheme="minorHAnsi"/>
        </w:rPr>
        <w:t>acific</w:t>
      </w:r>
      <w:r w:rsidR="006C541F">
        <w:rPr>
          <w:rFonts w:cstheme="minorHAnsi"/>
        </w:rPr>
        <w:t>, and Disability</w:t>
      </w:r>
      <w:r w:rsidRPr="00FF0695">
        <w:rPr>
          <w:rFonts w:cstheme="minorHAnsi"/>
        </w:rPr>
        <w:t xml:space="preserve"> representation and </w:t>
      </w:r>
      <w:proofErr w:type="spellStart"/>
      <w:r w:rsidRPr="00FF0695">
        <w:rPr>
          <w:rFonts w:cstheme="minorHAnsi"/>
        </w:rPr>
        <w:t>tino</w:t>
      </w:r>
      <w:proofErr w:type="spellEnd"/>
      <w:r w:rsidRPr="00FF0695">
        <w:rPr>
          <w:rFonts w:cstheme="minorHAnsi"/>
        </w:rPr>
        <w:t xml:space="preserve"> rangatiratanga (decision making) when appointing members. </w:t>
      </w:r>
    </w:p>
    <w:p w14:paraId="0BE7851F" w14:textId="39B103AC" w:rsidR="00D145D3" w:rsidRPr="00FF0695" w:rsidRDefault="00D145D3" w:rsidP="43EB0CF3">
      <w:r w:rsidRPr="43EB0CF3">
        <w:t xml:space="preserve">Members will be required to </w:t>
      </w:r>
      <w:r w:rsidR="00733358" w:rsidRPr="43EB0CF3">
        <w:t>sign a</w:t>
      </w:r>
      <w:r w:rsidR="00516130" w:rsidRPr="43EB0CF3">
        <w:t xml:space="preserve"> </w:t>
      </w:r>
      <w:r w:rsidR="5F0218DF" w:rsidRPr="43EB0CF3">
        <w:t>Conflict-of-Interest</w:t>
      </w:r>
      <w:r w:rsidR="00516130" w:rsidRPr="43EB0CF3">
        <w:t xml:space="preserve"> declaration form, as well as </w:t>
      </w:r>
      <w:r w:rsidR="0012753D" w:rsidRPr="43EB0CF3">
        <w:t>a Charter agreeing to the Taskforce principles and values</w:t>
      </w:r>
      <w:r w:rsidR="00AE566E" w:rsidRPr="43EB0CF3">
        <w:t xml:space="preserve"> to accept </w:t>
      </w:r>
      <w:r w:rsidR="00FF0C67" w:rsidRPr="43EB0CF3">
        <w:t xml:space="preserve">their </w:t>
      </w:r>
      <w:r w:rsidR="00AE566E" w:rsidRPr="43EB0CF3">
        <w:t>appointment to serve as a Taskforce member.</w:t>
      </w:r>
      <w:r w:rsidR="00733358" w:rsidRPr="43EB0CF3">
        <w:t xml:space="preserve"> </w:t>
      </w:r>
    </w:p>
    <w:p w14:paraId="0EE48605" w14:textId="61195B43" w:rsidR="008A2FB7" w:rsidRPr="00B07F56" w:rsidRDefault="00D63AFB" w:rsidP="003B3D99">
      <w:pPr>
        <w:pStyle w:val="Heading2"/>
        <w:numPr>
          <w:ilvl w:val="1"/>
          <w:numId w:val="1"/>
        </w:numPr>
        <w:ind w:left="567" w:hanging="567"/>
        <w:rPr>
          <w:color w:val="00A8AC"/>
        </w:rPr>
      </w:pPr>
      <w:r w:rsidRPr="00B07F56">
        <w:rPr>
          <w:b/>
          <w:bCs/>
          <w:color w:val="00A8AC"/>
          <w:sz w:val="28"/>
          <w:szCs w:val="28"/>
        </w:rPr>
        <w:lastRenderedPageBreak/>
        <w:t>Group composition</w:t>
      </w:r>
    </w:p>
    <w:p w14:paraId="6FF613CD" w14:textId="1553DD5F" w:rsidR="005B6991" w:rsidRPr="009218F1" w:rsidRDefault="005B6991" w:rsidP="005B6991">
      <w:pPr>
        <w:rPr>
          <w:lang w:val="mi-NZ"/>
        </w:rPr>
      </w:pPr>
      <w:r>
        <w:t xml:space="preserve">This Taskforce will be chaired by </w:t>
      </w:r>
      <w:r w:rsidR="00E54C86">
        <w:t xml:space="preserve">Dr </w:t>
      </w:r>
      <w:r w:rsidR="00E32764">
        <w:t>Owen Sinclair</w:t>
      </w:r>
      <w:r w:rsidR="00E54C86">
        <w:t xml:space="preserve"> and Cathy O’Malley</w:t>
      </w:r>
      <w:r w:rsidR="006245E8">
        <w:t xml:space="preserve">. </w:t>
      </w:r>
    </w:p>
    <w:p w14:paraId="4E62A332" w14:textId="32CEDDA5" w:rsidR="005B6991" w:rsidRDefault="005B6991" w:rsidP="005B6991">
      <w:r>
        <w:t>Its membership will include representatives from:</w:t>
      </w:r>
    </w:p>
    <w:p w14:paraId="391B9B97" w14:textId="435DAC6C" w:rsidR="005B6991" w:rsidRPr="00FF395E" w:rsidRDefault="00E32764" w:rsidP="005B6991">
      <w:pPr>
        <w:rPr>
          <w:b/>
          <w:i/>
        </w:rPr>
      </w:pPr>
      <w:r>
        <w:rPr>
          <w:b/>
          <w:i/>
        </w:rPr>
        <w:t xml:space="preserve">Regional </w:t>
      </w:r>
      <w:r w:rsidR="0056176F">
        <w:rPr>
          <w:b/>
          <w:i/>
        </w:rPr>
        <w:t xml:space="preserve">Health </w:t>
      </w:r>
      <w:r>
        <w:rPr>
          <w:b/>
          <w:i/>
        </w:rPr>
        <w:t>Districts</w:t>
      </w:r>
    </w:p>
    <w:p w14:paraId="0F5770C3" w14:textId="2BA3A673" w:rsidR="005B6991" w:rsidRDefault="00354019" w:rsidP="005B6991">
      <w:pPr>
        <w:pStyle w:val="ListParagraph"/>
        <w:numPr>
          <w:ilvl w:val="0"/>
          <w:numId w:val="4"/>
        </w:numPr>
      </w:pPr>
      <w:r>
        <w:rPr>
          <w:b/>
        </w:rPr>
        <w:t>Cathy O’Malley</w:t>
      </w:r>
      <w:r w:rsidR="00F05FD5">
        <w:rPr>
          <w:b/>
        </w:rPr>
        <w:t>, Co-Chair</w:t>
      </w:r>
      <w:r w:rsidR="005B6991">
        <w:t xml:space="preserve"> (National Chair, </w:t>
      </w:r>
      <w:r w:rsidR="00FD4326">
        <w:t xml:space="preserve">NIP Immunisation Leads &amp; Covid </w:t>
      </w:r>
      <w:r>
        <w:t>SROs</w:t>
      </w:r>
      <w:r w:rsidR="00273EF3">
        <w:t>, Southern</w:t>
      </w:r>
      <w:r w:rsidR="005B6991">
        <w:t>)</w:t>
      </w:r>
    </w:p>
    <w:p w14:paraId="35D42017" w14:textId="769F7E27" w:rsidR="00140C4A" w:rsidRPr="002A13DF" w:rsidRDefault="00390A85" w:rsidP="005B6991">
      <w:pPr>
        <w:pStyle w:val="ListParagraph"/>
        <w:numPr>
          <w:ilvl w:val="0"/>
          <w:numId w:val="4"/>
        </w:numPr>
      </w:pPr>
      <w:r>
        <w:rPr>
          <w:b/>
        </w:rPr>
        <w:t xml:space="preserve">Dr </w:t>
      </w:r>
      <w:r w:rsidR="00140C4A">
        <w:rPr>
          <w:b/>
        </w:rPr>
        <w:t xml:space="preserve">Debbie Holdsworth </w:t>
      </w:r>
      <w:r w:rsidR="00140C4A">
        <w:rPr>
          <w:bCs/>
        </w:rPr>
        <w:t>(National Chair</w:t>
      </w:r>
      <w:r w:rsidR="00FD4326">
        <w:rPr>
          <w:bCs/>
        </w:rPr>
        <w:t>, GMs Planning &amp; Funding</w:t>
      </w:r>
      <w:r w:rsidR="00273EF3">
        <w:rPr>
          <w:bCs/>
        </w:rPr>
        <w:t>, Northern</w:t>
      </w:r>
      <w:r w:rsidR="00FD4326">
        <w:rPr>
          <w:bCs/>
        </w:rPr>
        <w:t>)</w:t>
      </w:r>
    </w:p>
    <w:p w14:paraId="2389907D" w14:textId="77777777" w:rsidR="006F7E1F" w:rsidRPr="002B2E0A" w:rsidRDefault="006F7E1F" w:rsidP="006F7E1F">
      <w:pPr>
        <w:pStyle w:val="ListParagraph"/>
        <w:numPr>
          <w:ilvl w:val="0"/>
          <w:numId w:val="4"/>
        </w:numPr>
      </w:pPr>
      <w:r w:rsidRPr="006F7E1F">
        <w:rPr>
          <w:b/>
          <w:bCs/>
        </w:rPr>
        <w:t>Lesley Batten</w:t>
      </w:r>
      <w:r>
        <w:t xml:space="preserve"> (Associate Director of Nursing, Localities and Commissioning Directorate, Central Region)</w:t>
      </w:r>
    </w:p>
    <w:p w14:paraId="785E508B" w14:textId="6FA285CC" w:rsidR="002A13DF" w:rsidRDefault="002A13DF" w:rsidP="002A13DF">
      <w:pPr>
        <w:pStyle w:val="ListParagraph"/>
        <w:numPr>
          <w:ilvl w:val="0"/>
          <w:numId w:val="4"/>
        </w:numPr>
      </w:pPr>
      <w:r w:rsidRPr="108E0BA1">
        <w:rPr>
          <w:b/>
          <w:bCs/>
        </w:rPr>
        <w:t>Rachel Court</w:t>
      </w:r>
      <w:r>
        <w:t xml:space="preserve"> (Regional Lead, Te Manawa Taki Region)</w:t>
      </w:r>
    </w:p>
    <w:p w14:paraId="0F99B031" w14:textId="569C0D82" w:rsidR="005B6991" w:rsidRPr="00FF395E" w:rsidRDefault="00CE42DD" w:rsidP="005B6991">
      <w:pPr>
        <w:rPr>
          <w:i/>
        </w:rPr>
      </w:pPr>
      <w:r>
        <w:rPr>
          <w:b/>
          <w:i/>
        </w:rPr>
        <w:t>National Public Health Service</w:t>
      </w:r>
    </w:p>
    <w:p w14:paraId="01FFAEE9" w14:textId="5B6E861E" w:rsidR="00511FF6" w:rsidRDefault="005B6991" w:rsidP="00780141">
      <w:pPr>
        <w:pStyle w:val="ListParagraph"/>
        <w:numPr>
          <w:ilvl w:val="0"/>
          <w:numId w:val="13"/>
        </w:numPr>
      </w:pPr>
      <w:r w:rsidRPr="00511FF6">
        <w:rPr>
          <w:b/>
        </w:rPr>
        <w:t>Astrid Koornneef</w:t>
      </w:r>
      <w:r>
        <w:t xml:space="preserve"> (Director, </w:t>
      </w:r>
      <w:r w:rsidR="00E32764">
        <w:t>Prevention</w:t>
      </w:r>
      <w:r>
        <w:t>)</w:t>
      </w:r>
    </w:p>
    <w:p w14:paraId="7C9BE600" w14:textId="766C3F54" w:rsidR="0030381A" w:rsidRDefault="0030381A" w:rsidP="00780141">
      <w:pPr>
        <w:pStyle w:val="ListParagraph"/>
        <w:numPr>
          <w:ilvl w:val="0"/>
          <w:numId w:val="13"/>
        </w:numPr>
      </w:pPr>
      <w:r>
        <w:rPr>
          <w:b/>
        </w:rPr>
        <w:t xml:space="preserve">Ramon Pink </w:t>
      </w:r>
      <w:r>
        <w:rPr>
          <w:bCs/>
        </w:rPr>
        <w:t>(Clinical Director, Canterbury)</w:t>
      </w:r>
    </w:p>
    <w:p w14:paraId="51B779D4" w14:textId="06C0DE24" w:rsidR="00511FF6" w:rsidRPr="00FF395E" w:rsidRDefault="00285C92" w:rsidP="00511FF6">
      <w:pPr>
        <w:rPr>
          <w:i/>
        </w:rPr>
      </w:pPr>
      <w:r>
        <w:rPr>
          <w:b/>
          <w:i/>
        </w:rPr>
        <w:t xml:space="preserve">Te Aka Whai Ora </w:t>
      </w:r>
      <w:r w:rsidR="000A23CD">
        <w:rPr>
          <w:b/>
          <w:i/>
        </w:rPr>
        <w:t>–</w:t>
      </w:r>
      <w:r>
        <w:rPr>
          <w:b/>
          <w:i/>
        </w:rPr>
        <w:t xml:space="preserve"> </w:t>
      </w:r>
      <w:r w:rsidR="00511FF6" w:rsidRPr="00FF395E">
        <w:rPr>
          <w:b/>
          <w:i/>
        </w:rPr>
        <w:t>Māori Health Authority</w:t>
      </w:r>
    </w:p>
    <w:p w14:paraId="06C999C7" w14:textId="71B7F02F" w:rsidR="00511FF6" w:rsidRDefault="001823E1" w:rsidP="00511FF6">
      <w:pPr>
        <w:pStyle w:val="ListParagraph"/>
        <w:numPr>
          <w:ilvl w:val="0"/>
          <w:numId w:val="5"/>
        </w:numPr>
      </w:pPr>
      <w:r>
        <w:rPr>
          <w:b/>
        </w:rPr>
        <w:t xml:space="preserve">Dr Rawiri </w:t>
      </w:r>
      <w:r w:rsidR="00413C1A">
        <w:rPr>
          <w:b/>
        </w:rPr>
        <w:t xml:space="preserve">McKree </w:t>
      </w:r>
      <w:r>
        <w:rPr>
          <w:b/>
        </w:rPr>
        <w:t>Jansen</w:t>
      </w:r>
      <w:r w:rsidR="0097223F">
        <w:rPr>
          <w:b/>
        </w:rPr>
        <w:t xml:space="preserve"> </w:t>
      </w:r>
      <w:r w:rsidR="0097223F" w:rsidRPr="0097223F">
        <w:rPr>
          <w:bCs/>
        </w:rPr>
        <w:t>(</w:t>
      </w:r>
      <w:r w:rsidR="00413C1A">
        <w:rPr>
          <w:bCs/>
        </w:rPr>
        <w:t>Deputy Chair</w:t>
      </w:r>
      <w:r w:rsidR="00F431CD">
        <w:rPr>
          <w:bCs/>
        </w:rPr>
        <w:t>, Te Aka Whai Ora – M</w:t>
      </w:r>
      <w:r w:rsidR="00F431CD" w:rsidRPr="00F431CD">
        <w:rPr>
          <w:bCs/>
          <w:iCs/>
        </w:rPr>
        <w:t>ā</w:t>
      </w:r>
      <w:r w:rsidR="00F431CD">
        <w:rPr>
          <w:bCs/>
        </w:rPr>
        <w:t>ori Health Authority</w:t>
      </w:r>
      <w:r w:rsidR="0097223F" w:rsidRPr="0097223F">
        <w:rPr>
          <w:bCs/>
        </w:rPr>
        <w:t>)</w:t>
      </w:r>
    </w:p>
    <w:p w14:paraId="61C49F0C" w14:textId="772D64AC" w:rsidR="00991685" w:rsidRDefault="00CE42DD" w:rsidP="00511FF6">
      <w:pPr>
        <w:rPr>
          <w:b/>
          <w:i/>
        </w:rPr>
      </w:pPr>
      <w:r>
        <w:rPr>
          <w:b/>
          <w:i/>
        </w:rPr>
        <w:t xml:space="preserve">Public Health </w:t>
      </w:r>
      <w:r w:rsidR="009E78F6">
        <w:rPr>
          <w:b/>
          <w:i/>
        </w:rPr>
        <w:t>Agency</w:t>
      </w:r>
    </w:p>
    <w:p w14:paraId="3B6D935B" w14:textId="742AC144" w:rsidR="00F32F03" w:rsidRPr="00F828B2" w:rsidRDefault="00F828B2" w:rsidP="00F32F03">
      <w:pPr>
        <w:pStyle w:val="ListParagraph"/>
        <w:numPr>
          <w:ilvl w:val="0"/>
          <w:numId w:val="5"/>
        </w:numPr>
        <w:rPr>
          <w:bCs/>
        </w:rPr>
      </w:pPr>
      <w:r>
        <w:rPr>
          <w:b/>
        </w:rPr>
        <w:t xml:space="preserve">Graham Cameron </w:t>
      </w:r>
      <w:r w:rsidRPr="00F828B2">
        <w:rPr>
          <w:bCs/>
        </w:rPr>
        <w:t>(Equity lead, Public Health Agency</w:t>
      </w:r>
      <w:r w:rsidR="005A6679">
        <w:rPr>
          <w:bCs/>
        </w:rPr>
        <w:t xml:space="preserve"> - </w:t>
      </w:r>
      <w:r w:rsidR="005A6679" w:rsidRPr="005A6679">
        <w:rPr>
          <w:bCs/>
        </w:rPr>
        <w:t xml:space="preserve">Te </w:t>
      </w:r>
      <w:proofErr w:type="spellStart"/>
      <w:r w:rsidR="005A6679" w:rsidRPr="005A6679">
        <w:rPr>
          <w:bCs/>
        </w:rPr>
        <w:t>Pou</w:t>
      </w:r>
      <w:proofErr w:type="spellEnd"/>
      <w:r w:rsidR="005A6679" w:rsidRPr="005A6679">
        <w:rPr>
          <w:bCs/>
        </w:rPr>
        <w:t xml:space="preserve"> Hauora </w:t>
      </w:r>
      <w:proofErr w:type="spellStart"/>
      <w:r w:rsidR="005A6679" w:rsidRPr="005A6679">
        <w:rPr>
          <w:bCs/>
        </w:rPr>
        <w:t>Tūmatanui</w:t>
      </w:r>
      <w:proofErr w:type="spellEnd"/>
      <w:r w:rsidRPr="00F828B2">
        <w:rPr>
          <w:bCs/>
        </w:rPr>
        <w:t>)</w:t>
      </w:r>
    </w:p>
    <w:p w14:paraId="1A5BB92C" w14:textId="5A5A35E1" w:rsidR="00F32F03" w:rsidRPr="00F32F03" w:rsidRDefault="00F32F03" w:rsidP="00F32F03">
      <w:pPr>
        <w:rPr>
          <w:b/>
          <w:i/>
        </w:rPr>
      </w:pPr>
      <w:r w:rsidRPr="00F32F03">
        <w:rPr>
          <w:b/>
          <w:i/>
        </w:rPr>
        <w:t>Partners</w:t>
      </w:r>
    </w:p>
    <w:p w14:paraId="671E0CAF" w14:textId="6B910EF0" w:rsidR="006245E8" w:rsidRPr="006245E8" w:rsidRDefault="006245E8" w:rsidP="00AB592B">
      <w:pPr>
        <w:pStyle w:val="ListParagraph"/>
        <w:numPr>
          <w:ilvl w:val="0"/>
          <w:numId w:val="5"/>
        </w:numPr>
        <w:rPr>
          <w:bCs/>
        </w:rPr>
      </w:pPr>
      <w:r>
        <w:rPr>
          <w:b/>
        </w:rPr>
        <w:t>Dr Owen Sinclair</w:t>
      </w:r>
      <w:r w:rsidR="00F05FD5">
        <w:rPr>
          <w:b/>
        </w:rPr>
        <w:t xml:space="preserve">, Te Rarawa, Co-Chair </w:t>
      </w:r>
      <w:r>
        <w:rPr>
          <w:bCs/>
        </w:rPr>
        <w:t xml:space="preserve">(Paediatrician and Honorary Senior </w:t>
      </w:r>
      <w:r w:rsidRPr="006245E8">
        <w:rPr>
          <w:rFonts w:cstheme="minorHAnsi"/>
          <w:bCs/>
        </w:rPr>
        <w:t xml:space="preserve">Lecturer, </w:t>
      </w:r>
      <w:r w:rsidRPr="006245E8">
        <w:rPr>
          <w:bCs/>
        </w:rPr>
        <w:t>Faculty of Medical and Health Sciences, Paediatrics, Child and Youth Health</w:t>
      </w:r>
      <w:r>
        <w:rPr>
          <w:bCs/>
        </w:rPr>
        <w:t>, Auckland)</w:t>
      </w:r>
    </w:p>
    <w:p w14:paraId="309DA61F" w14:textId="18525890" w:rsidR="00AB592B" w:rsidRPr="00F32F03" w:rsidRDefault="00AB592B" w:rsidP="00AB592B">
      <w:pPr>
        <w:pStyle w:val="ListParagraph"/>
        <w:numPr>
          <w:ilvl w:val="0"/>
          <w:numId w:val="5"/>
        </w:numPr>
        <w:rPr>
          <w:b/>
        </w:rPr>
      </w:pPr>
      <w:r>
        <w:rPr>
          <w:b/>
        </w:rPr>
        <w:t xml:space="preserve">Bronwen Shepherd </w:t>
      </w:r>
      <w:r>
        <w:rPr>
          <w:bCs/>
        </w:rPr>
        <w:t>(</w:t>
      </w:r>
      <w:r w:rsidR="000C3430">
        <w:rPr>
          <w:bCs/>
        </w:rPr>
        <w:t>Community Pharmacist, Regional Manager, Clinical Lead – Care in the Community, Green Cross Health)</w:t>
      </w:r>
    </w:p>
    <w:p w14:paraId="152A1D20" w14:textId="3823D22E" w:rsidR="00215E00" w:rsidRDefault="31C9091A" w:rsidP="43EB0CF3">
      <w:pPr>
        <w:pStyle w:val="ListParagraph"/>
        <w:numPr>
          <w:ilvl w:val="0"/>
          <w:numId w:val="5"/>
        </w:numPr>
        <w:rPr>
          <w:b/>
          <w:bCs/>
        </w:rPr>
      </w:pPr>
      <w:r w:rsidRPr="108E0BA1">
        <w:rPr>
          <w:b/>
          <w:bCs/>
        </w:rPr>
        <w:t xml:space="preserve">Claire MacDonald </w:t>
      </w:r>
      <w:r>
        <w:t>(Midwifery Advisor, New Zealand College of Midwives)</w:t>
      </w:r>
    </w:p>
    <w:p w14:paraId="76DC2A8A" w14:textId="19CF4C4C" w:rsidR="00215E00" w:rsidRDefault="31C9091A" w:rsidP="108E0BA1">
      <w:pPr>
        <w:pStyle w:val="ListParagraph"/>
        <w:numPr>
          <w:ilvl w:val="0"/>
          <w:numId w:val="5"/>
        </w:numPr>
      </w:pPr>
      <w:r w:rsidRPr="108E0BA1">
        <w:rPr>
          <w:b/>
          <w:bCs/>
        </w:rPr>
        <w:t xml:space="preserve">Christine McIntosh </w:t>
      </w:r>
      <w:r w:rsidRPr="108E0BA1">
        <w:t>(General Practitioner and Senior Lecturer, University of Auckland)</w:t>
      </w:r>
    </w:p>
    <w:p w14:paraId="6FC273C4" w14:textId="0D246566" w:rsidR="00215E00" w:rsidRDefault="00215E00" w:rsidP="43EB0CF3">
      <w:pPr>
        <w:pStyle w:val="ListParagraph"/>
        <w:numPr>
          <w:ilvl w:val="0"/>
          <w:numId w:val="5"/>
        </w:numPr>
        <w:rPr>
          <w:b/>
          <w:bCs/>
        </w:rPr>
      </w:pPr>
      <w:r w:rsidRPr="108E0BA1">
        <w:rPr>
          <w:b/>
          <w:bCs/>
        </w:rPr>
        <w:t xml:space="preserve">Dr Emma Best </w:t>
      </w:r>
      <w:r>
        <w:t>(</w:t>
      </w:r>
      <w:r w:rsidR="00174647">
        <w:t>Medical Advisor, The Immunisation Advisory Centre)</w:t>
      </w:r>
    </w:p>
    <w:p w14:paraId="50AA4C18" w14:textId="3B7EF008" w:rsidR="00F32F03" w:rsidRPr="00F32F03" w:rsidRDefault="001521F7" w:rsidP="43EB0CF3">
      <w:pPr>
        <w:pStyle w:val="ListParagraph"/>
        <w:numPr>
          <w:ilvl w:val="0"/>
          <w:numId w:val="5"/>
        </w:numPr>
        <w:rPr>
          <w:b/>
          <w:bCs/>
        </w:rPr>
      </w:pPr>
      <w:r w:rsidRPr="108E0BA1">
        <w:rPr>
          <w:b/>
          <w:bCs/>
        </w:rPr>
        <w:t xml:space="preserve">Margaret Southwick </w:t>
      </w:r>
      <w:r>
        <w:t xml:space="preserve">(Clinical Team Leader, </w:t>
      </w:r>
      <w:proofErr w:type="spellStart"/>
      <w:r>
        <w:t>Vaka</w:t>
      </w:r>
      <w:proofErr w:type="spellEnd"/>
      <w:r>
        <w:t xml:space="preserve"> </w:t>
      </w:r>
      <w:proofErr w:type="spellStart"/>
      <w:r>
        <w:t>Atafaga</w:t>
      </w:r>
      <w:proofErr w:type="spellEnd"/>
      <w:r>
        <w:t xml:space="preserve"> Pacific Nursing Services)</w:t>
      </w:r>
    </w:p>
    <w:p w14:paraId="28B06965" w14:textId="5E760AF2" w:rsidR="00F32F03" w:rsidRPr="009B4377" w:rsidRDefault="009B4377" w:rsidP="43EB0CF3">
      <w:pPr>
        <w:pStyle w:val="ListParagraph"/>
        <w:numPr>
          <w:ilvl w:val="0"/>
          <w:numId w:val="5"/>
        </w:numPr>
        <w:rPr>
          <w:b/>
          <w:bCs/>
        </w:rPr>
      </w:pPr>
      <w:r w:rsidRPr="108E0BA1">
        <w:rPr>
          <w:b/>
          <w:bCs/>
        </w:rPr>
        <w:t xml:space="preserve">Nicky Hart </w:t>
      </w:r>
      <w:r>
        <w:t>(Chief Executive Officer, Fielding Health Care)</w:t>
      </w:r>
    </w:p>
    <w:p w14:paraId="5C6F27F4" w14:textId="15F5D2FF" w:rsidR="0030381A" w:rsidRDefault="0030381A" w:rsidP="43EB0CF3">
      <w:pPr>
        <w:pStyle w:val="ListParagraph"/>
        <w:numPr>
          <w:ilvl w:val="0"/>
          <w:numId w:val="5"/>
        </w:numPr>
        <w:rPr>
          <w:b/>
          <w:bCs/>
        </w:rPr>
      </w:pPr>
      <w:r w:rsidRPr="108E0BA1">
        <w:rPr>
          <w:b/>
          <w:bCs/>
        </w:rPr>
        <w:t xml:space="preserve">Rachel Noble </w:t>
      </w:r>
      <w:r>
        <w:t xml:space="preserve">(General Manager, Disability, Te Whatu Ora, </w:t>
      </w:r>
      <w:proofErr w:type="gramStart"/>
      <w:r>
        <w:t>Capital</w:t>
      </w:r>
      <w:proofErr w:type="gramEnd"/>
      <w:r>
        <w:t xml:space="preserve"> and Coast)</w:t>
      </w:r>
    </w:p>
    <w:p w14:paraId="6BD9DCEF" w14:textId="138CBE22" w:rsidR="00C53C9B" w:rsidRDefault="00C53C9B" w:rsidP="43EB0CF3">
      <w:pPr>
        <w:pStyle w:val="ListParagraph"/>
        <w:numPr>
          <w:ilvl w:val="0"/>
          <w:numId w:val="5"/>
        </w:numPr>
        <w:rPr>
          <w:b/>
          <w:bCs/>
        </w:rPr>
      </w:pPr>
      <w:r>
        <w:rPr>
          <w:b/>
          <w:bCs/>
        </w:rPr>
        <w:t>Teara Gillman</w:t>
      </w:r>
      <w:r w:rsidR="000B7D5A">
        <w:rPr>
          <w:b/>
          <w:bCs/>
        </w:rPr>
        <w:t xml:space="preserve"> </w:t>
      </w:r>
      <w:r w:rsidR="000B7D5A">
        <w:t>(</w:t>
      </w:r>
      <w:r w:rsidR="00BD2D00" w:rsidRPr="00BD2D00">
        <w:t xml:space="preserve">Tāmaki Hub site lead, Ngāti </w:t>
      </w:r>
      <w:proofErr w:type="spellStart"/>
      <w:r w:rsidR="00BD2D00" w:rsidRPr="00BD2D00">
        <w:t>Whatua</w:t>
      </w:r>
      <w:proofErr w:type="spellEnd"/>
      <w:r w:rsidR="00BD2D00">
        <w:t>)</w:t>
      </w:r>
    </w:p>
    <w:p w14:paraId="20827396" w14:textId="2CB945D8" w:rsidR="00C53C9B" w:rsidRDefault="00C53C9B" w:rsidP="43EB0CF3">
      <w:pPr>
        <w:pStyle w:val="ListParagraph"/>
        <w:numPr>
          <w:ilvl w:val="0"/>
          <w:numId w:val="5"/>
        </w:numPr>
        <w:rPr>
          <w:b/>
          <w:bCs/>
        </w:rPr>
      </w:pPr>
      <w:r>
        <w:rPr>
          <w:b/>
          <w:bCs/>
        </w:rPr>
        <w:t xml:space="preserve">Terina Moke </w:t>
      </w:r>
      <w:r>
        <w:t xml:space="preserve">(Chief Executive, </w:t>
      </w:r>
      <w:proofErr w:type="spellStart"/>
      <w:r>
        <w:t>Raukura</w:t>
      </w:r>
      <w:proofErr w:type="spellEnd"/>
      <w:r>
        <w:t xml:space="preserve"> Hauora o Tainui)</w:t>
      </w:r>
    </w:p>
    <w:p w14:paraId="146EE895" w14:textId="04C099D3" w:rsidR="005E3A29" w:rsidRPr="00273EF3" w:rsidRDefault="0030381A" w:rsidP="43EB0CF3">
      <w:pPr>
        <w:pStyle w:val="ListParagraph"/>
        <w:numPr>
          <w:ilvl w:val="0"/>
          <w:numId w:val="5"/>
        </w:numPr>
        <w:rPr>
          <w:b/>
          <w:bCs/>
        </w:rPr>
      </w:pPr>
      <w:r w:rsidRPr="108E0BA1">
        <w:rPr>
          <w:b/>
          <w:bCs/>
        </w:rPr>
        <w:t>Epidemiological</w:t>
      </w:r>
      <w:r w:rsidR="00B741CE" w:rsidRPr="108E0BA1">
        <w:rPr>
          <w:b/>
          <w:bCs/>
        </w:rPr>
        <w:t xml:space="preserve"> </w:t>
      </w:r>
      <w:r w:rsidR="00B741CE" w:rsidRPr="108E0BA1">
        <w:rPr>
          <w:i/>
          <w:iCs/>
        </w:rPr>
        <w:t>(tbc)</w:t>
      </w:r>
    </w:p>
    <w:p w14:paraId="20F78834" w14:textId="7C6D97AD" w:rsidR="00354019" w:rsidRPr="00780141" w:rsidRDefault="00354019" w:rsidP="00780141">
      <w:pPr>
        <w:rPr>
          <w:b/>
          <w:bCs/>
          <w:i/>
          <w:iCs/>
        </w:rPr>
      </w:pPr>
      <w:r w:rsidRPr="00780141">
        <w:rPr>
          <w:b/>
          <w:bCs/>
          <w:i/>
          <w:iCs/>
        </w:rPr>
        <w:t>Ex-officio members</w:t>
      </w:r>
    </w:p>
    <w:p w14:paraId="13FFA0F0" w14:textId="77777777" w:rsidR="00AB592B" w:rsidRDefault="00AB592B" w:rsidP="00AB592B">
      <w:pPr>
        <w:pStyle w:val="ListParagraph"/>
        <w:numPr>
          <w:ilvl w:val="0"/>
          <w:numId w:val="3"/>
        </w:numPr>
        <w:autoSpaceDE w:val="0"/>
        <w:autoSpaceDN w:val="0"/>
        <w:rPr>
          <w:bCs/>
        </w:rPr>
      </w:pPr>
      <w:r w:rsidRPr="00E6644C">
        <w:rPr>
          <w:b/>
        </w:rPr>
        <w:t xml:space="preserve">Christine Nolan </w:t>
      </w:r>
      <w:r w:rsidRPr="00E6644C">
        <w:rPr>
          <w:bCs/>
        </w:rPr>
        <w:t>(Group Manager National Contracts, Quality, Workforce, National Immunisation Programme)</w:t>
      </w:r>
    </w:p>
    <w:p w14:paraId="616EA4CB" w14:textId="1A010385" w:rsidR="00AB592B" w:rsidRDefault="1D647659" w:rsidP="108E0BA1">
      <w:pPr>
        <w:pStyle w:val="ListParagraph"/>
        <w:numPr>
          <w:ilvl w:val="0"/>
          <w:numId w:val="3"/>
        </w:numPr>
        <w:autoSpaceDE w:val="0"/>
        <w:autoSpaceDN w:val="0"/>
        <w:rPr>
          <w:b/>
          <w:bCs/>
        </w:rPr>
      </w:pPr>
      <w:r w:rsidRPr="108E0BA1">
        <w:rPr>
          <w:b/>
          <w:bCs/>
        </w:rPr>
        <w:t xml:space="preserve">Jonathon Chua </w:t>
      </w:r>
      <w:r>
        <w:t>(Principal Advisor, Evaluation and Behavioural Science, Public Health Agency</w:t>
      </w:r>
      <w:r w:rsidR="006749E5">
        <w:t xml:space="preserve"> - Te </w:t>
      </w:r>
      <w:proofErr w:type="spellStart"/>
      <w:r w:rsidR="006749E5">
        <w:t>Pou</w:t>
      </w:r>
      <w:proofErr w:type="spellEnd"/>
      <w:r w:rsidR="006749E5">
        <w:t xml:space="preserve"> Hauora </w:t>
      </w:r>
      <w:proofErr w:type="spellStart"/>
      <w:r w:rsidR="006749E5">
        <w:t>Tūmatanui</w:t>
      </w:r>
      <w:proofErr w:type="spellEnd"/>
      <w:r>
        <w:t>)</w:t>
      </w:r>
    </w:p>
    <w:p w14:paraId="1DAFBF16" w14:textId="25BA402A" w:rsidR="00AB592B" w:rsidRDefault="00AB592B" w:rsidP="00AB592B">
      <w:pPr>
        <w:pStyle w:val="ListParagraph"/>
        <w:numPr>
          <w:ilvl w:val="0"/>
          <w:numId w:val="3"/>
        </w:numPr>
        <w:autoSpaceDE w:val="0"/>
        <w:autoSpaceDN w:val="0"/>
      </w:pPr>
      <w:r w:rsidRPr="108E0BA1">
        <w:rPr>
          <w:b/>
          <w:bCs/>
        </w:rPr>
        <w:t xml:space="preserve">Mike Rankin </w:t>
      </w:r>
      <w:r>
        <w:t xml:space="preserve">(Group Manager, </w:t>
      </w:r>
      <w:proofErr w:type="gramStart"/>
      <w:r>
        <w:t>Data</w:t>
      </w:r>
      <w:proofErr w:type="gramEnd"/>
      <w:r>
        <w:t xml:space="preserve"> and Insights)</w:t>
      </w:r>
    </w:p>
    <w:p w14:paraId="1AF9E2E3" w14:textId="77777777" w:rsidR="00AB592B" w:rsidRDefault="00AB592B" w:rsidP="00AB592B">
      <w:pPr>
        <w:pStyle w:val="ListParagraph"/>
        <w:numPr>
          <w:ilvl w:val="0"/>
          <w:numId w:val="3"/>
        </w:numPr>
        <w:autoSpaceDE w:val="0"/>
        <w:autoSpaceDN w:val="0"/>
        <w:rPr>
          <w:bCs/>
        </w:rPr>
      </w:pPr>
      <w:r w:rsidRPr="108E0BA1">
        <w:rPr>
          <w:b/>
          <w:bCs/>
        </w:rPr>
        <w:t>Patricia Joseph (</w:t>
      </w:r>
      <w:r>
        <w:t>Group Manager Equity, National Immunisation Programme)</w:t>
      </w:r>
    </w:p>
    <w:p w14:paraId="1938E975" w14:textId="77777777" w:rsidR="00AB592B" w:rsidRDefault="00AB592B" w:rsidP="00AB592B">
      <w:pPr>
        <w:pStyle w:val="ListParagraph"/>
        <w:numPr>
          <w:ilvl w:val="0"/>
          <w:numId w:val="3"/>
        </w:numPr>
      </w:pPr>
      <w:r w:rsidRPr="108E0BA1">
        <w:rPr>
          <w:b/>
          <w:bCs/>
        </w:rPr>
        <w:t>Rachel Dillon</w:t>
      </w:r>
      <w:r>
        <w:t xml:space="preserve"> (Group Manager Office of the Director, National Immunisation Programme)</w:t>
      </w:r>
    </w:p>
    <w:p w14:paraId="3760FCA1" w14:textId="77777777" w:rsidR="00AB592B" w:rsidRPr="00661F77" w:rsidRDefault="00AB592B" w:rsidP="00AB592B">
      <w:pPr>
        <w:pStyle w:val="ListParagraph"/>
        <w:numPr>
          <w:ilvl w:val="0"/>
          <w:numId w:val="3"/>
        </w:numPr>
      </w:pPr>
      <w:r w:rsidRPr="108E0BA1">
        <w:rPr>
          <w:b/>
          <w:bCs/>
        </w:rPr>
        <w:t xml:space="preserve">Rachel Mackay </w:t>
      </w:r>
      <w:r>
        <w:t>(Group Manager Operations, National Immunisation Programme)</w:t>
      </w:r>
    </w:p>
    <w:p w14:paraId="7199C497" w14:textId="1A24FA36" w:rsidR="005B6991" w:rsidRDefault="005B6991" w:rsidP="005B6991">
      <w:pPr>
        <w:pStyle w:val="ListParagraph"/>
        <w:numPr>
          <w:ilvl w:val="0"/>
          <w:numId w:val="3"/>
        </w:numPr>
      </w:pPr>
      <w:r w:rsidRPr="108E0BA1">
        <w:rPr>
          <w:b/>
          <w:bCs/>
        </w:rPr>
        <w:t>Tara Swadi</w:t>
      </w:r>
      <w:r>
        <w:t xml:space="preserve"> (Group Manager Strategy &amp; Planning, National Immunisation Programme)</w:t>
      </w:r>
    </w:p>
    <w:p w14:paraId="6E39684B" w14:textId="76BB3A4E" w:rsidR="00316131" w:rsidRDefault="00343F2B" w:rsidP="008A2FB7">
      <w:r>
        <w:lastRenderedPageBreak/>
        <w:t xml:space="preserve">Further attendees may be added as the Taskforce </w:t>
      </w:r>
      <w:r w:rsidR="00034C1F">
        <w:t>progresses</w:t>
      </w:r>
      <w:r>
        <w:t>, and a</w:t>
      </w:r>
      <w:r w:rsidR="005B6991">
        <w:t>dditional attendees will be invited as needed for specific agenda items.</w:t>
      </w:r>
    </w:p>
    <w:p w14:paraId="45351E78" w14:textId="78789C33" w:rsidR="006872D1" w:rsidRPr="00B07F56" w:rsidRDefault="006872D1" w:rsidP="00780141">
      <w:pPr>
        <w:pStyle w:val="Heading1"/>
        <w:numPr>
          <w:ilvl w:val="0"/>
          <w:numId w:val="1"/>
        </w:numPr>
        <w:rPr>
          <w:color w:val="00A8AC"/>
        </w:rPr>
      </w:pPr>
      <w:r w:rsidRPr="00B07F56">
        <w:rPr>
          <w:b/>
          <w:color w:val="00A8AC"/>
        </w:rPr>
        <w:t>Reporting</w:t>
      </w:r>
    </w:p>
    <w:p w14:paraId="183FB882" w14:textId="40BF51AC" w:rsidR="0042171C" w:rsidRDefault="00FF423F" w:rsidP="008F7CFD">
      <w:pPr>
        <w:pStyle w:val="ListParagraph"/>
        <w:numPr>
          <w:ilvl w:val="0"/>
          <w:numId w:val="12"/>
        </w:numPr>
        <w:ind w:left="426" w:hanging="426"/>
      </w:pPr>
      <w:r>
        <w:t>Fortnightly</w:t>
      </w:r>
      <w:r w:rsidR="0042171C">
        <w:t xml:space="preserve"> </w:t>
      </w:r>
      <w:r w:rsidR="00EC6A99">
        <w:t xml:space="preserve">data </w:t>
      </w:r>
      <w:r w:rsidR="0042171C">
        <w:t>updates for</w:t>
      </w:r>
      <w:r w:rsidR="00FC3CEE">
        <w:t xml:space="preserve"> </w:t>
      </w:r>
      <w:r w:rsidR="0042171C">
        <w:t>Covid vaccination rates</w:t>
      </w:r>
      <w:r w:rsidR="0093459A">
        <w:t xml:space="preserve"> </w:t>
      </w:r>
      <w:r w:rsidR="009144F5">
        <w:t xml:space="preserve">[provided </w:t>
      </w:r>
      <w:r w:rsidR="00947BCE">
        <w:t xml:space="preserve">by </w:t>
      </w:r>
      <w:r w:rsidR="006D582E">
        <w:t>NIP</w:t>
      </w:r>
      <w:r w:rsidR="009144F5">
        <w:t>]</w:t>
      </w:r>
      <w:r w:rsidR="004540BC">
        <w:t>.</w:t>
      </w:r>
    </w:p>
    <w:p w14:paraId="1AE4D2A2" w14:textId="77777777" w:rsidR="00A064C2" w:rsidRDefault="00A064C2" w:rsidP="008F7CFD">
      <w:pPr>
        <w:pStyle w:val="ListParagraph"/>
        <w:numPr>
          <w:ilvl w:val="0"/>
          <w:numId w:val="12"/>
        </w:numPr>
        <w:ind w:left="426" w:hanging="426"/>
      </w:pPr>
      <w:r>
        <w:t>Monthly immunisation reports [provided by NIP].</w:t>
      </w:r>
    </w:p>
    <w:p w14:paraId="605C52C6" w14:textId="47120F61" w:rsidR="0092246E" w:rsidRDefault="005B0132" w:rsidP="008F7CFD">
      <w:pPr>
        <w:pStyle w:val="ListParagraph"/>
        <w:numPr>
          <w:ilvl w:val="0"/>
          <w:numId w:val="12"/>
        </w:numPr>
        <w:ind w:left="426" w:hanging="426"/>
      </w:pPr>
      <w:r>
        <w:t xml:space="preserve">A dashboard of </w:t>
      </w:r>
      <w:r w:rsidRPr="00780141">
        <w:t>identified risks</w:t>
      </w:r>
      <w:r w:rsidR="004B64EC" w:rsidRPr="00693661">
        <w:t xml:space="preserve">, </w:t>
      </w:r>
      <w:r w:rsidR="004B64EC">
        <w:t xml:space="preserve">for example, risks </w:t>
      </w:r>
      <w:r w:rsidRPr="00780141">
        <w:t xml:space="preserve">relating to </w:t>
      </w:r>
      <w:r w:rsidR="00924507">
        <w:t>vaccination rates</w:t>
      </w:r>
      <w:r w:rsidRPr="00780141">
        <w:t xml:space="preserve"> and </w:t>
      </w:r>
      <w:r w:rsidR="00924507">
        <w:t>the h</w:t>
      </w:r>
      <w:r w:rsidRPr="00780141">
        <w:t>ealth reforms / transition</w:t>
      </w:r>
      <w:r w:rsidR="00CC76FB">
        <w:t xml:space="preserve"> at the programme level</w:t>
      </w:r>
      <w:r w:rsidR="007A6D19">
        <w:t xml:space="preserve"> [provided </w:t>
      </w:r>
      <w:r w:rsidR="00547496">
        <w:t>by secretariat]</w:t>
      </w:r>
    </w:p>
    <w:p w14:paraId="608C93AE" w14:textId="487484E7" w:rsidR="00A529AC" w:rsidRDefault="004B64EC" w:rsidP="008F7CFD">
      <w:pPr>
        <w:pStyle w:val="ListParagraph"/>
        <w:numPr>
          <w:ilvl w:val="0"/>
          <w:numId w:val="12"/>
        </w:numPr>
        <w:ind w:left="426" w:hanging="426"/>
      </w:pPr>
      <w:r>
        <w:t>Progress agains</w:t>
      </w:r>
      <w:r w:rsidR="00CC76FB">
        <w:t>t the NIP Workstream Plan</w:t>
      </w:r>
      <w:r w:rsidR="007A6D19">
        <w:t xml:space="preserve"> [provided by NIP</w:t>
      </w:r>
      <w:r w:rsidR="00E3309D">
        <w:t xml:space="preserve"> on request</w:t>
      </w:r>
      <w:r w:rsidR="007A6D19">
        <w:t>]</w:t>
      </w:r>
    </w:p>
    <w:p w14:paraId="52F340E8" w14:textId="77777777" w:rsidR="009F781E" w:rsidRPr="009F781E" w:rsidRDefault="00E3309D" w:rsidP="00426593">
      <w:pPr>
        <w:pStyle w:val="ListParagraph"/>
        <w:numPr>
          <w:ilvl w:val="0"/>
          <w:numId w:val="12"/>
        </w:numPr>
        <w:spacing w:after="160"/>
        <w:ind w:left="426" w:hanging="426"/>
        <w:rPr>
          <w:b/>
          <w:color w:val="00A8AC"/>
        </w:rPr>
      </w:pPr>
      <w:r>
        <w:t>Fortnightly</w:t>
      </w:r>
      <w:r w:rsidR="00A529AC">
        <w:t xml:space="preserve"> Immunisation Taskforce Action Tracker </w:t>
      </w:r>
      <w:r w:rsidR="00FF1253">
        <w:t>(</w:t>
      </w:r>
      <w:r w:rsidR="00A529AC">
        <w:t>update</w:t>
      </w:r>
      <w:r w:rsidR="00FF1253">
        <w:t xml:space="preserve"> </w:t>
      </w:r>
      <w:r>
        <w:t>fortnightly</w:t>
      </w:r>
      <w:r w:rsidR="00FF1253">
        <w:t>)</w:t>
      </w:r>
      <w:r w:rsidR="00547496">
        <w:t xml:space="preserve"> [provided by secretariat].</w:t>
      </w:r>
    </w:p>
    <w:p w14:paraId="02BECC12" w14:textId="77777777" w:rsidR="009F781E" w:rsidRPr="009F781E" w:rsidRDefault="009F781E" w:rsidP="009F781E">
      <w:pPr>
        <w:spacing w:after="160"/>
        <w:rPr>
          <w:b/>
          <w:color w:val="00A8AC"/>
        </w:rPr>
      </w:pPr>
    </w:p>
    <w:p w14:paraId="23902445" w14:textId="590DD55A" w:rsidR="00893253" w:rsidRPr="009F781E" w:rsidRDefault="00893253" w:rsidP="009F781E">
      <w:pPr>
        <w:spacing w:after="160"/>
        <w:rPr>
          <w:b/>
          <w:color w:val="00A8AC"/>
        </w:rPr>
      </w:pPr>
      <w:r w:rsidRPr="009F781E">
        <w:rPr>
          <w:b/>
          <w:color w:val="00A8AC"/>
        </w:rPr>
        <w:t>Decision rights</w:t>
      </w:r>
    </w:p>
    <w:p w14:paraId="02B52D94" w14:textId="41409388" w:rsidR="00B11887" w:rsidRDefault="00300973" w:rsidP="006872D1">
      <w:pPr>
        <w:rPr>
          <w:i/>
          <w:iCs/>
        </w:rPr>
      </w:pPr>
      <w:r>
        <w:rPr>
          <w:i/>
          <w:iCs/>
        </w:rPr>
        <w:t xml:space="preserve">The </w:t>
      </w:r>
      <w:r w:rsidR="001A7C48">
        <w:rPr>
          <w:i/>
          <w:iCs/>
        </w:rPr>
        <w:t>objective of the Taskforce is</w:t>
      </w:r>
      <w:r w:rsidR="00F2067E">
        <w:rPr>
          <w:i/>
          <w:iCs/>
        </w:rPr>
        <w:t xml:space="preserve"> to be</w:t>
      </w:r>
      <w:r w:rsidR="00B11887">
        <w:rPr>
          <w:i/>
          <w:iCs/>
        </w:rPr>
        <w:t>:</w:t>
      </w:r>
    </w:p>
    <w:p w14:paraId="528C9967" w14:textId="29B8D3D3" w:rsidR="008338C9" w:rsidRDefault="00B67082" w:rsidP="001A7C48">
      <w:pPr>
        <w:pStyle w:val="ListParagraph"/>
      </w:pPr>
      <w:r>
        <w:t xml:space="preserve">A forum </w:t>
      </w:r>
      <w:r w:rsidR="00991C5A">
        <w:t>for</w:t>
      </w:r>
      <w:r w:rsidR="00256B5B">
        <w:t xml:space="preserve"> surfac</w:t>
      </w:r>
      <w:r w:rsidR="00991C5A">
        <w:t>ing</w:t>
      </w:r>
      <w:r w:rsidR="00256B5B">
        <w:t xml:space="preserve"> and escalat</w:t>
      </w:r>
      <w:r w:rsidR="002855BC">
        <w:t>ing</w:t>
      </w:r>
      <w:r w:rsidR="00256B5B">
        <w:t xml:space="preserve"> issues </w:t>
      </w:r>
      <w:r w:rsidR="00B43BF0">
        <w:t xml:space="preserve">and/or blockages to the operation and delivery of immunisations and vaccinations.  </w:t>
      </w:r>
      <w:r w:rsidR="00C1306C">
        <w:t xml:space="preserve">The Taskforce will also </w:t>
      </w:r>
      <w:r w:rsidR="003A2A05">
        <w:t xml:space="preserve">provide a mechanism </w:t>
      </w:r>
      <w:r w:rsidR="001822C5">
        <w:t>to</w:t>
      </w:r>
      <w:r w:rsidR="003A2A05">
        <w:t xml:space="preserve"> </w:t>
      </w:r>
      <w:r w:rsidR="00C07692">
        <w:t>feedback</w:t>
      </w:r>
      <w:r w:rsidR="003A2A05">
        <w:t xml:space="preserve"> </w:t>
      </w:r>
      <w:r w:rsidR="00DB4EE5">
        <w:t>learnings and on the ground intelligence</w:t>
      </w:r>
      <w:r w:rsidR="001822C5">
        <w:t xml:space="preserve">. </w:t>
      </w:r>
      <w:r w:rsidR="00F2067E">
        <w:t xml:space="preserve"> This collective approach will i</w:t>
      </w:r>
      <w:r w:rsidR="001822C5">
        <w:t>nform</w:t>
      </w:r>
      <w:r w:rsidR="00F2067E">
        <w:t xml:space="preserve"> and help</w:t>
      </w:r>
      <w:r w:rsidR="001822C5">
        <w:t xml:space="preserve"> drive improvements </w:t>
      </w:r>
      <w:r w:rsidR="00F2067E">
        <w:t xml:space="preserve">in our approach </w:t>
      </w:r>
      <w:proofErr w:type="gramStart"/>
      <w:r w:rsidR="00F2067E">
        <w:t>so as to</w:t>
      </w:r>
      <w:proofErr w:type="gramEnd"/>
      <w:r w:rsidR="00F2067E">
        <w:t xml:space="preserve"> raise national immunisation rates back up to 95% and then sustain that.</w:t>
      </w:r>
    </w:p>
    <w:p w14:paraId="4542C19A" w14:textId="77777777" w:rsidR="009D74EC" w:rsidRDefault="009D74EC" w:rsidP="00780141">
      <w:pPr>
        <w:pStyle w:val="ListParagraph"/>
      </w:pPr>
    </w:p>
    <w:p w14:paraId="234C2237" w14:textId="076564B6" w:rsidR="009F0B02" w:rsidRDefault="00893253" w:rsidP="009F0B02">
      <w:pPr>
        <w:pStyle w:val="ListParagraph"/>
      </w:pPr>
      <w:r>
        <w:t xml:space="preserve">The </w:t>
      </w:r>
      <w:r w:rsidR="005B08B3">
        <w:t xml:space="preserve">Taskforce will be accountable to </w:t>
      </w:r>
      <w:r w:rsidR="00297809">
        <w:t xml:space="preserve">the </w:t>
      </w:r>
      <w:r w:rsidR="009F0B02">
        <w:t xml:space="preserve">Director, National Public Health Service.  The Director is </w:t>
      </w:r>
      <w:r w:rsidR="00F32F03">
        <w:t>accountable to the</w:t>
      </w:r>
      <w:r w:rsidR="009F0B02">
        <w:t xml:space="preserve"> C</w:t>
      </w:r>
      <w:r w:rsidR="006245E8">
        <w:t>hief Executive</w:t>
      </w:r>
      <w:r w:rsidR="009F0B02">
        <w:t xml:space="preserve"> of Te Whatu Ora</w:t>
      </w:r>
      <w:r w:rsidR="006245E8">
        <w:t xml:space="preserve">. </w:t>
      </w:r>
    </w:p>
    <w:p w14:paraId="025CE2D1" w14:textId="77777777" w:rsidR="00F440C5" w:rsidRDefault="00F440C5" w:rsidP="009F0B02">
      <w:pPr>
        <w:pStyle w:val="ListParagraph"/>
      </w:pPr>
    </w:p>
    <w:p w14:paraId="73647B2F" w14:textId="009D0818" w:rsidR="002F3747" w:rsidRPr="00B07F56" w:rsidRDefault="002F3747" w:rsidP="009F0B02">
      <w:pPr>
        <w:pStyle w:val="ListParagraph"/>
        <w:rPr>
          <w:b/>
          <w:bCs/>
          <w:color w:val="00A8AC"/>
          <w:sz w:val="28"/>
          <w:szCs w:val="28"/>
        </w:rPr>
      </w:pPr>
      <w:r w:rsidRPr="00B07F56">
        <w:rPr>
          <w:b/>
          <w:bCs/>
          <w:color w:val="00A8AC"/>
          <w:sz w:val="28"/>
          <w:szCs w:val="28"/>
        </w:rPr>
        <w:t xml:space="preserve">Core responsibilities of all the members </w:t>
      </w:r>
    </w:p>
    <w:p w14:paraId="70D6A871" w14:textId="77777777" w:rsidR="002F3747" w:rsidRPr="005A0E54" w:rsidRDefault="002F3747" w:rsidP="005A0E54">
      <w:pPr>
        <w:pStyle w:val="ListParagraph"/>
        <w:numPr>
          <w:ilvl w:val="0"/>
          <w:numId w:val="23"/>
        </w:numPr>
      </w:pPr>
      <w:r w:rsidRPr="005A0E54">
        <w:t>have a commitment to upholding the principles of Te Tiriti o Waitangi</w:t>
      </w:r>
    </w:p>
    <w:p w14:paraId="7608E651" w14:textId="4D4FE543" w:rsidR="002F3747" w:rsidRPr="005A0E54" w:rsidRDefault="002F3747" w:rsidP="005A0E54">
      <w:pPr>
        <w:pStyle w:val="ListParagraph"/>
        <w:numPr>
          <w:ilvl w:val="0"/>
          <w:numId w:val="23"/>
        </w:numPr>
      </w:pPr>
      <w:r w:rsidRPr="005A0E54">
        <w:t>have a commitment to ensuring equity of access and equity of health outcome for all New Zealanders, with a particular focus on Māori</w:t>
      </w:r>
      <w:r w:rsidR="00933823">
        <w:t>,</w:t>
      </w:r>
      <w:r w:rsidRPr="005A0E54">
        <w:t xml:space="preserve"> Pacific</w:t>
      </w:r>
      <w:r w:rsidR="00933823">
        <w:t>, and disability</w:t>
      </w:r>
      <w:r w:rsidRPr="005A0E54">
        <w:t xml:space="preserve"> groups</w:t>
      </w:r>
    </w:p>
    <w:p w14:paraId="4E78A796" w14:textId="77777777" w:rsidR="002F3747" w:rsidRPr="005A0E54" w:rsidRDefault="002F3747" w:rsidP="005A0E54">
      <w:pPr>
        <w:pStyle w:val="ListParagraph"/>
        <w:numPr>
          <w:ilvl w:val="0"/>
          <w:numId w:val="23"/>
        </w:numPr>
      </w:pPr>
      <w:r w:rsidRPr="005A0E54">
        <w:t xml:space="preserve">have a commitment to work for the New Zealand public </w:t>
      </w:r>
    </w:p>
    <w:p w14:paraId="05C21092" w14:textId="2B1EAACD" w:rsidR="002F3747" w:rsidRPr="005A0E54" w:rsidRDefault="002F3747" w:rsidP="005A0E54">
      <w:pPr>
        <w:pStyle w:val="ListParagraph"/>
        <w:numPr>
          <w:ilvl w:val="0"/>
          <w:numId w:val="23"/>
        </w:numPr>
      </w:pPr>
      <w:r w:rsidRPr="005A0E54">
        <w:t xml:space="preserve">act in their professional capacity as experts on areas relevant to the </w:t>
      </w:r>
      <w:r w:rsidR="005A0E54">
        <w:t>National I</w:t>
      </w:r>
      <w:r w:rsidRPr="005A0E54">
        <w:t>mmunisation programme</w:t>
      </w:r>
    </w:p>
    <w:p w14:paraId="010253CF" w14:textId="33AD3DE4" w:rsidR="002F3747" w:rsidRPr="005A0E54" w:rsidRDefault="002F3747" w:rsidP="005A0E54">
      <w:pPr>
        <w:pStyle w:val="ListParagraph"/>
        <w:numPr>
          <w:ilvl w:val="0"/>
          <w:numId w:val="23"/>
        </w:numPr>
      </w:pPr>
      <w:r w:rsidRPr="005A0E54">
        <w:t xml:space="preserve">provide the </w:t>
      </w:r>
      <w:r w:rsidR="005A0E54">
        <w:t>Taskforce</w:t>
      </w:r>
      <w:r w:rsidRPr="005A0E54">
        <w:t xml:space="preserve"> with their own views and insights </w:t>
      </w:r>
    </w:p>
    <w:p w14:paraId="5155EA77" w14:textId="77777777" w:rsidR="002F3747" w:rsidRPr="005A0E54" w:rsidRDefault="002F3747" w:rsidP="005A0E54">
      <w:pPr>
        <w:pStyle w:val="ListParagraph"/>
        <w:numPr>
          <w:ilvl w:val="0"/>
          <w:numId w:val="23"/>
        </w:numPr>
      </w:pPr>
      <w:r w:rsidRPr="005A0E54">
        <w:t xml:space="preserve">prepare for meetings, including reading any material sent out prior to the meeting </w:t>
      </w:r>
    </w:p>
    <w:p w14:paraId="25A3628A" w14:textId="0E237D37" w:rsidR="005A0E54" w:rsidRDefault="002F3747" w:rsidP="005A0E54">
      <w:pPr>
        <w:pStyle w:val="ListParagraph"/>
        <w:numPr>
          <w:ilvl w:val="0"/>
          <w:numId w:val="23"/>
        </w:numPr>
      </w:pPr>
      <w:r w:rsidRPr="005A0E54">
        <w:t xml:space="preserve">prioritise attendance at the meetings and in the case of non-attendance, notify the </w:t>
      </w:r>
      <w:r w:rsidR="005A0E54">
        <w:t>C</w:t>
      </w:r>
      <w:r w:rsidRPr="005A0E54">
        <w:t>hair (or Secretariat) in advance of the meeting at the earliest possible opportunity.</w:t>
      </w:r>
    </w:p>
    <w:p w14:paraId="6810AEE5" w14:textId="2BB7B3E0" w:rsidR="002F3747" w:rsidRDefault="002F3747" w:rsidP="005A0E54">
      <w:pPr>
        <w:pStyle w:val="ListParagraph"/>
        <w:numPr>
          <w:ilvl w:val="0"/>
          <w:numId w:val="23"/>
        </w:numPr>
      </w:pPr>
      <w:r w:rsidRPr="005A0E54">
        <w:t xml:space="preserve">When circumstances prevent them from attending meetings, members will forward any comments, </w:t>
      </w:r>
      <w:proofErr w:type="gramStart"/>
      <w:r w:rsidRPr="005A0E54">
        <w:t>concerns</w:t>
      </w:r>
      <w:proofErr w:type="gramEnd"/>
      <w:r w:rsidRPr="005A0E54">
        <w:t xml:space="preserve"> and queries to the </w:t>
      </w:r>
      <w:r w:rsidR="005A0E54">
        <w:t>Chair</w:t>
      </w:r>
      <w:r w:rsidRPr="005A0E54">
        <w:t xml:space="preserve"> before the meeting. </w:t>
      </w:r>
    </w:p>
    <w:p w14:paraId="417C57D7" w14:textId="77777777" w:rsidR="00F32F03" w:rsidRPr="00B07F56" w:rsidRDefault="00F32F03" w:rsidP="00F32F03">
      <w:pPr>
        <w:pStyle w:val="ListParagraph"/>
        <w:ind w:left="1440"/>
        <w:rPr>
          <w:color w:val="00A8AC"/>
        </w:rPr>
      </w:pPr>
    </w:p>
    <w:p w14:paraId="6312806C" w14:textId="107D7291" w:rsidR="002F3747" w:rsidRPr="003B3D99" w:rsidRDefault="002F3747" w:rsidP="003B3D99">
      <w:pPr>
        <w:pStyle w:val="ListParagraph"/>
        <w:numPr>
          <w:ilvl w:val="1"/>
          <w:numId w:val="1"/>
        </w:numPr>
        <w:ind w:left="426" w:hanging="426"/>
        <w:rPr>
          <w:rFonts w:asciiTheme="majorHAnsi" w:eastAsiaTheme="majorEastAsia" w:hAnsiTheme="majorHAnsi" w:cstheme="majorBidi"/>
          <w:b/>
          <w:bCs/>
          <w:color w:val="2E74B5" w:themeColor="accent1" w:themeShade="BF"/>
          <w:sz w:val="32"/>
          <w:szCs w:val="32"/>
        </w:rPr>
      </w:pPr>
      <w:r w:rsidRPr="00B07F56">
        <w:rPr>
          <w:rFonts w:ascii="Arial" w:hAnsi="Arial" w:cs="Arial"/>
          <w:b/>
          <w:bCs/>
          <w:i/>
          <w:iCs/>
          <w:color w:val="00A8AC"/>
        </w:rPr>
        <w:t xml:space="preserve"> </w:t>
      </w:r>
      <w:r w:rsidRPr="00B07F56">
        <w:rPr>
          <w:rFonts w:asciiTheme="majorHAnsi" w:eastAsiaTheme="majorEastAsia" w:hAnsiTheme="majorHAnsi" w:cstheme="majorBidi"/>
          <w:b/>
          <w:bCs/>
          <w:color w:val="00A8AC"/>
          <w:sz w:val="28"/>
          <w:szCs w:val="28"/>
        </w:rPr>
        <w:t xml:space="preserve">Terms of appointments </w:t>
      </w:r>
      <w:r w:rsidR="005A0E54" w:rsidRPr="003B3D99">
        <w:rPr>
          <w:rFonts w:asciiTheme="majorHAnsi" w:eastAsiaTheme="majorEastAsia" w:hAnsiTheme="majorHAnsi" w:cstheme="majorBidi"/>
          <w:b/>
          <w:bCs/>
          <w:color w:val="2E74B5" w:themeColor="accent1" w:themeShade="BF"/>
          <w:sz w:val="32"/>
          <w:szCs w:val="32"/>
        </w:rPr>
        <w:tab/>
      </w:r>
    </w:p>
    <w:p w14:paraId="57D5AB64" w14:textId="68216D2F" w:rsidR="002F3747" w:rsidRPr="004B4075" w:rsidRDefault="002F3747" w:rsidP="002F3747">
      <w:pPr>
        <w:rPr>
          <w:rFonts w:cstheme="minorHAnsi"/>
        </w:rPr>
      </w:pPr>
      <w:r w:rsidRPr="004B4075">
        <w:rPr>
          <w:rFonts w:cstheme="minorHAnsi"/>
        </w:rPr>
        <w:t xml:space="preserve">Appointments are made for the duration of the </w:t>
      </w:r>
      <w:r w:rsidR="005A0E54" w:rsidRPr="004B4075">
        <w:rPr>
          <w:rFonts w:cstheme="minorHAnsi"/>
        </w:rPr>
        <w:t>Taskforce</w:t>
      </w:r>
      <w:r w:rsidRPr="004B4075">
        <w:rPr>
          <w:rFonts w:cstheme="minorHAnsi"/>
        </w:rPr>
        <w:t>, unless otherwise determined by the Director of the National Public Health Service.</w:t>
      </w:r>
    </w:p>
    <w:p w14:paraId="3B1CF458" w14:textId="77777777" w:rsidR="002F3747" w:rsidRPr="004B4075" w:rsidRDefault="002F3747" w:rsidP="002F3747">
      <w:pPr>
        <w:rPr>
          <w:rFonts w:cstheme="minorHAnsi"/>
        </w:rPr>
      </w:pPr>
      <w:r w:rsidRPr="004B4075">
        <w:rPr>
          <w:rFonts w:cstheme="minorHAnsi"/>
        </w:rPr>
        <w:t>The Director may terminate the appointment of any member at any time by notification in writing.</w:t>
      </w:r>
    </w:p>
    <w:p w14:paraId="60D6A5B7" w14:textId="77777777" w:rsidR="002F3747" w:rsidRPr="00B07F56" w:rsidRDefault="002F3747" w:rsidP="004B4075">
      <w:pPr>
        <w:pStyle w:val="Heading1"/>
        <w:numPr>
          <w:ilvl w:val="0"/>
          <w:numId w:val="1"/>
        </w:numPr>
        <w:rPr>
          <w:b/>
          <w:color w:val="00A8AC"/>
        </w:rPr>
      </w:pPr>
      <w:r w:rsidRPr="00B07F56">
        <w:rPr>
          <w:b/>
          <w:color w:val="00A8AC"/>
        </w:rPr>
        <w:lastRenderedPageBreak/>
        <w:t>Meeting procedures</w:t>
      </w:r>
    </w:p>
    <w:p w14:paraId="25A03DD7" w14:textId="074F490D" w:rsidR="002F3747" w:rsidRPr="00F32F03" w:rsidRDefault="004B4075" w:rsidP="002F3747">
      <w:pPr>
        <w:rPr>
          <w:rFonts w:cstheme="minorHAnsi"/>
        </w:rPr>
      </w:pPr>
      <w:r w:rsidRPr="00F32F03">
        <w:rPr>
          <w:rFonts w:cstheme="minorHAnsi"/>
        </w:rPr>
        <w:t>Taskforce</w:t>
      </w:r>
      <w:r w:rsidR="002F3747" w:rsidRPr="00F32F03">
        <w:rPr>
          <w:rFonts w:cstheme="minorHAnsi"/>
        </w:rPr>
        <w:t xml:space="preserve"> meetings will be held primarily through virtual means. The Secretariat will ensure the appropriate arrangements are made for members. </w:t>
      </w:r>
    </w:p>
    <w:p w14:paraId="039382C0" w14:textId="77777777" w:rsidR="002F3747" w:rsidRPr="007362B0" w:rsidRDefault="002F3747" w:rsidP="002F3747">
      <w:pPr>
        <w:rPr>
          <w:rFonts w:cstheme="minorHAnsi"/>
        </w:rPr>
      </w:pPr>
      <w:r w:rsidRPr="007362B0">
        <w:rPr>
          <w:rFonts w:cstheme="minorHAnsi"/>
        </w:rPr>
        <w:t xml:space="preserve">Draft minutes will be provided to members within </w:t>
      </w:r>
      <w:r w:rsidRPr="007362B0">
        <w:rPr>
          <w:rFonts w:cstheme="minorHAnsi"/>
          <w:b/>
          <w:bCs/>
        </w:rPr>
        <w:t>five</w:t>
      </w:r>
      <w:r w:rsidRPr="007362B0">
        <w:rPr>
          <w:rFonts w:cstheme="minorHAnsi"/>
        </w:rPr>
        <w:t xml:space="preserve"> working days of the meeting.</w:t>
      </w:r>
    </w:p>
    <w:p w14:paraId="4D0BA1D8" w14:textId="3968A749" w:rsidR="002F3747" w:rsidRPr="007362B0" w:rsidRDefault="002F3747" w:rsidP="002F3747">
      <w:pPr>
        <w:rPr>
          <w:rFonts w:cstheme="minorHAnsi"/>
        </w:rPr>
      </w:pPr>
      <w:r w:rsidRPr="007362B0">
        <w:rPr>
          <w:rFonts w:cstheme="minorHAnsi"/>
        </w:rPr>
        <w:t xml:space="preserve">Meeting agendas and relevant papers will be provided to attendees at least </w:t>
      </w:r>
      <w:r w:rsidR="007362B0" w:rsidRPr="007362B0">
        <w:rPr>
          <w:rFonts w:cstheme="minorHAnsi"/>
          <w:b/>
          <w:bCs/>
        </w:rPr>
        <w:t>two</w:t>
      </w:r>
      <w:r w:rsidRPr="007362B0">
        <w:rPr>
          <w:rFonts w:cstheme="minorHAnsi"/>
        </w:rPr>
        <w:t xml:space="preserve"> working days before the meeting. The </w:t>
      </w:r>
      <w:r w:rsidR="007362B0" w:rsidRPr="007362B0">
        <w:rPr>
          <w:rFonts w:cstheme="minorHAnsi"/>
        </w:rPr>
        <w:t>Chair</w:t>
      </w:r>
      <w:r w:rsidRPr="007362B0">
        <w:rPr>
          <w:rFonts w:cstheme="minorHAnsi"/>
        </w:rPr>
        <w:t xml:space="preserve"> may accept late items and papers at their discretion. </w:t>
      </w:r>
    </w:p>
    <w:p w14:paraId="524CA7BF" w14:textId="65D2C08A" w:rsidR="002F3747" w:rsidRPr="007362B0" w:rsidRDefault="002F3747" w:rsidP="002F3747">
      <w:pPr>
        <w:rPr>
          <w:rFonts w:cstheme="minorHAnsi"/>
        </w:rPr>
      </w:pPr>
      <w:r w:rsidRPr="007362B0">
        <w:rPr>
          <w:rFonts w:cstheme="minorHAnsi"/>
        </w:rPr>
        <w:t xml:space="preserve">Feedback may be requested on various issues and proposals out of the usual meeting cycle. </w:t>
      </w:r>
      <w:r w:rsidR="006A4957">
        <w:rPr>
          <w:rFonts w:cstheme="minorHAnsi"/>
        </w:rPr>
        <w:t>Te Whatu Ora</w:t>
      </w:r>
      <w:r w:rsidRPr="007362B0">
        <w:rPr>
          <w:rFonts w:cstheme="minorHAnsi"/>
        </w:rPr>
        <w:t xml:space="preserve"> will endeavour to give the </w:t>
      </w:r>
      <w:r w:rsidR="007362B0" w:rsidRPr="007362B0">
        <w:rPr>
          <w:rFonts w:cstheme="minorHAnsi"/>
        </w:rPr>
        <w:t>Taskforce</w:t>
      </w:r>
      <w:r w:rsidRPr="007362B0">
        <w:rPr>
          <w:rFonts w:cstheme="minorHAnsi"/>
        </w:rPr>
        <w:t xml:space="preserve"> as much time as possible to consider the information provided and provide feedback.</w:t>
      </w:r>
    </w:p>
    <w:p w14:paraId="61CC20C7" w14:textId="77777777" w:rsidR="002F3747" w:rsidRPr="00B07F56" w:rsidRDefault="002F3747" w:rsidP="007362B0">
      <w:pPr>
        <w:pStyle w:val="Heading1"/>
        <w:numPr>
          <w:ilvl w:val="0"/>
          <w:numId w:val="1"/>
        </w:numPr>
        <w:rPr>
          <w:b/>
          <w:color w:val="00A8AC"/>
        </w:rPr>
      </w:pPr>
      <w:r w:rsidRPr="00B07F56">
        <w:rPr>
          <w:b/>
          <w:color w:val="00A8AC"/>
        </w:rPr>
        <w:t>Liability</w:t>
      </w:r>
    </w:p>
    <w:p w14:paraId="6F125CB0" w14:textId="70098A5B" w:rsidR="002F3747" w:rsidRPr="001516DF" w:rsidRDefault="002F3747" w:rsidP="002F3747">
      <w:pPr>
        <w:rPr>
          <w:rFonts w:cstheme="minorHAnsi"/>
        </w:rPr>
      </w:pPr>
      <w:r w:rsidRPr="001516DF">
        <w:rPr>
          <w:rFonts w:cstheme="minorHAnsi"/>
          <w:lang w:val="en-US"/>
        </w:rPr>
        <w:t xml:space="preserve">Members are not liable for any act or omission done or omitted in their capacity as a member, if they acted in good faith, and with reasonable care, in pursuance of the functions of the </w:t>
      </w:r>
      <w:r w:rsidR="007362B0" w:rsidRPr="001516DF">
        <w:rPr>
          <w:rFonts w:cstheme="minorHAnsi"/>
        </w:rPr>
        <w:t>Taskforce</w:t>
      </w:r>
      <w:r w:rsidRPr="001516DF">
        <w:rPr>
          <w:rFonts w:cstheme="minorHAnsi"/>
          <w:lang w:val="en-US"/>
        </w:rPr>
        <w:t>.</w:t>
      </w:r>
    </w:p>
    <w:p w14:paraId="2E7AC972" w14:textId="77777777" w:rsidR="002F3747" w:rsidRPr="00B07F56" w:rsidRDefault="002F3747" w:rsidP="007362B0">
      <w:pPr>
        <w:pStyle w:val="Heading1"/>
        <w:numPr>
          <w:ilvl w:val="0"/>
          <w:numId w:val="1"/>
        </w:numPr>
        <w:rPr>
          <w:b/>
          <w:color w:val="00A8AC"/>
        </w:rPr>
      </w:pPr>
      <w:r w:rsidRPr="00B07F56">
        <w:rPr>
          <w:b/>
          <w:color w:val="00A8AC"/>
        </w:rPr>
        <w:t xml:space="preserve">Confidentiality </w:t>
      </w:r>
    </w:p>
    <w:p w14:paraId="378ED77B" w14:textId="0E4D705A" w:rsidR="002F3747" w:rsidRPr="001516DF" w:rsidRDefault="002F3747" w:rsidP="002F3747">
      <w:pPr>
        <w:rPr>
          <w:rFonts w:cstheme="minorHAnsi"/>
        </w:rPr>
      </w:pPr>
      <w:bookmarkStart w:id="2" w:name="_Ref297817817"/>
      <w:r w:rsidRPr="001516DF">
        <w:rPr>
          <w:rFonts w:cstheme="minorHAnsi"/>
        </w:rPr>
        <w:t xml:space="preserve">Members of the </w:t>
      </w:r>
      <w:r w:rsidR="007362B0" w:rsidRPr="001516DF">
        <w:rPr>
          <w:rFonts w:cstheme="minorHAnsi"/>
        </w:rPr>
        <w:t>Taskforce</w:t>
      </w:r>
      <w:r w:rsidRPr="001516DF">
        <w:rPr>
          <w:rFonts w:cstheme="minorHAnsi"/>
        </w:rPr>
        <w:t xml:space="preserve"> will be privy to confidential and commercially sensitive information. It is expected that all information shared and discussed, including the agenda, </w:t>
      </w:r>
      <w:proofErr w:type="gramStart"/>
      <w:r w:rsidRPr="001516DF">
        <w:rPr>
          <w:rFonts w:cstheme="minorHAnsi"/>
        </w:rPr>
        <w:t>material</w:t>
      </w:r>
      <w:proofErr w:type="gramEnd"/>
      <w:r w:rsidRPr="001516DF">
        <w:rPr>
          <w:rFonts w:cstheme="minorHAnsi"/>
        </w:rPr>
        <w:t xml:space="preserve"> and minutes, are confidential.  Members must ensure confidentiality is maintained and documents kept securely.  Release of correspondence or papers can only be made with the prior approval of </w:t>
      </w:r>
      <w:r w:rsidR="006A4957">
        <w:rPr>
          <w:rFonts w:cstheme="minorHAnsi"/>
        </w:rPr>
        <w:t>Te Whatu Ora</w:t>
      </w:r>
      <w:r w:rsidRPr="001516DF">
        <w:rPr>
          <w:rFonts w:cstheme="minorHAnsi"/>
        </w:rPr>
        <w:t xml:space="preserve">.  </w:t>
      </w:r>
    </w:p>
    <w:p w14:paraId="7DED64F1" w14:textId="2BE1DD45" w:rsidR="002F3747" w:rsidRPr="001516DF" w:rsidRDefault="002F3747" w:rsidP="002F3747">
      <w:pPr>
        <w:rPr>
          <w:rFonts w:cstheme="minorHAnsi"/>
        </w:rPr>
      </w:pPr>
      <w:r w:rsidRPr="001516DF">
        <w:rPr>
          <w:rFonts w:cstheme="minorHAnsi"/>
        </w:rPr>
        <w:t xml:space="preserve">Members must ensure that any information acquired or created for </w:t>
      </w:r>
      <w:r w:rsidR="007362B0" w:rsidRPr="001516DF">
        <w:rPr>
          <w:rFonts w:cstheme="minorHAnsi"/>
        </w:rPr>
        <w:t>the Taskforce</w:t>
      </w:r>
      <w:r w:rsidRPr="001516DF">
        <w:rPr>
          <w:rFonts w:cstheme="minorHAnsi"/>
        </w:rPr>
        <w:t xml:space="preserve"> consideration is only used for performing duties as a member. Members may not use their knowledge of confidential </w:t>
      </w:r>
      <w:r w:rsidR="007362B0" w:rsidRPr="001516DF">
        <w:rPr>
          <w:rFonts w:cstheme="minorHAnsi"/>
        </w:rPr>
        <w:t>Taskforce</w:t>
      </w:r>
      <w:r w:rsidRPr="001516DF">
        <w:rPr>
          <w:rFonts w:cstheme="minorHAnsi"/>
        </w:rPr>
        <w:t xml:space="preserve"> issues to provide inequitable benefit, gain or advantage to any individual, </w:t>
      </w:r>
      <w:proofErr w:type="gramStart"/>
      <w:r w:rsidRPr="001516DF">
        <w:rPr>
          <w:rFonts w:cstheme="minorHAnsi"/>
        </w:rPr>
        <w:t>private</w:t>
      </w:r>
      <w:proofErr w:type="gramEnd"/>
      <w:r w:rsidRPr="001516DF">
        <w:rPr>
          <w:rFonts w:cstheme="minorHAnsi"/>
        </w:rPr>
        <w:t xml:space="preserve"> or public agency or group.</w:t>
      </w:r>
    </w:p>
    <w:bookmarkEnd w:id="2"/>
    <w:p w14:paraId="17467AE6" w14:textId="746EA410" w:rsidR="002F3747" w:rsidRPr="001516DF" w:rsidRDefault="002F3747" w:rsidP="002F3747">
      <w:pPr>
        <w:rPr>
          <w:rFonts w:cstheme="minorHAnsi"/>
        </w:rPr>
      </w:pPr>
      <w:r w:rsidRPr="001516DF">
        <w:rPr>
          <w:rFonts w:cstheme="minorHAnsi"/>
        </w:rPr>
        <w:t xml:space="preserve">Members are free to, and are expected to, express their own views within the context of meetings, or the general business of the </w:t>
      </w:r>
      <w:r w:rsidR="007362B0" w:rsidRPr="001516DF">
        <w:rPr>
          <w:rFonts w:cstheme="minorHAnsi"/>
        </w:rPr>
        <w:t>Taskforce</w:t>
      </w:r>
      <w:r w:rsidRPr="001516DF">
        <w:rPr>
          <w:rFonts w:cstheme="minorHAnsi"/>
        </w:rPr>
        <w:t xml:space="preserve">. </w:t>
      </w:r>
    </w:p>
    <w:p w14:paraId="05E57B16" w14:textId="01A9D3B0" w:rsidR="002F3747" w:rsidRPr="001516DF" w:rsidRDefault="002F3747" w:rsidP="002F3747">
      <w:pPr>
        <w:rPr>
          <w:rFonts w:cstheme="minorHAnsi"/>
        </w:rPr>
      </w:pPr>
      <w:r w:rsidRPr="001516DF">
        <w:rPr>
          <w:rFonts w:cstheme="minorHAnsi"/>
        </w:rPr>
        <w:t xml:space="preserve">Members agree they will not at any time disclose to any person otherwise than necessary for these ToR or as required by law, any information they acquire for the purpose of providing and completing the services. In carrying their functions members of the </w:t>
      </w:r>
      <w:r w:rsidR="007362B0" w:rsidRPr="001516DF">
        <w:rPr>
          <w:rFonts w:cstheme="minorHAnsi"/>
        </w:rPr>
        <w:t>Taskforce</w:t>
      </w:r>
      <w:r w:rsidRPr="001516DF">
        <w:rPr>
          <w:rFonts w:cstheme="minorHAnsi"/>
        </w:rPr>
        <w:t xml:space="preserve">, members shall not make public statements of any kind on behalf of the </w:t>
      </w:r>
      <w:r w:rsidR="007362B0" w:rsidRPr="001516DF">
        <w:rPr>
          <w:rFonts w:cstheme="minorHAnsi"/>
        </w:rPr>
        <w:t>Taskforce</w:t>
      </w:r>
      <w:r w:rsidRPr="001516DF">
        <w:rPr>
          <w:rFonts w:cstheme="minorHAnsi"/>
        </w:rPr>
        <w:t xml:space="preserve">. </w:t>
      </w:r>
    </w:p>
    <w:p w14:paraId="4FAFB0F1" w14:textId="2250D644" w:rsidR="002F3747" w:rsidRPr="001516DF" w:rsidRDefault="002F3747" w:rsidP="002F3747">
      <w:pPr>
        <w:rPr>
          <w:rFonts w:cstheme="minorHAnsi"/>
        </w:rPr>
      </w:pPr>
      <w:r w:rsidRPr="001516DF">
        <w:rPr>
          <w:rFonts w:cstheme="minorHAnsi"/>
        </w:rPr>
        <w:t xml:space="preserve">No members will make media statements of any kind on behalf of the </w:t>
      </w:r>
      <w:r w:rsidR="007362B0" w:rsidRPr="001516DF">
        <w:rPr>
          <w:rFonts w:cstheme="minorHAnsi"/>
        </w:rPr>
        <w:t>Taskforce</w:t>
      </w:r>
      <w:r w:rsidRPr="001516DF">
        <w:rPr>
          <w:rFonts w:cstheme="minorHAnsi"/>
        </w:rPr>
        <w:t xml:space="preserve"> unless requested or approved to do so by the Director</w:t>
      </w:r>
      <w:r w:rsidR="00536B58" w:rsidRPr="001516DF">
        <w:rPr>
          <w:rFonts w:cstheme="minorHAnsi"/>
        </w:rPr>
        <w:t>,</w:t>
      </w:r>
      <w:r w:rsidRPr="001516DF">
        <w:rPr>
          <w:rFonts w:cstheme="minorHAnsi"/>
        </w:rPr>
        <w:t xml:space="preserve"> </w:t>
      </w:r>
      <w:r w:rsidR="007362B0" w:rsidRPr="001516DF">
        <w:rPr>
          <w:rFonts w:cstheme="minorHAnsi"/>
        </w:rPr>
        <w:t xml:space="preserve">National Public Health </w:t>
      </w:r>
      <w:r w:rsidR="00536B58" w:rsidRPr="001516DF">
        <w:rPr>
          <w:rFonts w:cstheme="minorHAnsi"/>
        </w:rPr>
        <w:t>S</w:t>
      </w:r>
      <w:r w:rsidR="007362B0" w:rsidRPr="001516DF">
        <w:rPr>
          <w:rFonts w:cstheme="minorHAnsi"/>
        </w:rPr>
        <w:t>ervice</w:t>
      </w:r>
      <w:r w:rsidR="00536B58" w:rsidRPr="001516DF">
        <w:rPr>
          <w:rFonts w:cstheme="minorHAnsi"/>
        </w:rPr>
        <w:t>.</w:t>
      </w:r>
    </w:p>
    <w:p w14:paraId="2223DF00" w14:textId="693B6205" w:rsidR="002F3747" w:rsidRPr="001516DF" w:rsidRDefault="002F3747" w:rsidP="002F3747">
      <w:pPr>
        <w:rPr>
          <w:rFonts w:cstheme="minorHAnsi"/>
        </w:rPr>
      </w:pPr>
      <w:r w:rsidRPr="001516DF">
        <w:rPr>
          <w:rFonts w:cstheme="minorHAnsi"/>
        </w:rPr>
        <w:t xml:space="preserve">All </w:t>
      </w:r>
      <w:r w:rsidR="00536B58" w:rsidRPr="001516DF">
        <w:rPr>
          <w:rFonts w:cstheme="minorHAnsi"/>
        </w:rPr>
        <w:t>Taskforce</w:t>
      </w:r>
      <w:r w:rsidRPr="001516DF">
        <w:rPr>
          <w:rFonts w:cstheme="minorHAnsi"/>
        </w:rPr>
        <w:t xml:space="preserve"> related agendas, minutes, </w:t>
      </w:r>
      <w:proofErr w:type="gramStart"/>
      <w:r w:rsidRPr="001516DF">
        <w:rPr>
          <w:rFonts w:cstheme="minorHAnsi"/>
        </w:rPr>
        <w:t>email</w:t>
      </w:r>
      <w:proofErr w:type="gramEnd"/>
      <w:r w:rsidRPr="001516DF">
        <w:rPr>
          <w:rFonts w:cstheme="minorHAnsi"/>
        </w:rPr>
        <w:t xml:space="preserve"> and other communication are subject to release under the Official Information Act 1982 unless otherwise excluded for release under the provisions of that Act. </w:t>
      </w:r>
    </w:p>
    <w:p w14:paraId="552EC77C" w14:textId="54DE03DC" w:rsidR="002F3747" w:rsidRPr="001516DF" w:rsidRDefault="002F3747" w:rsidP="002F3747">
      <w:pPr>
        <w:rPr>
          <w:rFonts w:cstheme="minorHAnsi"/>
          <w:b/>
          <w:color w:val="5B9BD5" w:themeColor="accent1"/>
        </w:rPr>
      </w:pPr>
      <w:r w:rsidRPr="001516DF">
        <w:rPr>
          <w:rFonts w:cstheme="minorHAnsi"/>
        </w:rPr>
        <w:t xml:space="preserve">All requirements around confidentially will apply equally to all members, guests and staff supporting the </w:t>
      </w:r>
      <w:r w:rsidR="00536B58" w:rsidRPr="001516DF">
        <w:rPr>
          <w:rFonts w:cstheme="minorHAnsi"/>
        </w:rPr>
        <w:t>Taskforce</w:t>
      </w:r>
      <w:r w:rsidRPr="001516DF">
        <w:rPr>
          <w:rFonts w:cstheme="minorHAnsi"/>
        </w:rPr>
        <w:t xml:space="preserve">. </w:t>
      </w:r>
    </w:p>
    <w:p w14:paraId="7EA7BAA2" w14:textId="77777777" w:rsidR="002F3747" w:rsidRPr="007362B0" w:rsidRDefault="002F3747" w:rsidP="003B3D99">
      <w:pPr>
        <w:pStyle w:val="Heading1"/>
        <w:numPr>
          <w:ilvl w:val="0"/>
          <w:numId w:val="1"/>
        </w:numPr>
        <w:ind w:left="567" w:hanging="567"/>
        <w:rPr>
          <w:b/>
        </w:rPr>
      </w:pPr>
      <w:r w:rsidRPr="001B0E89">
        <w:rPr>
          <w:b/>
          <w:color w:val="00A8AC"/>
        </w:rPr>
        <w:t xml:space="preserve">Conflicts of Interest </w:t>
      </w:r>
    </w:p>
    <w:p w14:paraId="03AFC9D9" w14:textId="358371AC" w:rsidR="002F3747" w:rsidRPr="008605A3" w:rsidRDefault="002F3747" w:rsidP="002F3747">
      <w:pPr>
        <w:rPr>
          <w:rFonts w:ascii="Arial" w:hAnsi="Arial" w:cs="Arial"/>
          <w:sz w:val="24"/>
          <w:szCs w:val="24"/>
        </w:rPr>
      </w:pPr>
      <w:r w:rsidRPr="001516DF">
        <w:rPr>
          <w:rFonts w:cstheme="minorHAnsi"/>
        </w:rPr>
        <w:t xml:space="preserve">The </w:t>
      </w:r>
      <w:r w:rsidR="00536B58" w:rsidRPr="001516DF">
        <w:rPr>
          <w:rFonts w:cstheme="minorHAnsi"/>
        </w:rPr>
        <w:t>Taskforce</w:t>
      </w:r>
      <w:r w:rsidRPr="001516DF">
        <w:rPr>
          <w:rFonts w:cstheme="minorHAnsi"/>
        </w:rPr>
        <w:t xml:space="preserve"> will adhere to the </w:t>
      </w:r>
      <w:r w:rsidR="00536B58" w:rsidRPr="001516DF">
        <w:rPr>
          <w:rFonts w:cstheme="minorHAnsi"/>
        </w:rPr>
        <w:t>Public Service Commission’s</w:t>
      </w:r>
      <w:r w:rsidRPr="001516DF">
        <w:rPr>
          <w:rFonts w:cstheme="minorHAnsi"/>
        </w:rPr>
        <w:t xml:space="preserve"> guidelines on conflicts of interest</w:t>
      </w:r>
      <w:r w:rsidR="00536B58">
        <w:rPr>
          <w:rFonts w:ascii="Arial" w:hAnsi="Arial" w:cs="Arial"/>
          <w:sz w:val="24"/>
          <w:szCs w:val="24"/>
        </w:rPr>
        <w:t>.</w:t>
      </w:r>
    </w:p>
    <w:p w14:paraId="09DF3A04" w14:textId="77777777" w:rsidR="002F3747" w:rsidRPr="001516DF" w:rsidRDefault="002F3747" w:rsidP="002F3747">
      <w:pPr>
        <w:rPr>
          <w:rFonts w:cstheme="minorHAnsi"/>
        </w:rPr>
      </w:pPr>
      <w:r w:rsidRPr="001516DF">
        <w:rPr>
          <w:rFonts w:cstheme="minorHAnsi"/>
        </w:rPr>
        <w:t xml:space="preserve">Members should perform their functions in good faith, honestly and impartially and avoid situations that might compromise their integrity or otherwise lead to conflicts of interest. Proper observation of these principles will enable public confidence in the work of the committee to be maintained. </w:t>
      </w:r>
    </w:p>
    <w:p w14:paraId="53C1570F" w14:textId="77777777" w:rsidR="002F3747" w:rsidRPr="001516DF" w:rsidRDefault="002F3747" w:rsidP="002F3747">
      <w:pPr>
        <w:rPr>
          <w:rFonts w:cstheme="minorHAnsi"/>
        </w:rPr>
      </w:pPr>
      <w:r w:rsidRPr="001516DF">
        <w:rPr>
          <w:rFonts w:cstheme="minorHAnsi"/>
        </w:rPr>
        <w:lastRenderedPageBreak/>
        <w:t>Members must complete a written Declaration of Conflict</w:t>
      </w:r>
      <w:r w:rsidRPr="001516DF">
        <w:rPr>
          <w:rStyle w:val="FootnoteReference"/>
          <w:rFonts w:cstheme="minorHAnsi"/>
        </w:rPr>
        <w:footnoteReference w:id="2"/>
      </w:r>
      <w:r w:rsidRPr="001516DF">
        <w:rPr>
          <w:rFonts w:cstheme="minorHAnsi"/>
        </w:rPr>
        <w:t xml:space="preserve"> of interest both on appointment and annually, irrespective of whether they have a conflict of interest. </w:t>
      </w:r>
    </w:p>
    <w:p w14:paraId="3B35CFB6" w14:textId="77777777" w:rsidR="002F3747" w:rsidRPr="001516DF" w:rsidRDefault="002F3747" w:rsidP="002F3747">
      <w:pPr>
        <w:rPr>
          <w:rFonts w:cstheme="minorHAnsi"/>
        </w:rPr>
      </w:pPr>
      <w:r w:rsidRPr="001516DF">
        <w:rPr>
          <w:rFonts w:cstheme="minorHAnsi"/>
        </w:rPr>
        <w:t xml:space="preserve">Any actual, </w:t>
      </w:r>
      <w:proofErr w:type="gramStart"/>
      <w:r w:rsidRPr="001516DF">
        <w:rPr>
          <w:rFonts w:cstheme="minorHAnsi"/>
        </w:rPr>
        <w:t>perceived</w:t>
      </w:r>
      <w:proofErr w:type="gramEnd"/>
      <w:r w:rsidRPr="001516DF">
        <w:rPr>
          <w:rFonts w:cstheme="minorHAnsi"/>
        </w:rPr>
        <w:t xml:space="preserve"> or potential conflicts of interest must be disclosed. </w:t>
      </w:r>
    </w:p>
    <w:p w14:paraId="1A6E5D39" w14:textId="12ABCD0C" w:rsidR="002F3747" w:rsidRPr="001516DF" w:rsidRDefault="002F3747" w:rsidP="002F3747">
      <w:pPr>
        <w:rPr>
          <w:rFonts w:cstheme="minorHAnsi"/>
        </w:rPr>
      </w:pPr>
      <w:r w:rsidRPr="001516DF">
        <w:rPr>
          <w:rFonts w:cstheme="minorHAnsi"/>
        </w:rPr>
        <w:t xml:space="preserve">The </w:t>
      </w:r>
      <w:r w:rsidR="00EF237D" w:rsidRPr="001516DF">
        <w:rPr>
          <w:rFonts w:cstheme="minorHAnsi"/>
        </w:rPr>
        <w:t>Taskforce</w:t>
      </w:r>
      <w:r w:rsidRPr="001516DF">
        <w:rPr>
          <w:rFonts w:cstheme="minorHAnsi"/>
        </w:rPr>
        <w:t xml:space="preserve"> will have Conflicts of Interest as a standing item first on the meeting agenda to accommodate verbal disclose and to ensure the Conflicts of Interest register is kept up-to-date and accurate. </w:t>
      </w:r>
    </w:p>
    <w:p w14:paraId="16FB20F6" w14:textId="07DB832D" w:rsidR="002F3747" w:rsidRPr="001516DF" w:rsidRDefault="002F3747" w:rsidP="002F3747">
      <w:pPr>
        <w:rPr>
          <w:rFonts w:cstheme="minorHAnsi"/>
        </w:rPr>
      </w:pPr>
      <w:r w:rsidRPr="001516DF">
        <w:rPr>
          <w:rFonts w:cstheme="minorHAnsi"/>
        </w:rPr>
        <w:t>Conflicts of interest must also be considered with every agenda item, with the exten</w:t>
      </w:r>
      <w:r w:rsidR="00EF237D" w:rsidRPr="001516DF">
        <w:rPr>
          <w:rFonts w:cstheme="minorHAnsi"/>
        </w:rPr>
        <w:t>t</w:t>
      </w:r>
      <w:r w:rsidRPr="001516DF">
        <w:rPr>
          <w:rFonts w:cstheme="minorHAnsi"/>
        </w:rPr>
        <w:t xml:space="preserve"> of any conflict/s assessed and fully documented in the minutes, including action taken to manage the conflict. </w:t>
      </w:r>
    </w:p>
    <w:p w14:paraId="3B2C3B42" w14:textId="77777777" w:rsidR="002F3747" w:rsidRPr="001B0E89" w:rsidRDefault="002F3747" w:rsidP="003B3D99">
      <w:pPr>
        <w:pStyle w:val="Heading1"/>
        <w:numPr>
          <w:ilvl w:val="0"/>
          <w:numId w:val="1"/>
        </w:numPr>
        <w:ind w:left="567" w:hanging="567"/>
        <w:rPr>
          <w:b/>
          <w:color w:val="00A8AC"/>
        </w:rPr>
      </w:pPr>
      <w:r w:rsidRPr="001B0E89">
        <w:rPr>
          <w:b/>
          <w:color w:val="00A8AC"/>
        </w:rPr>
        <w:t xml:space="preserve">Fees </w:t>
      </w:r>
    </w:p>
    <w:p w14:paraId="2AEA2E2A" w14:textId="1995813B" w:rsidR="002F3747" w:rsidRPr="001516DF" w:rsidRDefault="002F3747" w:rsidP="002F3747">
      <w:pPr>
        <w:rPr>
          <w:rFonts w:cstheme="minorHAnsi"/>
        </w:rPr>
      </w:pPr>
      <w:r w:rsidRPr="001516DF">
        <w:rPr>
          <w:rFonts w:cstheme="minorHAnsi"/>
        </w:rPr>
        <w:t xml:space="preserve">Members of the </w:t>
      </w:r>
      <w:r w:rsidR="00EF237D" w:rsidRPr="001516DF">
        <w:rPr>
          <w:rFonts w:cstheme="minorHAnsi"/>
        </w:rPr>
        <w:t>Taskforce</w:t>
      </w:r>
      <w:r w:rsidRPr="001516DF">
        <w:rPr>
          <w:rFonts w:cstheme="minorHAnsi"/>
        </w:rPr>
        <w:t xml:space="preserve"> are entitled to be paid fees for attendance at meetings. Members who are not already paid for their time through wider state sector arrangements are eligible to claim a fee of $</w:t>
      </w:r>
      <w:r w:rsidR="00521698">
        <w:rPr>
          <w:rFonts w:cstheme="minorHAnsi"/>
        </w:rPr>
        <w:t>22</w:t>
      </w:r>
      <w:r w:rsidRPr="001516DF">
        <w:rPr>
          <w:rFonts w:cstheme="minorHAnsi"/>
        </w:rPr>
        <w:t>5 per day (based on an eight-hour day). The level of attendance fees is set in accordance with Cabinet Office Circular CO (19) 1, Fees framework for members appointed to bodies in which the Crown has an interest.</w:t>
      </w:r>
    </w:p>
    <w:p w14:paraId="74F9DD44" w14:textId="77777777" w:rsidR="002F3747" w:rsidRPr="007362B0" w:rsidRDefault="002F3747" w:rsidP="003B3D99">
      <w:pPr>
        <w:pStyle w:val="Heading1"/>
        <w:numPr>
          <w:ilvl w:val="0"/>
          <w:numId w:val="1"/>
        </w:numPr>
        <w:ind w:left="567" w:hanging="567"/>
        <w:rPr>
          <w:b/>
        </w:rPr>
      </w:pPr>
      <w:r w:rsidRPr="001B0E89">
        <w:rPr>
          <w:b/>
          <w:color w:val="00A8AC"/>
        </w:rPr>
        <w:t>Expense Reimbursements</w:t>
      </w:r>
    </w:p>
    <w:p w14:paraId="30AA7C01" w14:textId="77777777" w:rsidR="002F3747" w:rsidRPr="001516DF" w:rsidRDefault="002F3747" w:rsidP="002F3747">
      <w:pPr>
        <w:rPr>
          <w:rFonts w:cstheme="minorHAnsi"/>
        </w:rPr>
      </w:pPr>
      <w:r w:rsidRPr="001516DF">
        <w:rPr>
          <w:rFonts w:cstheme="minorHAnsi"/>
        </w:rPr>
        <w:t xml:space="preserve">Members could be entitled to be reimbursed for actual and reasonable travelling and other expenses incurred in carrying out their duties, with prior agreement. </w:t>
      </w:r>
    </w:p>
    <w:p w14:paraId="17640769" w14:textId="5014EB43" w:rsidR="002F3747" w:rsidRPr="001516DF" w:rsidRDefault="002F3747" w:rsidP="002F3747">
      <w:pPr>
        <w:rPr>
          <w:rFonts w:cstheme="minorHAnsi"/>
        </w:rPr>
      </w:pPr>
      <w:r w:rsidRPr="001516DF">
        <w:rPr>
          <w:rFonts w:cstheme="minorHAnsi"/>
        </w:rPr>
        <w:t xml:space="preserve">The expectation is that the standards of travel, accommodation, </w:t>
      </w:r>
      <w:proofErr w:type="gramStart"/>
      <w:r w:rsidRPr="001516DF">
        <w:rPr>
          <w:rFonts w:cstheme="minorHAnsi"/>
        </w:rPr>
        <w:t>meals</w:t>
      </w:r>
      <w:proofErr w:type="gramEnd"/>
      <w:r w:rsidRPr="001516DF">
        <w:rPr>
          <w:rFonts w:cstheme="minorHAnsi"/>
        </w:rPr>
        <w:t xml:space="preserve"> and other expenses are modest and appropriate to reflect public sector norms. Airfares and accommodation where funded should be booked through the </w:t>
      </w:r>
      <w:r w:rsidR="001516DF" w:rsidRPr="001516DF">
        <w:rPr>
          <w:rFonts w:cstheme="minorHAnsi"/>
        </w:rPr>
        <w:t>HNZ</w:t>
      </w:r>
      <w:r w:rsidRPr="001516DF">
        <w:rPr>
          <w:rFonts w:cstheme="minorHAnsi"/>
        </w:rPr>
        <w:t xml:space="preserve">. </w:t>
      </w:r>
    </w:p>
    <w:p w14:paraId="737D00D6" w14:textId="6541EEE2" w:rsidR="002F3747" w:rsidRPr="001B0E89" w:rsidRDefault="002F3747" w:rsidP="003B3D99">
      <w:pPr>
        <w:pStyle w:val="Heading1"/>
        <w:numPr>
          <w:ilvl w:val="0"/>
          <w:numId w:val="1"/>
        </w:numPr>
        <w:ind w:left="567" w:hanging="567"/>
        <w:rPr>
          <w:b/>
          <w:color w:val="00A8AC"/>
        </w:rPr>
      </w:pPr>
      <w:bookmarkStart w:id="4" w:name="_Hlk79676141"/>
      <w:r w:rsidRPr="001B0E89">
        <w:rPr>
          <w:b/>
          <w:color w:val="00A8AC"/>
        </w:rPr>
        <w:t xml:space="preserve">Term of the </w:t>
      </w:r>
      <w:r w:rsidR="00F253B6" w:rsidRPr="001B0E89">
        <w:rPr>
          <w:b/>
          <w:color w:val="00A8AC"/>
        </w:rPr>
        <w:t>Immunisations Taskforce</w:t>
      </w:r>
      <w:r w:rsidRPr="001B0E89">
        <w:rPr>
          <w:b/>
          <w:color w:val="00A8AC"/>
        </w:rPr>
        <w:t xml:space="preserve"> and review of the ToR</w:t>
      </w:r>
    </w:p>
    <w:p w14:paraId="1D960CB4" w14:textId="0E901CFA" w:rsidR="002F3747" w:rsidRPr="001516DF" w:rsidRDefault="002F3747" w:rsidP="002F3747">
      <w:pPr>
        <w:rPr>
          <w:rFonts w:cstheme="minorHAnsi"/>
        </w:rPr>
      </w:pPr>
      <w:r w:rsidRPr="001516DF">
        <w:rPr>
          <w:rFonts w:cstheme="minorHAnsi"/>
        </w:rPr>
        <w:t xml:space="preserve">The </w:t>
      </w:r>
      <w:r w:rsidR="001516DF" w:rsidRPr="001516DF">
        <w:rPr>
          <w:rFonts w:cstheme="minorHAnsi"/>
        </w:rPr>
        <w:t>Taskforce</w:t>
      </w:r>
      <w:r w:rsidRPr="001516DF">
        <w:rPr>
          <w:rFonts w:cstheme="minorHAnsi"/>
        </w:rPr>
        <w:t xml:space="preserve"> will be disestablished on </w:t>
      </w:r>
      <w:r w:rsidR="006A6F66">
        <w:rPr>
          <w:rFonts w:cstheme="minorHAnsi"/>
        </w:rPr>
        <w:t>23 December 2022</w:t>
      </w:r>
      <w:r w:rsidRPr="001516DF">
        <w:rPr>
          <w:rFonts w:cstheme="minorHAnsi"/>
        </w:rPr>
        <w:t xml:space="preserve">, or at any time earlier if the duties of the </w:t>
      </w:r>
      <w:r w:rsidR="001516DF" w:rsidRPr="001516DF">
        <w:rPr>
          <w:rFonts w:cstheme="minorHAnsi"/>
        </w:rPr>
        <w:t>Taskforce</w:t>
      </w:r>
      <w:r w:rsidRPr="001516DF">
        <w:rPr>
          <w:rFonts w:cstheme="minorHAnsi"/>
        </w:rPr>
        <w:t xml:space="preserve"> have been fulfilled or it is no longer required.  The end date for the </w:t>
      </w:r>
      <w:r w:rsidR="001516DF" w:rsidRPr="001516DF">
        <w:rPr>
          <w:rFonts w:cstheme="minorHAnsi"/>
        </w:rPr>
        <w:t>Taskforce</w:t>
      </w:r>
      <w:r w:rsidRPr="001516DF">
        <w:rPr>
          <w:rFonts w:cstheme="minorHAnsi"/>
        </w:rPr>
        <w:t xml:space="preserve"> will be reviewed in </w:t>
      </w:r>
      <w:r w:rsidR="001516DF" w:rsidRPr="001516DF">
        <w:rPr>
          <w:rFonts w:cstheme="minorHAnsi"/>
        </w:rPr>
        <w:t>November</w:t>
      </w:r>
      <w:r w:rsidRPr="001516DF">
        <w:rPr>
          <w:rFonts w:cstheme="minorHAnsi"/>
        </w:rPr>
        <w:t xml:space="preserve"> 202</w:t>
      </w:r>
      <w:r w:rsidR="001516DF" w:rsidRPr="001516DF">
        <w:rPr>
          <w:rFonts w:cstheme="minorHAnsi"/>
        </w:rPr>
        <w:t>2</w:t>
      </w:r>
      <w:r w:rsidRPr="001516DF">
        <w:rPr>
          <w:rFonts w:cstheme="minorHAnsi"/>
        </w:rPr>
        <w:t xml:space="preserve"> for any requirement to further extend the term.</w:t>
      </w:r>
    </w:p>
    <w:p w14:paraId="4A53D82A" w14:textId="4449CC02" w:rsidR="00BE087A" w:rsidRPr="005B6991" w:rsidRDefault="002F3747" w:rsidP="00F2067E">
      <w:r w:rsidRPr="001516DF">
        <w:rPr>
          <w:rFonts w:cstheme="minorHAnsi"/>
        </w:rPr>
        <w:t xml:space="preserve">The work and terms of reference of the </w:t>
      </w:r>
      <w:r w:rsidR="001516DF" w:rsidRPr="001516DF">
        <w:rPr>
          <w:rFonts w:cstheme="minorHAnsi"/>
        </w:rPr>
        <w:t>Taskforce</w:t>
      </w:r>
      <w:r w:rsidRPr="001516DF">
        <w:rPr>
          <w:rFonts w:cstheme="minorHAnsi"/>
        </w:rPr>
        <w:t xml:space="preserve"> may be amended, </w:t>
      </w:r>
      <w:proofErr w:type="gramStart"/>
      <w:r w:rsidRPr="001516DF">
        <w:rPr>
          <w:rFonts w:cstheme="minorHAnsi"/>
        </w:rPr>
        <w:t>replaced</w:t>
      </w:r>
      <w:proofErr w:type="gramEnd"/>
      <w:r w:rsidRPr="001516DF">
        <w:rPr>
          <w:rFonts w:cstheme="minorHAnsi"/>
        </w:rPr>
        <w:t xml:space="preserve"> or revoked by </w:t>
      </w:r>
      <w:r w:rsidR="006A6F66">
        <w:rPr>
          <w:rFonts w:cstheme="minorHAnsi"/>
        </w:rPr>
        <w:t>Te Whatu Ora</w:t>
      </w:r>
      <w:r w:rsidR="006A6F66" w:rsidRPr="001516DF">
        <w:rPr>
          <w:rFonts w:cstheme="minorHAnsi"/>
        </w:rPr>
        <w:t xml:space="preserve"> </w:t>
      </w:r>
      <w:r w:rsidRPr="001516DF">
        <w:rPr>
          <w:rFonts w:cstheme="minorHAnsi"/>
        </w:rPr>
        <w:t xml:space="preserve">at any time, and will be reviewed regularly by </w:t>
      </w:r>
      <w:r w:rsidR="006A6F66">
        <w:rPr>
          <w:rFonts w:cstheme="minorHAnsi"/>
        </w:rPr>
        <w:t>Te Whatu Ora</w:t>
      </w:r>
      <w:r w:rsidRPr="001516DF">
        <w:rPr>
          <w:rFonts w:cstheme="minorHAnsi"/>
        </w:rPr>
        <w:t xml:space="preserve">, in conjunction with the </w:t>
      </w:r>
      <w:r w:rsidR="001516DF" w:rsidRPr="001516DF">
        <w:rPr>
          <w:rFonts w:cstheme="minorHAnsi"/>
        </w:rPr>
        <w:t>Taskforce Chair</w:t>
      </w:r>
      <w:r w:rsidR="006A6F66">
        <w:rPr>
          <w:rFonts w:cstheme="minorHAnsi"/>
        </w:rPr>
        <w:t>s</w:t>
      </w:r>
      <w:r w:rsidRPr="001516DF">
        <w:rPr>
          <w:rFonts w:cstheme="minorHAnsi"/>
        </w:rPr>
        <w:t xml:space="preserve">. </w:t>
      </w:r>
      <w:bookmarkEnd w:id="4"/>
      <w:r w:rsidR="00BE087A">
        <w:t xml:space="preserve"> </w:t>
      </w:r>
    </w:p>
    <w:sectPr w:rsidR="00BE087A" w:rsidRPr="005B6991" w:rsidSect="00BC5FB9">
      <w:headerReference w:type="even" r:id="rId13"/>
      <w:headerReference w:type="default" r:id="rId14"/>
      <w:headerReference w:type="first" r:id="rId15"/>
      <w:pgSz w:w="11906" w:h="16838"/>
      <w:pgMar w:top="1440"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F2EFC" w14:textId="77777777" w:rsidR="00112A02" w:rsidRDefault="00112A02" w:rsidP="005B6991">
      <w:pPr>
        <w:spacing w:after="0" w:line="240" w:lineRule="auto"/>
      </w:pPr>
      <w:r>
        <w:separator/>
      </w:r>
    </w:p>
  </w:endnote>
  <w:endnote w:type="continuationSeparator" w:id="0">
    <w:p w14:paraId="1F1F968B" w14:textId="77777777" w:rsidR="00112A02" w:rsidRDefault="00112A02" w:rsidP="005B6991">
      <w:pPr>
        <w:spacing w:after="0" w:line="240" w:lineRule="auto"/>
      </w:pPr>
      <w:r>
        <w:continuationSeparator/>
      </w:r>
    </w:p>
  </w:endnote>
  <w:endnote w:type="continuationNotice" w:id="1">
    <w:p w14:paraId="201103CC" w14:textId="77777777" w:rsidR="00112A02" w:rsidRDefault="00112A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8D180" w14:textId="77777777" w:rsidR="00112A02" w:rsidRDefault="00112A02" w:rsidP="005B6991">
      <w:pPr>
        <w:spacing w:after="0" w:line="240" w:lineRule="auto"/>
      </w:pPr>
      <w:r>
        <w:separator/>
      </w:r>
    </w:p>
  </w:footnote>
  <w:footnote w:type="continuationSeparator" w:id="0">
    <w:p w14:paraId="5D8B1FA3" w14:textId="77777777" w:rsidR="00112A02" w:rsidRDefault="00112A02" w:rsidP="005B6991">
      <w:pPr>
        <w:spacing w:after="0" w:line="240" w:lineRule="auto"/>
      </w:pPr>
      <w:r>
        <w:continuationSeparator/>
      </w:r>
    </w:p>
  </w:footnote>
  <w:footnote w:type="continuationNotice" w:id="1">
    <w:p w14:paraId="4DBFD907" w14:textId="77777777" w:rsidR="00112A02" w:rsidRDefault="00112A02">
      <w:pPr>
        <w:spacing w:after="0" w:line="240" w:lineRule="auto"/>
      </w:pPr>
    </w:p>
  </w:footnote>
  <w:footnote w:id="2">
    <w:p w14:paraId="51FF2106" w14:textId="431139FA" w:rsidR="002F3747" w:rsidRDefault="002F3747" w:rsidP="002F3747">
      <w:pPr>
        <w:pStyle w:val="FootnoteText"/>
      </w:pPr>
      <w:r>
        <w:rPr>
          <w:rStyle w:val="FootnoteReference"/>
        </w:rPr>
        <w:footnoteRef/>
      </w:r>
      <w:r>
        <w:t xml:space="preserve"> </w:t>
      </w:r>
      <w:bookmarkStart w:id="3" w:name="_MON_1726059103"/>
      <w:bookmarkEnd w:id="3"/>
      <w:r w:rsidR="007E3022">
        <w:object w:dxaOrig="1270" w:dyaOrig="825" w14:anchorId="06E9F3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48.75pt">
            <v:imagedata r:id="rId1" o:title=""/>
          </v:shape>
          <o:OLEObject Type="Embed" ProgID="Word.Document.12" ShapeID="_x0000_i1026" DrawAspect="Icon" ObjectID="_1729419812" r:id="rId2">
            <o:FieldCodes>\s</o:FieldCodes>
          </o:OLEObject>
        </w:objec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3218" w14:textId="384C0A15" w:rsidR="00662C7C" w:rsidRDefault="00662C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62406" w14:textId="582B8B96" w:rsidR="005B6991" w:rsidRDefault="00662C7C">
    <w:pPr>
      <w:pStyle w:val="Header"/>
    </w:pPr>
    <w:r w:rsidRPr="00662C7C">
      <w:rPr>
        <w:sz w:val="28"/>
        <w:szCs w:val="28"/>
      </w:rPr>
      <w:t>CONFIDENTIAL - DRAFT FOR DISCUSSION</w:t>
    </w:r>
    <w:r w:rsidR="005B6991">
      <w:tab/>
    </w:r>
    <w:r w:rsidR="005B6991">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9EF52" w14:textId="67A17680" w:rsidR="00662C7C" w:rsidRDefault="00662C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CA5"/>
    <w:multiLevelType w:val="multilevel"/>
    <w:tmpl w:val="1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37F482B"/>
    <w:multiLevelType w:val="hybridMultilevel"/>
    <w:tmpl w:val="D5EA04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3C83D9D"/>
    <w:multiLevelType w:val="hybridMultilevel"/>
    <w:tmpl w:val="30BC2D5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061D3D80"/>
    <w:multiLevelType w:val="hybridMultilevel"/>
    <w:tmpl w:val="B6904B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9093D4D"/>
    <w:multiLevelType w:val="hybridMultilevel"/>
    <w:tmpl w:val="41826442"/>
    <w:lvl w:ilvl="0" w:tplc="1409000F">
      <w:start w:val="1"/>
      <w:numFmt w:val="decimal"/>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09455EB6"/>
    <w:multiLevelType w:val="hybridMultilevel"/>
    <w:tmpl w:val="583A10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E8D5792"/>
    <w:multiLevelType w:val="hybridMultilevel"/>
    <w:tmpl w:val="6AB042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39D2E5A"/>
    <w:multiLevelType w:val="hybridMultilevel"/>
    <w:tmpl w:val="1606524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15162CA8"/>
    <w:multiLevelType w:val="hybridMultilevel"/>
    <w:tmpl w:val="B2EEC5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8023912"/>
    <w:multiLevelType w:val="hybridMultilevel"/>
    <w:tmpl w:val="D8420E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845422D"/>
    <w:multiLevelType w:val="hybridMultilevel"/>
    <w:tmpl w:val="A1BE9EC6"/>
    <w:lvl w:ilvl="0" w:tplc="1DC2DDE8">
      <w:start w:val="1"/>
      <w:numFmt w:val="decimal"/>
      <w:lvlText w:val="%1."/>
      <w:lvlJc w:val="left"/>
      <w:pPr>
        <w:ind w:left="720" w:hanging="360"/>
      </w:pPr>
      <w:rPr>
        <w:rFonts w:hint="default"/>
        <w: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B77551A"/>
    <w:multiLevelType w:val="hybridMultilevel"/>
    <w:tmpl w:val="143EE0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3570265"/>
    <w:multiLevelType w:val="hybridMultilevel"/>
    <w:tmpl w:val="3B6E4DDA"/>
    <w:lvl w:ilvl="0" w:tplc="105E4116">
      <w:start w:val="1"/>
      <w:numFmt w:val="bullet"/>
      <w:lvlText w:val="o"/>
      <w:lvlJc w:val="left"/>
      <w:pPr>
        <w:tabs>
          <w:tab w:val="num" w:pos="720"/>
        </w:tabs>
        <w:ind w:left="720" w:hanging="360"/>
      </w:pPr>
      <w:rPr>
        <w:rFonts w:ascii="Courier New" w:hAnsi="Courier New" w:hint="default"/>
      </w:rPr>
    </w:lvl>
    <w:lvl w:ilvl="1" w:tplc="6F4E723E">
      <w:start w:val="1"/>
      <w:numFmt w:val="bullet"/>
      <w:lvlText w:val="o"/>
      <w:lvlJc w:val="left"/>
      <w:pPr>
        <w:tabs>
          <w:tab w:val="num" w:pos="1440"/>
        </w:tabs>
        <w:ind w:left="1440" w:hanging="360"/>
      </w:pPr>
      <w:rPr>
        <w:rFonts w:ascii="Courier New" w:hAnsi="Courier New" w:hint="default"/>
      </w:rPr>
    </w:lvl>
    <w:lvl w:ilvl="2" w:tplc="44141A5C" w:tentative="1">
      <w:start w:val="1"/>
      <w:numFmt w:val="bullet"/>
      <w:lvlText w:val="o"/>
      <w:lvlJc w:val="left"/>
      <w:pPr>
        <w:tabs>
          <w:tab w:val="num" w:pos="2160"/>
        </w:tabs>
        <w:ind w:left="2160" w:hanging="360"/>
      </w:pPr>
      <w:rPr>
        <w:rFonts w:ascii="Courier New" w:hAnsi="Courier New" w:hint="default"/>
      </w:rPr>
    </w:lvl>
    <w:lvl w:ilvl="3" w:tplc="83E2F69E" w:tentative="1">
      <w:start w:val="1"/>
      <w:numFmt w:val="bullet"/>
      <w:lvlText w:val="o"/>
      <w:lvlJc w:val="left"/>
      <w:pPr>
        <w:tabs>
          <w:tab w:val="num" w:pos="2880"/>
        </w:tabs>
        <w:ind w:left="2880" w:hanging="360"/>
      </w:pPr>
      <w:rPr>
        <w:rFonts w:ascii="Courier New" w:hAnsi="Courier New" w:hint="default"/>
      </w:rPr>
    </w:lvl>
    <w:lvl w:ilvl="4" w:tplc="D744F1E0" w:tentative="1">
      <w:start w:val="1"/>
      <w:numFmt w:val="bullet"/>
      <w:lvlText w:val="o"/>
      <w:lvlJc w:val="left"/>
      <w:pPr>
        <w:tabs>
          <w:tab w:val="num" w:pos="3600"/>
        </w:tabs>
        <w:ind w:left="3600" w:hanging="360"/>
      </w:pPr>
      <w:rPr>
        <w:rFonts w:ascii="Courier New" w:hAnsi="Courier New" w:hint="default"/>
      </w:rPr>
    </w:lvl>
    <w:lvl w:ilvl="5" w:tplc="D20483E6" w:tentative="1">
      <w:start w:val="1"/>
      <w:numFmt w:val="bullet"/>
      <w:lvlText w:val="o"/>
      <w:lvlJc w:val="left"/>
      <w:pPr>
        <w:tabs>
          <w:tab w:val="num" w:pos="4320"/>
        </w:tabs>
        <w:ind w:left="4320" w:hanging="360"/>
      </w:pPr>
      <w:rPr>
        <w:rFonts w:ascii="Courier New" w:hAnsi="Courier New" w:hint="default"/>
      </w:rPr>
    </w:lvl>
    <w:lvl w:ilvl="6" w:tplc="7A84A880" w:tentative="1">
      <w:start w:val="1"/>
      <w:numFmt w:val="bullet"/>
      <w:lvlText w:val="o"/>
      <w:lvlJc w:val="left"/>
      <w:pPr>
        <w:tabs>
          <w:tab w:val="num" w:pos="5040"/>
        </w:tabs>
        <w:ind w:left="5040" w:hanging="360"/>
      </w:pPr>
      <w:rPr>
        <w:rFonts w:ascii="Courier New" w:hAnsi="Courier New" w:hint="default"/>
      </w:rPr>
    </w:lvl>
    <w:lvl w:ilvl="7" w:tplc="CB74B610" w:tentative="1">
      <w:start w:val="1"/>
      <w:numFmt w:val="bullet"/>
      <w:lvlText w:val="o"/>
      <w:lvlJc w:val="left"/>
      <w:pPr>
        <w:tabs>
          <w:tab w:val="num" w:pos="5760"/>
        </w:tabs>
        <w:ind w:left="5760" w:hanging="360"/>
      </w:pPr>
      <w:rPr>
        <w:rFonts w:ascii="Courier New" w:hAnsi="Courier New" w:hint="default"/>
      </w:rPr>
    </w:lvl>
    <w:lvl w:ilvl="8" w:tplc="307C8AF4" w:tentative="1">
      <w:start w:val="1"/>
      <w:numFmt w:val="bullet"/>
      <w:lvlText w:val="o"/>
      <w:lvlJc w:val="left"/>
      <w:pPr>
        <w:tabs>
          <w:tab w:val="num" w:pos="6480"/>
        </w:tabs>
        <w:ind w:left="6480" w:hanging="360"/>
      </w:pPr>
      <w:rPr>
        <w:rFonts w:ascii="Courier New" w:hAnsi="Courier New" w:hint="default"/>
      </w:rPr>
    </w:lvl>
  </w:abstractNum>
  <w:abstractNum w:abstractNumId="13" w15:restartNumberingAfterBreak="0">
    <w:nsid w:val="28643603"/>
    <w:multiLevelType w:val="hybridMultilevel"/>
    <w:tmpl w:val="041C26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9EB633C"/>
    <w:multiLevelType w:val="hybridMultilevel"/>
    <w:tmpl w:val="89945F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BDC4826"/>
    <w:multiLevelType w:val="hybridMultilevel"/>
    <w:tmpl w:val="44B670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84E3C1D"/>
    <w:multiLevelType w:val="hybridMultilevel"/>
    <w:tmpl w:val="CCE611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989786B"/>
    <w:multiLevelType w:val="hybridMultilevel"/>
    <w:tmpl w:val="5FCEDB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8E533C2"/>
    <w:multiLevelType w:val="hybridMultilevel"/>
    <w:tmpl w:val="8ED29C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C7E4633"/>
    <w:multiLevelType w:val="hybridMultilevel"/>
    <w:tmpl w:val="9FD8B040"/>
    <w:lvl w:ilvl="0" w:tplc="14090001">
      <w:start w:val="1"/>
      <w:numFmt w:val="bullet"/>
      <w:lvlText w:val=""/>
      <w:lvlJc w:val="left"/>
      <w:pPr>
        <w:ind w:left="1003"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0" w15:restartNumberingAfterBreak="0">
    <w:nsid w:val="5C4B6BD1"/>
    <w:multiLevelType w:val="multilevel"/>
    <w:tmpl w:val="1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62257D10"/>
    <w:multiLevelType w:val="hybridMultilevel"/>
    <w:tmpl w:val="0ECAD57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33B2391"/>
    <w:multiLevelType w:val="multilevel"/>
    <w:tmpl w:val="1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15:restartNumberingAfterBreak="0">
    <w:nsid w:val="6F7F3A35"/>
    <w:multiLevelType w:val="multilevel"/>
    <w:tmpl w:val="BF107DDE"/>
    <w:lvl w:ilvl="0">
      <w:start w:val="1"/>
      <w:numFmt w:val="decimal"/>
      <w:lvlText w:val="%1."/>
      <w:lvlJc w:val="left"/>
      <w:pPr>
        <w:ind w:left="360" w:hanging="360"/>
      </w:pPr>
      <w:rPr>
        <w:rFonts w:hint="default"/>
        <w:b/>
        <w:bCs/>
        <w:color w:val="00A8AC"/>
      </w:rPr>
    </w:lvl>
    <w:lvl w:ilvl="1">
      <w:start w:val="1"/>
      <w:numFmt w:val="decimal"/>
      <w:lvlText w:val="%1.%2."/>
      <w:lvlJc w:val="left"/>
      <w:pPr>
        <w:ind w:left="792" w:hanging="432"/>
      </w:pPr>
      <w:rPr>
        <w:b/>
        <w:bCs/>
        <w:color w:val="00A8AC"/>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E6A73FD"/>
    <w:multiLevelType w:val="hybridMultilevel"/>
    <w:tmpl w:val="028E6D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17"/>
  </w:num>
  <w:num w:numId="4">
    <w:abstractNumId w:val="1"/>
  </w:num>
  <w:num w:numId="5">
    <w:abstractNumId w:val="11"/>
  </w:num>
  <w:num w:numId="6">
    <w:abstractNumId w:val="9"/>
  </w:num>
  <w:num w:numId="7">
    <w:abstractNumId w:val="14"/>
  </w:num>
  <w:num w:numId="8">
    <w:abstractNumId w:val="15"/>
  </w:num>
  <w:num w:numId="9">
    <w:abstractNumId w:val="24"/>
  </w:num>
  <w:num w:numId="10">
    <w:abstractNumId w:val="5"/>
  </w:num>
  <w:num w:numId="11">
    <w:abstractNumId w:val="21"/>
  </w:num>
  <w:num w:numId="12">
    <w:abstractNumId w:val="4"/>
  </w:num>
  <w:num w:numId="13">
    <w:abstractNumId w:val="18"/>
  </w:num>
  <w:num w:numId="14">
    <w:abstractNumId w:val="13"/>
  </w:num>
  <w:num w:numId="15">
    <w:abstractNumId w:val="10"/>
  </w:num>
  <w:num w:numId="16">
    <w:abstractNumId w:val="19"/>
  </w:num>
  <w:num w:numId="17">
    <w:abstractNumId w:val="3"/>
  </w:num>
  <w:num w:numId="18">
    <w:abstractNumId w:val="7"/>
  </w:num>
  <w:num w:numId="19">
    <w:abstractNumId w:val="20"/>
  </w:num>
  <w:num w:numId="20">
    <w:abstractNumId w:val="6"/>
  </w:num>
  <w:num w:numId="21">
    <w:abstractNumId w:val="22"/>
  </w:num>
  <w:num w:numId="22">
    <w:abstractNumId w:val="0"/>
  </w:num>
  <w:num w:numId="23">
    <w:abstractNumId w:val="2"/>
  </w:num>
  <w:num w:numId="24">
    <w:abstractNumId w:val="1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C11"/>
    <w:rsid w:val="00002422"/>
    <w:rsid w:val="00007310"/>
    <w:rsid w:val="00012EC4"/>
    <w:rsid w:val="000203C9"/>
    <w:rsid w:val="000250CB"/>
    <w:rsid w:val="00031BFD"/>
    <w:rsid w:val="00034C1F"/>
    <w:rsid w:val="000350B2"/>
    <w:rsid w:val="00035256"/>
    <w:rsid w:val="000414BE"/>
    <w:rsid w:val="00043149"/>
    <w:rsid w:val="000520F1"/>
    <w:rsid w:val="000579E8"/>
    <w:rsid w:val="000626AF"/>
    <w:rsid w:val="00092411"/>
    <w:rsid w:val="000956AD"/>
    <w:rsid w:val="000A23CD"/>
    <w:rsid w:val="000A7E49"/>
    <w:rsid w:val="000B1127"/>
    <w:rsid w:val="000B7D5A"/>
    <w:rsid w:val="000C0347"/>
    <w:rsid w:val="000C3430"/>
    <w:rsid w:val="000C4335"/>
    <w:rsid w:val="000D675A"/>
    <w:rsid w:val="000E19AB"/>
    <w:rsid w:val="00102EBE"/>
    <w:rsid w:val="00103197"/>
    <w:rsid w:val="00105DA1"/>
    <w:rsid w:val="00110808"/>
    <w:rsid w:val="00112A02"/>
    <w:rsid w:val="001163E3"/>
    <w:rsid w:val="0012753D"/>
    <w:rsid w:val="00140C4A"/>
    <w:rsid w:val="00142430"/>
    <w:rsid w:val="0014328C"/>
    <w:rsid w:val="001516DF"/>
    <w:rsid w:val="00151ACD"/>
    <w:rsid w:val="001521F7"/>
    <w:rsid w:val="001535F8"/>
    <w:rsid w:val="0015702A"/>
    <w:rsid w:val="00161174"/>
    <w:rsid w:val="00162B98"/>
    <w:rsid w:val="00174647"/>
    <w:rsid w:val="0017546C"/>
    <w:rsid w:val="001822C5"/>
    <w:rsid w:val="001823E1"/>
    <w:rsid w:val="0019070C"/>
    <w:rsid w:val="001A65D2"/>
    <w:rsid w:val="001A7C48"/>
    <w:rsid w:val="001B023E"/>
    <w:rsid w:val="001B0E89"/>
    <w:rsid w:val="001B334D"/>
    <w:rsid w:val="001B4FA0"/>
    <w:rsid w:val="001D4762"/>
    <w:rsid w:val="001D47D9"/>
    <w:rsid w:val="001D66F1"/>
    <w:rsid w:val="001E7F45"/>
    <w:rsid w:val="001F1840"/>
    <w:rsid w:val="001F1955"/>
    <w:rsid w:val="001F5B20"/>
    <w:rsid w:val="001F65AD"/>
    <w:rsid w:val="00207BDA"/>
    <w:rsid w:val="00210CF7"/>
    <w:rsid w:val="00215203"/>
    <w:rsid w:val="00215E00"/>
    <w:rsid w:val="00223981"/>
    <w:rsid w:val="00233218"/>
    <w:rsid w:val="00243CD9"/>
    <w:rsid w:val="0024576B"/>
    <w:rsid w:val="002519DF"/>
    <w:rsid w:val="00256B5B"/>
    <w:rsid w:val="0026407D"/>
    <w:rsid w:val="00266F7D"/>
    <w:rsid w:val="00273EF3"/>
    <w:rsid w:val="00277B99"/>
    <w:rsid w:val="002807C1"/>
    <w:rsid w:val="00281603"/>
    <w:rsid w:val="00281EB1"/>
    <w:rsid w:val="00283794"/>
    <w:rsid w:val="002855BC"/>
    <w:rsid w:val="00285C92"/>
    <w:rsid w:val="00291C76"/>
    <w:rsid w:val="00297809"/>
    <w:rsid w:val="002A13DF"/>
    <w:rsid w:val="002A3B0A"/>
    <w:rsid w:val="002A5FAC"/>
    <w:rsid w:val="002A66AB"/>
    <w:rsid w:val="002B1E73"/>
    <w:rsid w:val="002B2E0A"/>
    <w:rsid w:val="002B4FB8"/>
    <w:rsid w:val="002B748E"/>
    <w:rsid w:val="002C3408"/>
    <w:rsid w:val="002D09A4"/>
    <w:rsid w:val="002E2F7C"/>
    <w:rsid w:val="002F3747"/>
    <w:rsid w:val="00300973"/>
    <w:rsid w:val="0030381A"/>
    <w:rsid w:val="00307163"/>
    <w:rsid w:val="00316131"/>
    <w:rsid w:val="003228A0"/>
    <w:rsid w:val="0033037B"/>
    <w:rsid w:val="00330489"/>
    <w:rsid w:val="00343F2B"/>
    <w:rsid w:val="00347B3B"/>
    <w:rsid w:val="00354019"/>
    <w:rsid w:val="00374499"/>
    <w:rsid w:val="00387EFC"/>
    <w:rsid w:val="00390A85"/>
    <w:rsid w:val="00391602"/>
    <w:rsid w:val="003A2A05"/>
    <w:rsid w:val="003B0EB0"/>
    <w:rsid w:val="003B2F5D"/>
    <w:rsid w:val="003B3A7C"/>
    <w:rsid w:val="003B3D99"/>
    <w:rsid w:val="003C277C"/>
    <w:rsid w:val="003C34C1"/>
    <w:rsid w:val="003C3E3C"/>
    <w:rsid w:val="003D49AF"/>
    <w:rsid w:val="003D632A"/>
    <w:rsid w:val="003E7687"/>
    <w:rsid w:val="0040751F"/>
    <w:rsid w:val="00413C1A"/>
    <w:rsid w:val="0042171C"/>
    <w:rsid w:val="00422395"/>
    <w:rsid w:val="00426593"/>
    <w:rsid w:val="00432EBB"/>
    <w:rsid w:val="00435FB9"/>
    <w:rsid w:val="00446A75"/>
    <w:rsid w:val="00447590"/>
    <w:rsid w:val="004540BC"/>
    <w:rsid w:val="00472831"/>
    <w:rsid w:val="00494F4C"/>
    <w:rsid w:val="004B4075"/>
    <w:rsid w:val="004B64EC"/>
    <w:rsid w:val="004B77D6"/>
    <w:rsid w:val="004C70E9"/>
    <w:rsid w:val="004D3C91"/>
    <w:rsid w:val="004D439B"/>
    <w:rsid w:val="004D4B55"/>
    <w:rsid w:val="004E6830"/>
    <w:rsid w:val="004F3B2B"/>
    <w:rsid w:val="004F473C"/>
    <w:rsid w:val="004F6C96"/>
    <w:rsid w:val="00500B96"/>
    <w:rsid w:val="00503421"/>
    <w:rsid w:val="00511409"/>
    <w:rsid w:val="00511FF6"/>
    <w:rsid w:val="0051223C"/>
    <w:rsid w:val="00516130"/>
    <w:rsid w:val="00516269"/>
    <w:rsid w:val="00521698"/>
    <w:rsid w:val="00536B58"/>
    <w:rsid w:val="00547496"/>
    <w:rsid w:val="005566A9"/>
    <w:rsid w:val="005609D1"/>
    <w:rsid w:val="0056176F"/>
    <w:rsid w:val="0058258D"/>
    <w:rsid w:val="005845D7"/>
    <w:rsid w:val="005875D5"/>
    <w:rsid w:val="00590F12"/>
    <w:rsid w:val="00592933"/>
    <w:rsid w:val="005929F3"/>
    <w:rsid w:val="005A0E54"/>
    <w:rsid w:val="005A2366"/>
    <w:rsid w:val="005A6679"/>
    <w:rsid w:val="005A782E"/>
    <w:rsid w:val="005B0132"/>
    <w:rsid w:val="005B08B3"/>
    <w:rsid w:val="005B3A6A"/>
    <w:rsid w:val="005B50D7"/>
    <w:rsid w:val="005B6991"/>
    <w:rsid w:val="005B7DBC"/>
    <w:rsid w:val="005C6FA4"/>
    <w:rsid w:val="005E3A29"/>
    <w:rsid w:val="005E4B2D"/>
    <w:rsid w:val="005E5F9B"/>
    <w:rsid w:val="005F4BAE"/>
    <w:rsid w:val="005F6DF7"/>
    <w:rsid w:val="005F778C"/>
    <w:rsid w:val="00607FD0"/>
    <w:rsid w:val="00616E57"/>
    <w:rsid w:val="00617002"/>
    <w:rsid w:val="006245E8"/>
    <w:rsid w:val="00644ABE"/>
    <w:rsid w:val="0064770E"/>
    <w:rsid w:val="00651561"/>
    <w:rsid w:val="00653C3B"/>
    <w:rsid w:val="00653EFB"/>
    <w:rsid w:val="00654C48"/>
    <w:rsid w:val="00661F77"/>
    <w:rsid w:val="0066265C"/>
    <w:rsid w:val="00662C7C"/>
    <w:rsid w:val="006749E5"/>
    <w:rsid w:val="00680767"/>
    <w:rsid w:val="00686DCB"/>
    <w:rsid w:val="006872D1"/>
    <w:rsid w:val="00693762"/>
    <w:rsid w:val="006A4957"/>
    <w:rsid w:val="006A65E3"/>
    <w:rsid w:val="006A6F66"/>
    <w:rsid w:val="006A7E96"/>
    <w:rsid w:val="006B4E19"/>
    <w:rsid w:val="006C541F"/>
    <w:rsid w:val="006D3E6A"/>
    <w:rsid w:val="006D582E"/>
    <w:rsid w:val="006F7C60"/>
    <w:rsid w:val="006F7E1F"/>
    <w:rsid w:val="00731D1A"/>
    <w:rsid w:val="00733358"/>
    <w:rsid w:val="007362B0"/>
    <w:rsid w:val="00736C87"/>
    <w:rsid w:val="00747838"/>
    <w:rsid w:val="00765F2A"/>
    <w:rsid w:val="00766144"/>
    <w:rsid w:val="00770A37"/>
    <w:rsid w:val="00772AC2"/>
    <w:rsid w:val="00780141"/>
    <w:rsid w:val="00781E2E"/>
    <w:rsid w:val="007843F6"/>
    <w:rsid w:val="007874C8"/>
    <w:rsid w:val="00791EBE"/>
    <w:rsid w:val="00796BFE"/>
    <w:rsid w:val="007A10D9"/>
    <w:rsid w:val="007A35EC"/>
    <w:rsid w:val="007A6D19"/>
    <w:rsid w:val="007A793A"/>
    <w:rsid w:val="007B3F6E"/>
    <w:rsid w:val="007B51EC"/>
    <w:rsid w:val="007C7450"/>
    <w:rsid w:val="007D0713"/>
    <w:rsid w:val="007D2092"/>
    <w:rsid w:val="007D3147"/>
    <w:rsid w:val="007E3022"/>
    <w:rsid w:val="007E4C95"/>
    <w:rsid w:val="007F2278"/>
    <w:rsid w:val="00803420"/>
    <w:rsid w:val="008127BF"/>
    <w:rsid w:val="00812A84"/>
    <w:rsid w:val="00823309"/>
    <w:rsid w:val="00823C9E"/>
    <w:rsid w:val="00825404"/>
    <w:rsid w:val="008338C9"/>
    <w:rsid w:val="00845720"/>
    <w:rsid w:val="008462D7"/>
    <w:rsid w:val="008521CA"/>
    <w:rsid w:val="00852E22"/>
    <w:rsid w:val="0088055E"/>
    <w:rsid w:val="008863CE"/>
    <w:rsid w:val="00893253"/>
    <w:rsid w:val="008952DA"/>
    <w:rsid w:val="00896F8F"/>
    <w:rsid w:val="008A2FB7"/>
    <w:rsid w:val="008A5B60"/>
    <w:rsid w:val="008B3805"/>
    <w:rsid w:val="008D10FD"/>
    <w:rsid w:val="008D6E6B"/>
    <w:rsid w:val="008E1F35"/>
    <w:rsid w:val="008E31C7"/>
    <w:rsid w:val="008E5FA1"/>
    <w:rsid w:val="008E75EA"/>
    <w:rsid w:val="008F0279"/>
    <w:rsid w:val="008F07D2"/>
    <w:rsid w:val="008F555D"/>
    <w:rsid w:val="008F7CFD"/>
    <w:rsid w:val="0090556B"/>
    <w:rsid w:val="00905B6D"/>
    <w:rsid w:val="009144F5"/>
    <w:rsid w:val="009171BA"/>
    <w:rsid w:val="009218F1"/>
    <w:rsid w:val="0092246E"/>
    <w:rsid w:val="00924507"/>
    <w:rsid w:val="00933823"/>
    <w:rsid w:val="0093459A"/>
    <w:rsid w:val="00947BCE"/>
    <w:rsid w:val="00964C28"/>
    <w:rsid w:val="00970AF4"/>
    <w:rsid w:val="00971EBC"/>
    <w:rsid w:val="0097223F"/>
    <w:rsid w:val="0097489F"/>
    <w:rsid w:val="00976700"/>
    <w:rsid w:val="00977CCB"/>
    <w:rsid w:val="009806FB"/>
    <w:rsid w:val="009807DD"/>
    <w:rsid w:val="00991685"/>
    <w:rsid w:val="00991C5A"/>
    <w:rsid w:val="00993ED2"/>
    <w:rsid w:val="00994E9A"/>
    <w:rsid w:val="009A3896"/>
    <w:rsid w:val="009B1CA0"/>
    <w:rsid w:val="009B2D63"/>
    <w:rsid w:val="009B4377"/>
    <w:rsid w:val="009B7CA7"/>
    <w:rsid w:val="009C2A9D"/>
    <w:rsid w:val="009D5F29"/>
    <w:rsid w:val="009D74EC"/>
    <w:rsid w:val="009E16CA"/>
    <w:rsid w:val="009E78F6"/>
    <w:rsid w:val="009F0B02"/>
    <w:rsid w:val="009F781E"/>
    <w:rsid w:val="00A064C2"/>
    <w:rsid w:val="00A121CC"/>
    <w:rsid w:val="00A16679"/>
    <w:rsid w:val="00A177A0"/>
    <w:rsid w:val="00A200E6"/>
    <w:rsid w:val="00A264F3"/>
    <w:rsid w:val="00A37029"/>
    <w:rsid w:val="00A41479"/>
    <w:rsid w:val="00A414E4"/>
    <w:rsid w:val="00A41595"/>
    <w:rsid w:val="00A43CEE"/>
    <w:rsid w:val="00A4425C"/>
    <w:rsid w:val="00A529AC"/>
    <w:rsid w:val="00A6734C"/>
    <w:rsid w:val="00A75BE1"/>
    <w:rsid w:val="00A821C3"/>
    <w:rsid w:val="00AA2495"/>
    <w:rsid w:val="00AA67DD"/>
    <w:rsid w:val="00AB592B"/>
    <w:rsid w:val="00AC63B2"/>
    <w:rsid w:val="00AD0519"/>
    <w:rsid w:val="00AD07FA"/>
    <w:rsid w:val="00AD34C3"/>
    <w:rsid w:val="00AE566E"/>
    <w:rsid w:val="00AE65C0"/>
    <w:rsid w:val="00B07F56"/>
    <w:rsid w:val="00B11887"/>
    <w:rsid w:val="00B23C9D"/>
    <w:rsid w:val="00B26559"/>
    <w:rsid w:val="00B26A61"/>
    <w:rsid w:val="00B30EE2"/>
    <w:rsid w:val="00B32315"/>
    <w:rsid w:val="00B43B66"/>
    <w:rsid w:val="00B43BF0"/>
    <w:rsid w:val="00B46FCB"/>
    <w:rsid w:val="00B5029D"/>
    <w:rsid w:val="00B517D8"/>
    <w:rsid w:val="00B67082"/>
    <w:rsid w:val="00B741CE"/>
    <w:rsid w:val="00B767AF"/>
    <w:rsid w:val="00B84C54"/>
    <w:rsid w:val="00BA100D"/>
    <w:rsid w:val="00BC3AF9"/>
    <w:rsid w:val="00BC3FA9"/>
    <w:rsid w:val="00BC5FB9"/>
    <w:rsid w:val="00BC7BA3"/>
    <w:rsid w:val="00BD2D00"/>
    <w:rsid w:val="00BE087A"/>
    <w:rsid w:val="00BE21D0"/>
    <w:rsid w:val="00BE3187"/>
    <w:rsid w:val="00BE41E3"/>
    <w:rsid w:val="00BF2DEE"/>
    <w:rsid w:val="00C0322E"/>
    <w:rsid w:val="00C07692"/>
    <w:rsid w:val="00C1306C"/>
    <w:rsid w:val="00C14567"/>
    <w:rsid w:val="00C346D0"/>
    <w:rsid w:val="00C36CF8"/>
    <w:rsid w:val="00C36F99"/>
    <w:rsid w:val="00C53C9B"/>
    <w:rsid w:val="00C6116B"/>
    <w:rsid w:val="00C713D1"/>
    <w:rsid w:val="00C72A5D"/>
    <w:rsid w:val="00C80B10"/>
    <w:rsid w:val="00C818E9"/>
    <w:rsid w:val="00C906CC"/>
    <w:rsid w:val="00CA6672"/>
    <w:rsid w:val="00CC19E8"/>
    <w:rsid w:val="00CC76FB"/>
    <w:rsid w:val="00CD1442"/>
    <w:rsid w:val="00CD7DB3"/>
    <w:rsid w:val="00CE42DD"/>
    <w:rsid w:val="00CE682C"/>
    <w:rsid w:val="00D0588A"/>
    <w:rsid w:val="00D11D10"/>
    <w:rsid w:val="00D12E8F"/>
    <w:rsid w:val="00D145D3"/>
    <w:rsid w:val="00D17146"/>
    <w:rsid w:val="00D17C27"/>
    <w:rsid w:val="00D204FA"/>
    <w:rsid w:val="00D27D40"/>
    <w:rsid w:val="00D46F9A"/>
    <w:rsid w:val="00D53C11"/>
    <w:rsid w:val="00D55367"/>
    <w:rsid w:val="00D63AFB"/>
    <w:rsid w:val="00D70A23"/>
    <w:rsid w:val="00D7603E"/>
    <w:rsid w:val="00D77769"/>
    <w:rsid w:val="00D81AB0"/>
    <w:rsid w:val="00D84A34"/>
    <w:rsid w:val="00D90C69"/>
    <w:rsid w:val="00D91784"/>
    <w:rsid w:val="00D92378"/>
    <w:rsid w:val="00DB2189"/>
    <w:rsid w:val="00DB4EE5"/>
    <w:rsid w:val="00DE106A"/>
    <w:rsid w:val="00DE2A63"/>
    <w:rsid w:val="00DE2C8E"/>
    <w:rsid w:val="00DF2177"/>
    <w:rsid w:val="00DF43CA"/>
    <w:rsid w:val="00E00044"/>
    <w:rsid w:val="00E072C1"/>
    <w:rsid w:val="00E32764"/>
    <w:rsid w:val="00E3309D"/>
    <w:rsid w:val="00E36819"/>
    <w:rsid w:val="00E411C7"/>
    <w:rsid w:val="00E437D2"/>
    <w:rsid w:val="00E51107"/>
    <w:rsid w:val="00E53E26"/>
    <w:rsid w:val="00E54C86"/>
    <w:rsid w:val="00E563F5"/>
    <w:rsid w:val="00E565A9"/>
    <w:rsid w:val="00E57502"/>
    <w:rsid w:val="00E60B44"/>
    <w:rsid w:val="00E63F26"/>
    <w:rsid w:val="00E6456F"/>
    <w:rsid w:val="00E64CE2"/>
    <w:rsid w:val="00E657B6"/>
    <w:rsid w:val="00E6644C"/>
    <w:rsid w:val="00E75C4F"/>
    <w:rsid w:val="00E80AE7"/>
    <w:rsid w:val="00E908E1"/>
    <w:rsid w:val="00E9461F"/>
    <w:rsid w:val="00EB2B9D"/>
    <w:rsid w:val="00EB381E"/>
    <w:rsid w:val="00EB55E7"/>
    <w:rsid w:val="00EB564E"/>
    <w:rsid w:val="00EB72DE"/>
    <w:rsid w:val="00EC5B04"/>
    <w:rsid w:val="00EC6A99"/>
    <w:rsid w:val="00ED351B"/>
    <w:rsid w:val="00ED5531"/>
    <w:rsid w:val="00EE2233"/>
    <w:rsid w:val="00EE40C3"/>
    <w:rsid w:val="00EF237D"/>
    <w:rsid w:val="00EF5707"/>
    <w:rsid w:val="00F05FD5"/>
    <w:rsid w:val="00F1679F"/>
    <w:rsid w:val="00F2067E"/>
    <w:rsid w:val="00F253B6"/>
    <w:rsid w:val="00F32F03"/>
    <w:rsid w:val="00F431CD"/>
    <w:rsid w:val="00F440C5"/>
    <w:rsid w:val="00F45721"/>
    <w:rsid w:val="00F546A7"/>
    <w:rsid w:val="00F6336D"/>
    <w:rsid w:val="00F63DF9"/>
    <w:rsid w:val="00F777E0"/>
    <w:rsid w:val="00F81C80"/>
    <w:rsid w:val="00F828B2"/>
    <w:rsid w:val="00F85A99"/>
    <w:rsid w:val="00F91663"/>
    <w:rsid w:val="00FA164D"/>
    <w:rsid w:val="00FA1F45"/>
    <w:rsid w:val="00FA6635"/>
    <w:rsid w:val="00FB4D01"/>
    <w:rsid w:val="00FC31D8"/>
    <w:rsid w:val="00FC3CEE"/>
    <w:rsid w:val="00FC6297"/>
    <w:rsid w:val="00FD4326"/>
    <w:rsid w:val="00FE0452"/>
    <w:rsid w:val="00FE0F5B"/>
    <w:rsid w:val="00FE38C8"/>
    <w:rsid w:val="00FE3E00"/>
    <w:rsid w:val="00FE4B65"/>
    <w:rsid w:val="00FF0695"/>
    <w:rsid w:val="00FF0C67"/>
    <w:rsid w:val="00FF1253"/>
    <w:rsid w:val="00FF395E"/>
    <w:rsid w:val="00FF423F"/>
    <w:rsid w:val="0F45DD50"/>
    <w:rsid w:val="108E0BA1"/>
    <w:rsid w:val="1D647659"/>
    <w:rsid w:val="31C9091A"/>
    <w:rsid w:val="43EB0CF3"/>
    <w:rsid w:val="5F0218DF"/>
    <w:rsid w:val="75F66A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AAB51"/>
  <w15:chartTrackingRefBased/>
  <w15:docId w15:val="{549E54EA-2075-4479-9B7C-680EDC15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C11"/>
    <w:pPr>
      <w:spacing w:after="120"/>
    </w:pPr>
    <w:rPr>
      <w:color w:val="44546A" w:themeColor="text2"/>
    </w:rPr>
  </w:style>
  <w:style w:type="paragraph" w:styleId="Heading1">
    <w:name w:val="heading 1"/>
    <w:basedOn w:val="Normal"/>
    <w:next w:val="Normal"/>
    <w:link w:val="Heading1Char"/>
    <w:uiPriority w:val="9"/>
    <w:qFormat/>
    <w:rsid w:val="00D53C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728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C1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00B96"/>
    <w:pPr>
      <w:ind w:left="720"/>
      <w:contextualSpacing/>
    </w:pPr>
  </w:style>
  <w:style w:type="table" w:styleId="TableGrid">
    <w:name w:val="Table Grid"/>
    <w:basedOn w:val="TableNormal"/>
    <w:uiPriority w:val="39"/>
    <w:rsid w:val="008A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A2FB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5B69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991"/>
    <w:rPr>
      <w:color w:val="44546A" w:themeColor="text2"/>
    </w:rPr>
  </w:style>
  <w:style w:type="paragraph" w:styleId="Footer">
    <w:name w:val="footer"/>
    <w:basedOn w:val="Normal"/>
    <w:link w:val="FooterChar"/>
    <w:uiPriority w:val="99"/>
    <w:unhideWhenUsed/>
    <w:rsid w:val="005B69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991"/>
    <w:rPr>
      <w:color w:val="44546A" w:themeColor="text2"/>
    </w:rPr>
  </w:style>
  <w:style w:type="paragraph" w:styleId="BalloonText">
    <w:name w:val="Balloon Text"/>
    <w:basedOn w:val="Normal"/>
    <w:link w:val="BalloonTextChar"/>
    <w:uiPriority w:val="99"/>
    <w:semiHidden/>
    <w:unhideWhenUsed/>
    <w:rsid w:val="001108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808"/>
    <w:rPr>
      <w:rFonts w:ascii="Segoe UI" w:hAnsi="Segoe UI" w:cs="Segoe UI"/>
      <w:color w:val="44546A" w:themeColor="text2"/>
      <w:sz w:val="18"/>
      <w:szCs w:val="18"/>
    </w:rPr>
  </w:style>
  <w:style w:type="character" w:styleId="CommentReference">
    <w:name w:val="annotation reference"/>
    <w:basedOn w:val="DefaultParagraphFont"/>
    <w:uiPriority w:val="99"/>
    <w:semiHidden/>
    <w:unhideWhenUsed/>
    <w:rsid w:val="00796BFE"/>
    <w:rPr>
      <w:sz w:val="16"/>
      <w:szCs w:val="16"/>
    </w:rPr>
  </w:style>
  <w:style w:type="paragraph" w:styleId="CommentText">
    <w:name w:val="annotation text"/>
    <w:basedOn w:val="Normal"/>
    <w:link w:val="CommentTextChar"/>
    <w:uiPriority w:val="99"/>
    <w:unhideWhenUsed/>
    <w:rsid w:val="00796BFE"/>
    <w:pPr>
      <w:spacing w:line="240" w:lineRule="auto"/>
    </w:pPr>
    <w:rPr>
      <w:sz w:val="20"/>
      <w:szCs w:val="20"/>
    </w:rPr>
  </w:style>
  <w:style w:type="character" w:customStyle="1" w:styleId="CommentTextChar">
    <w:name w:val="Comment Text Char"/>
    <w:basedOn w:val="DefaultParagraphFont"/>
    <w:link w:val="CommentText"/>
    <w:uiPriority w:val="99"/>
    <w:rsid w:val="00796BFE"/>
    <w:rPr>
      <w:color w:val="44546A" w:themeColor="text2"/>
      <w:sz w:val="20"/>
      <w:szCs w:val="20"/>
    </w:rPr>
  </w:style>
  <w:style w:type="paragraph" w:styleId="CommentSubject">
    <w:name w:val="annotation subject"/>
    <w:basedOn w:val="CommentText"/>
    <w:next w:val="CommentText"/>
    <w:link w:val="CommentSubjectChar"/>
    <w:uiPriority w:val="99"/>
    <w:semiHidden/>
    <w:unhideWhenUsed/>
    <w:rsid w:val="00796BFE"/>
    <w:rPr>
      <w:b/>
      <w:bCs/>
    </w:rPr>
  </w:style>
  <w:style w:type="character" w:customStyle="1" w:styleId="CommentSubjectChar">
    <w:name w:val="Comment Subject Char"/>
    <w:basedOn w:val="CommentTextChar"/>
    <w:link w:val="CommentSubject"/>
    <w:uiPriority w:val="99"/>
    <w:semiHidden/>
    <w:rsid w:val="00796BFE"/>
    <w:rPr>
      <w:b/>
      <w:bCs/>
      <w:color w:val="44546A" w:themeColor="text2"/>
      <w:sz w:val="20"/>
      <w:szCs w:val="20"/>
    </w:rPr>
  </w:style>
  <w:style w:type="paragraph" w:styleId="FootnoteText">
    <w:name w:val="footnote text"/>
    <w:basedOn w:val="Normal"/>
    <w:link w:val="FootnoteTextChar"/>
    <w:unhideWhenUsed/>
    <w:rsid w:val="008A5B60"/>
    <w:pPr>
      <w:spacing w:after="0" w:line="240" w:lineRule="auto"/>
    </w:pPr>
    <w:rPr>
      <w:sz w:val="20"/>
      <w:szCs w:val="20"/>
    </w:rPr>
  </w:style>
  <w:style w:type="character" w:customStyle="1" w:styleId="FootnoteTextChar">
    <w:name w:val="Footnote Text Char"/>
    <w:basedOn w:val="DefaultParagraphFont"/>
    <w:link w:val="FootnoteText"/>
    <w:rsid w:val="008A5B60"/>
    <w:rPr>
      <w:color w:val="44546A" w:themeColor="text2"/>
      <w:sz w:val="20"/>
      <w:szCs w:val="20"/>
    </w:rPr>
  </w:style>
  <w:style w:type="character" w:styleId="FootnoteReference">
    <w:name w:val="footnote reference"/>
    <w:basedOn w:val="DefaultParagraphFont"/>
    <w:unhideWhenUsed/>
    <w:rsid w:val="008A5B60"/>
    <w:rPr>
      <w:vertAlign w:val="superscript"/>
    </w:rPr>
  </w:style>
  <w:style w:type="character" w:customStyle="1" w:styleId="Heading2Char">
    <w:name w:val="Heading 2 Char"/>
    <w:basedOn w:val="DefaultParagraphFont"/>
    <w:link w:val="Heading2"/>
    <w:uiPriority w:val="9"/>
    <w:rsid w:val="00472831"/>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7F2278"/>
    <w:rPr>
      <w:color w:val="0563C1" w:themeColor="hyperlink"/>
      <w:u w:val="single"/>
    </w:rPr>
  </w:style>
  <w:style w:type="character" w:styleId="UnresolvedMention">
    <w:name w:val="Unresolved Mention"/>
    <w:basedOn w:val="DefaultParagraphFont"/>
    <w:uiPriority w:val="99"/>
    <w:semiHidden/>
    <w:unhideWhenUsed/>
    <w:rsid w:val="007F2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8437">
      <w:bodyDiv w:val="1"/>
      <w:marLeft w:val="0"/>
      <w:marRight w:val="0"/>
      <w:marTop w:val="0"/>
      <w:marBottom w:val="0"/>
      <w:divBdr>
        <w:top w:val="none" w:sz="0" w:space="0" w:color="auto"/>
        <w:left w:val="none" w:sz="0" w:space="0" w:color="auto"/>
        <w:bottom w:val="none" w:sz="0" w:space="0" w:color="auto"/>
        <w:right w:val="none" w:sz="0" w:space="0" w:color="auto"/>
      </w:divBdr>
      <w:divsChild>
        <w:div w:id="255098682">
          <w:marLeft w:val="1166"/>
          <w:marRight w:val="0"/>
          <w:marTop w:val="0"/>
          <w:marBottom w:val="120"/>
          <w:divBdr>
            <w:top w:val="none" w:sz="0" w:space="0" w:color="auto"/>
            <w:left w:val="none" w:sz="0" w:space="0" w:color="auto"/>
            <w:bottom w:val="none" w:sz="0" w:space="0" w:color="auto"/>
            <w:right w:val="none" w:sz="0" w:space="0" w:color="auto"/>
          </w:divBdr>
        </w:div>
        <w:div w:id="255292733">
          <w:marLeft w:val="1166"/>
          <w:marRight w:val="0"/>
          <w:marTop w:val="0"/>
          <w:marBottom w:val="120"/>
          <w:divBdr>
            <w:top w:val="none" w:sz="0" w:space="0" w:color="auto"/>
            <w:left w:val="none" w:sz="0" w:space="0" w:color="auto"/>
            <w:bottom w:val="none" w:sz="0" w:space="0" w:color="auto"/>
            <w:right w:val="none" w:sz="0" w:space="0" w:color="auto"/>
          </w:divBdr>
        </w:div>
        <w:div w:id="715392388">
          <w:marLeft w:val="1166"/>
          <w:marRight w:val="0"/>
          <w:marTop w:val="0"/>
          <w:marBottom w:val="120"/>
          <w:divBdr>
            <w:top w:val="none" w:sz="0" w:space="0" w:color="auto"/>
            <w:left w:val="none" w:sz="0" w:space="0" w:color="auto"/>
            <w:bottom w:val="none" w:sz="0" w:space="0" w:color="auto"/>
            <w:right w:val="none" w:sz="0" w:space="0" w:color="auto"/>
          </w:divBdr>
        </w:div>
        <w:div w:id="788740668">
          <w:marLeft w:val="1166"/>
          <w:marRight w:val="0"/>
          <w:marTop w:val="0"/>
          <w:marBottom w:val="120"/>
          <w:divBdr>
            <w:top w:val="none" w:sz="0" w:space="0" w:color="auto"/>
            <w:left w:val="none" w:sz="0" w:space="0" w:color="auto"/>
            <w:bottom w:val="none" w:sz="0" w:space="0" w:color="auto"/>
            <w:right w:val="none" w:sz="0" w:space="0" w:color="auto"/>
          </w:divBdr>
        </w:div>
        <w:div w:id="945231620">
          <w:marLeft w:val="1166"/>
          <w:marRight w:val="0"/>
          <w:marTop w:val="0"/>
          <w:marBottom w:val="120"/>
          <w:divBdr>
            <w:top w:val="none" w:sz="0" w:space="0" w:color="auto"/>
            <w:left w:val="none" w:sz="0" w:space="0" w:color="auto"/>
            <w:bottom w:val="none" w:sz="0" w:space="0" w:color="auto"/>
            <w:right w:val="none" w:sz="0" w:space="0" w:color="auto"/>
          </w:divBdr>
        </w:div>
        <w:div w:id="1008171234">
          <w:marLeft w:val="1166"/>
          <w:marRight w:val="0"/>
          <w:marTop w:val="0"/>
          <w:marBottom w:val="120"/>
          <w:divBdr>
            <w:top w:val="none" w:sz="0" w:space="0" w:color="auto"/>
            <w:left w:val="none" w:sz="0" w:space="0" w:color="auto"/>
            <w:bottom w:val="none" w:sz="0" w:space="0" w:color="auto"/>
            <w:right w:val="none" w:sz="0" w:space="0" w:color="auto"/>
          </w:divBdr>
        </w:div>
        <w:div w:id="1881741107">
          <w:marLeft w:val="1166"/>
          <w:marRight w:val="0"/>
          <w:marTop w:val="0"/>
          <w:marBottom w:val="120"/>
          <w:divBdr>
            <w:top w:val="none" w:sz="0" w:space="0" w:color="auto"/>
            <w:left w:val="none" w:sz="0" w:space="0" w:color="auto"/>
            <w:bottom w:val="none" w:sz="0" w:space="0" w:color="auto"/>
            <w:right w:val="none" w:sz="0" w:space="0" w:color="auto"/>
          </w:divBdr>
        </w:div>
      </w:divsChild>
    </w:div>
    <w:div w:id="1105076152">
      <w:bodyDiv w:val="1"/>
      <w:marLeft w:val="0"/>
      <w:marRight w:val="0"/>
      <w:marTop w:val="0"/>
      <w:marBottom w:val="0"/>
      <w:divBdr>
        <w:top w:val="none" w:sz="0" w:space="0" w:color="auto"/>
        <w:left w:val="none" w:sz="0" w:space="0" w:color="auto"/>
        <w:bottom w:val="none" w:sz="0" w:space="0" w:color="auto"/>
        <w:right w:val="none" w:sz="0" w:space="0" w:color="auto"/>
      </w:divBdr>
    </w:div>
    <w:div w:id="163822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package" Target="embeddings/Microsoft_Word_Document.docx"/><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8E51A0870E9343A12B527544FA951C" ma:contentTypeVersion="19" ma:contentTypeDescription="Create a new document." ma:contentTypeScope="" ma:versionID="dbe24286d5e86021b94b7cb60515f9e6">
  <xsd:schema xmlns:xsd="http://www.w3.org/2001/XMLSchema" xmlns:xs="http://www.w3.org/2001/XMLSchema" xmlns:p="http://schemas.microsoft.com/office/2006/metadata/properties" xmlns:ns2="d7d873e5-b419-4c17-aead-5f68a614eeb1" xmlns:ns3="c963f0ce-0a11-4243-b51c-087a6adff182" xmlns:ns4="00a4df5b-51f4-4e7a-b755-8a381a6dfbc5" targetNamespace="http://schemas.microsoft.com/office/2006/metadata/properties" ma:root="true" ma:fieldsID="2171ce24546610b30faf746f79bce8ca" ns2:_="" ns3:_="" ns4:_="">
    <xsd:import namespace="d7d873e5-b419-4c17-aead-5f68a614eeb1"/>
    <xsd:import namespace="c963f0ce-0a11-4243-b51c-087a6adff182"/>
    <xsd:import namespace="00a4df5b-51f4-4e7a-b755-8a381a6dfb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Numberoffiles" minOccurs="0"/>
                <xsd:element ref="ns2:MediaServiceDateTaken" minOccurs="0"/>
                <xsd:element ref="ns2:MediaLengthInSeconds" minOccurs="0"/>
                <xsd:element ref="ns2:lcf76f155ced4ddcb4097134ff3c332f" minOccurs="0"/>
                <xsd:element ref="ns4:TaxCatchAll" minOccurs="0"/>
                <xsd:element ref="ns2:Consolidated_x003f_"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873e5-b419-4c17-aead-5f68a614e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Numberoffiles" ma:index="17" nillable="true" ma:displayName="Number of files" ma:format="Dropdown" ma:internalName="Numberoffiles" ma:percentage="FALSE">
      <xsd:simpleType>
        <xsd:restriction base="dms:Number"/>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Consolidated_x003f_" ma:index="23" nillable="true" ma:displayName="Consolidated?" ma:default="1" ma:format="Dropdown" ma:internalName="Consolidated_x003f_">
      <xsd:simpleType>
        <xsd:restriction base="dms:Boolean"/>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63f0ce-0a11-4243-b51c-087a6adff1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4df5b-51f4-4e7a-b755-8a381a6dfbc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50e20bb-5ad3-4f88-a519-069e758f34ab}" ma:internalName="TaxCatchAll" ma:showField="CatchAllData" ma:web="c963f0ce-0a11-4243-b51c-087a6adff1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0a4df5b-51f4-4e7a-b755-8a381a6dfbc5" xsi:nil="true"/>
    <lcf76f155ced4ddcb4097134ff3c332f xmlns="d7d873e5-b419-4c17-aead-5f68a614eeb1">
      <Terms xmlns="http://schemas.microsoft.com/office/infopath/2007/PartnerControls"/>
    </lcf76f155ced4ddcb4097134ff3c332f>
    <Numberoffiles xmlns="d7d873e5-b419-4c17-aead-5f68a614eeb1" xsi:nil="true"/>
    <Consolidated_x003f_ xmlns="d7d873e5-b419-4c17-aead-5f68a614eeb1">true</Consolidated_x003f_>
    <SharedWithUsers xmlns="c963f0ce-0a11-4243-b51c-087a6adff182">
      <UserInfo>
        <DisplayName>Rachel Dillon</DisplayName>
        <AccountId>781</AccountId>
        <AccountType/>
      </UserInfo>
      <UserInfo>
        <DisplayName>Hannah Cranston</DisplayName>
        <AccountId>2060</AccountId>
        <AccountType/>
      </UserInfo>
      <UserInfo>
        <DisplayName>Angela Paul</DisplayName>
        <AccountId>1318</AccountId>
        <AccountType/>
      </UserInfo>
    </SharedWithUsers>
  </documentManagement>
</p:properties>
</file>

<file path=customXml/itemProps1.xml><?xml version="1.0" encoding="utf-8"?>
<ds:datastoreItem xmlns:ds="http://schemas.openxmlformats.org/officeDocument/2006/customXml" ds:itemID="{C8CBD1A3-5BAB-40FA-B8B4-247AFA5C8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873e5-b419-4c17-aead-5f68a614eeb1"/>
    <ds:schemaRef ds:uri="c963f0ce-0a11-4243-b51c-087a6adff182"/>
    <ds:schemaRef ds:uri="00a4df5b-51f4-4e7a-b755-8a381a6df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914710-0128-4DF9-ACDE-2214B2D2E460}">
  <ds:schemaRefs>
    <ds:schemaRef ds:uri="http://schemas.microsoft.com/sharepoint/v3/contenttype/forms"/>
  </ds:schemaRefs>
</ds:datastoreItem>
</file>

<file path=customXml/itemProps3.xml><?xml version="1.0" encoding="utf-8"?>
<ds:datastoreItem xmlns:ds="http://schemas.openxmlformats.org/officeDocument/2006/customXml" ds:itemID="{2053657B-2E9E-4A00-BB46-62ECF309E493}">
  <ds:schemaRefs>
    <ds:schemaRef ds:uri="http://schemas.openxmlformats.org/officeDocument/2006/bibliography"/>
  </ds:schemaRefs>
</ds:datastoreItem>
</file>

<file path=customXml/itemProps4.xml><?xml version="1.0" encoding="utf-8"?>
<ds:datastoreItem xmlns:ds="http://schemas.openxmlformats.org/officeDocument/2006/customXml" ds:itemID="{A5003EC8-C719-45BE-8538-849F9E61DE32}">
  <ds:schemaRefs>
    <ds:schemaRef ds:uri="http://schemas.microsoft.com/office/2006/metadata/properties"/>
    <ds:schemaRef ds:uri="http://schemas.microsoft.com/office/infopath/2007/PartnerControls"/>
    <ds:schemaRef ds:uri="00a4df5b-51f4-4e7a-b755-8a381a6dfbc5"/>
    <ds:schemaRef ds:uri="d7d873e5-b419-4c17-aead-5f68a614eeb1"/>
    <ds:schemaRef ds:uri="c963f0ce-0a11-4243-b51c-087a6adff182"/>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2418</Words>
  <Characters>13785</Characters>
  <Application>Microsoft Office Word</Application>
  <DocSecurity>0</DocSecurity>
  <Lines>114</Lines>
  <Paragraphs>32</Paragraphs>
  <ScaleCrop>false</ScaleCrop>
  <Company>healthAlliance</Company>
  <LinksUpToDate>false</LinksUpToDate>
  <CharactersWithSpaces>16171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Bhargav Srinivasan (ADHB)</dc:creator>
  <cp:keywords/>
  <dc:description/>
  <cp:lastModifiedBy>Bella Ritchie</cp:lastModifiedBy>
  <cp:revision>37</cp:revision>
  <cp:lastPrinted>2022-08-31T00:48:00Z</cp:lastPrinted>
  <dcterms:created xsi:type="dcterms:W3CDTF">2022-09-30T22:31:00Z</dcterms:created>
  <dcterms:modified xsi:type="dcterms:W3CDTF">2022-11-08T00:37:00Z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25b5531-c247-4ec1-94ad-07fb61d5317c_Enabled">
    <vt:lpwstr>true</vt:lpwstr>
  </property>
  <property fmtid="{D5CDD505-2E9C-101B-9397-08002B2CF9AE}" pid="3" name="MSIP_Label_c25b5531-c247-4ec1-94ad-07fb61d5317c_SetDate">
    <vt:lpwstr>2022-04-22T02:29:32Z</vt:lpwstr>
  </property>
  <property fmtid="{D5CDD505-2E9C-101B-9397-08002B2CF9AE}" pid="4" name="MSIP_Label_c25b5531-c247-4ec1-94ad-07fb61d5317c_Method">
    <vt:lpwstr>Privileged</vt:lpwstr>
  </property>
  <property fmtid="{D5CDD505-2E9C-101B-9397-08002B2CF9AE}" pid="5" name="MSIP_Label_c25b5531-c247-4ec1-94ad-07fb61d5317c_Name">
    <vt:lpwstr>NO LABEL</vt:lpwstr>
  </property>
  <property fmtid="{D5CDD505-2E9C-101B-9397-08002B2CF9AE}" pid="6" name="MSIP_Label_c25b5531-c247-4ec1-94ad-07fb61d5317c_SiteId">
    <vt:lpwstr>0051ec7f-c4f5-41e6-b397-24b855b2a57e</vt:lpwstr>
  </property>
  <property fmtid="{D5CDD505-2E9C-101B-9397-08002B2CF9AE}" pid="7" name="MSIP_Label_c25b5531-c247-4ec1-94ad-07fb61d5317c_ActionId">
    <vt:lpwstr>55764116-2532-4fda-a744-bff10d56a699</vt:lpwstr>
  </property>
  <property fmtid="{D5CDD505-2E9C-101B-9397-08002B2CF9AE}" pid="8" name="MSIP_Label_c25b5531-c247-4ec1-94ad-07fb61d5317c_ContentBits">
    <vt:lpwstr>0</vt:lpwstr>
  </property>
  <property fmtid="{D5CDD505-2E9C-101B-9397-08002B2CF9AE}" pid="9" name="ContentTypeId">
    <vt:lpwstr>0x010100738E51A0870E9343A12B527544FA951C</vt:lpwstr>
  </property>
  <property fmtid="{D5CDD505-2E9C-101B-9397-08002B2CF9AE}" pid="10" name="MediaServiceImageTags">
    <vt:lpwstr/>
  </property>
</Properties>
</file>