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Ex1.xml" ContentType="application/vnd.ms-office.chartex+xml"/>
  <Override PartName="/word/charts/style4.xml" ContentType="application/vnd.ms-office.chartstyle+xml"/>
  <Override PartName="/word/charts/colors4.xml" ContentType="application/vnd.ms-office.chartcolorstyle+xml"/>
  <Override PartName="/word/charts/chartEx2.xml" ContentType="application/vnd.ms-office.chartex+xml"/>
  <Override PartName="/word/charts/style5.xml" ContentType="application/vnd.ms-office.chartstyle+xml"/>
  <Override PartName="/word/charts/colors5.xml" ContentType="application/vnd.ms-office.chartcolorstyle+xml"/>
  <Override PartName="/word/charts/chartEx3.xml" ContentType="application/vnd.ms-office.chartex+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1C1A86" w14:textId="74FC0415" w:rsidR="00817A32" w:rsidRPr="00653A18" w:rsidRDefault="006F532C" w:rsidP="00817A32">
      <w:pPr>
        <w:jc w:val="right"/>
      </w:pPr>
      <w:bookmarkStart w:id="0" w:name="_Hlk204686214"/>
      <w:bookmarkEnd w:id="0"/>
      <w:r w:rsidRPr="00653A18">
        <w:rPr>
          <w:noProof/>
          <w:lang w:eastAsia="en-NZ"/>
        </w:rPr>
        <w:drawing>
          <wp:anchor distT="0" distB="0" distL="114300" distR="114300" simplePos="0" relativeHeight="251658247" behindDoc="1" locked="0" layoutInCell="1" allowOverlap="1" wp14:anchorId="7FD0450F" wp14:editId="1558ABAD">
            <wp:simplePos x="0" y="0"/>
            <wp:positionH relativeFrom="page">
              <wp:posOffset>635</wp:posOffset>
            </wp:positionH>
            <wp:positionV relativeFrom="paragraph">
              <wp:posOffset>-1102228</wp:posOffset>
            </wp:positionV>
            <wp:extent cx="7559674" cy="10690495"/>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9674" cy="10690495"/>
                    </a:xfrm>
                    <a:prstGeom prst="rect">
                      <a:avLst/>
                    </a:prstGeom>
                  </pic:spPr>
                </pic:pic>
              </a:graphicData>
            </a:graphic>
            <wp14:sizeRelH relativeFrom="page">
              <wp14:pctWidth>0</wp14:pctWidth>
            </wp14:sizeRelH>
            <wp14:sizeRelV relativeFrom="page">
              <wp14:pctHeight>0</wp14:pctHeight>
            </wp14:sizeRelV>
          </wp:anchor>
        </w:drawing>
      </w:r>
    </w:p>
    <w:p w14:paraId="1A326AB6" w14:textId="77777777" w:rsidR="00817A32" w:rsidRPr="00653A18" w:rsidRDefault="006F532C" w:rsidP="0087795F">
      <w:r w:rsidRPr="00653A18">
        <w:rPr>
          <w:noProof/>
          <w:lang w:eastAsia="en-NZ"/>
        </w:rPr>
        <mc:AlternateContent>
          <mc:Choice Requires="wps">
            <w:drawing>
              <wp:inline distT="0" distB="0" distL="0" distR="0" wp14:anchorId="4B476B00" wp14:editId="79DA0669">
                <wp:extent cx="6116955" cy="4714875"/>
                <wp:effectExtent l="0" t="0" r="0" b="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955" cy="4714875"/>
                        </a:xfrm>
                        <a:prstGeom prst="rect">
                          <a:avLst/>
                        </a:prstGeom>
                        <a:noFill/>
                        <a:ln w="9525">
                          <a:noFill/>
                          <a:miter lim="800000"/>
                          <a:headEnd/>
                          <a:tailEnd/>
                        </a:ln>
                      </wps:spPr>
                      <wps:txbx>
                        <w:txbxContent>
                          <w:p w14:paraId="3C258A77" w14:textId="61E1D29B" w:rsidR="006F532C" w:rsidRPr="006F532C" w:rsidRDefault="00227E5D" w:rsidP="006F532C">
                            <w:pPr>
                              <w:pStyle w:val="Title"/>
                            </w:pPr>
                            <w:r>
                              <w:t xml:space="preserve">Health New Zealand’s </w:t>
                            </w:r>
                            <w:r w:rsidR="008C5A63">
                              <w:t>Emissions Reduction Plan</w:t>
                            </w:r>
                          </w:p>
                          <w:p w14:paraId="073DD5CB" w14:textId="0E1240AE" w:rsidR="006F532C" w:rsidRPr="006F532C" w:rsidRDefault="00FE4B4E" w:rsidP="006F532C">
                            <w:pPr>
                              <w:pStyle w:val="Subtitle"/>
                            </w:pPr>
                            <w:r>
                              <w:t>FY24/25 – FY26/27</w:t>
                            </w:r>
                          </w:p>
                          <w:p w14:paraId="6A3F8910" w14:textId="6A10785F" w:rsidR="006F532C" w:rsidRDefault="00FE4B4E" w:rsidP="006F532C">
                            <w:pPr>
                              <w:pStyle w:val="Subtitle"/>
                              <w:rPr>
                                <w:sz w:val="36"/>
                                <w:szCs w:val="14"/>
                              </w:rPr>
                            </w:pPr>
                            <w:r>
                              <w:rPr>
                                <w:sz w:val="36"/>
                                <w:szCs w:val="14"/>
                              </w:rPr>
                              <w:t xml:space="preserve">May </w:t>
                            </w:r>
                            <w:r w:rsidR="00B15F10" w:rsidRPr="00A46FAF">
                              <w:rPr>
                                <w:sz w:val="36"/>
                                <w:szCs w:val="14"/>
                              </w:rPr>
                              <w:t>2025</w:t>
                            </w:r>
                          </w:p>
                          <w:p w14:paraId="29A4EEAA" w14:textId="77777777" w:rsidR="00923117" w:rsidRDefault="00923117" w:rsidP="00923117"/>
                          <w:p w14:paraId="7B1BA759" w14:textId="77777777" w:rsidR="00C21642" w:rsidRPr="00C21642" w:rsidRDefault="00C21642" w:rsidP="00C21642"/>
                        </w:txbxContent>
                      </wps:txbx>
                      <wps:bodyPr rot="0" vert="horz" wrap="square" lIns="0" tIns="45720" rIns="0" bIns="45720" anchor="b" anchorCtr="0">
                        <a:noAutofit/>
                      </wps:bodyPr>
                    </wps:wsp>
                  </a:graphicData>
                </a:graphic>
              </wp:inline>
            </w:drawing>
          </mc:Choice>
          <mc:Fallback>
            <w:pict>
              <v:shapetype w14:anchorId="4B476B00" id="_x0000_t202" coordsize="21600,21600" o:spt="202" path="m,l,21600r21600,l21600,xe">
                <v:stroke joinstyle="miter"/>
                <v:path gradientshapeok="t" o:connecttype="rect"/>
              </v:shapetype>
              <v:shape id="Text Box 2" o:spid="_x0000_s1026" type="#_x0000_t202" style="width:481.65pt;height:371.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" filled="f" stroked="f">
                <v:textbox inset="0,,0">
                  <w:txbxContent>
                    <w:p w14:paraId="3C258A77" w14:textId="61E1D29B" w:rsidR="006F532C" w:rsidRPr="006F532C" w:rsidRDefault="00227E5D" w:rsidP="006F532C">
                      <w:pPr>
                        <w:pStyle w:val="Title"/>
                      </w:pPr>
                      <w:r>
                        <w:t xml:space="preserve">Health New Zealand’s </w:t>
                      </w:r>
                      <w:r w:rsidR="008C5A63">
                        <w:t>Emissions Reduction Plan</w:t>
                      </w:r>
                    </w:p>
                    <w:p w14:paraId="073DD5CB" w14:textId="0E1240AE" w:rsidR="006F532C" w:rsidRPr="006F532C" w:rsidRDefault="00FE4B4E" w:rsidP="006F532C">
                      <w:pPr>
                        <w:pStyle w:val="Subtitle"/>
                      </w:pPr>
                      <w:r>
                        <w:t>FY24/25 – FY26/27</w:t>
                      </w:r>
                    </w:p>
                    <w:p w14:paraId="6A3F8910" w14:textId="6A10785F" w:rsidR="006F532C" w:rsidRDefault="00FE4B4E" w:rsidP="006F532C">
                      <w:pPr>
                        <w:pStyle w:val="Subtitle"/>
                        <w:rPr>
                          <w:sz w:val="36"/>
                          <w:szCs w:val="14"/>
                        </w:rPr>
                      </w:pPr>
                      <w:r>
                        <w:rPr>
                          <w:sz w:val="36"/>
                          <w:szCs w:val="14"/>
                        </w:rPr>
                        <w:t xml:space="preserve">May </w:t>
                      </w:r>
                      <w:r w:rsidR="00B15F10" w:rsidRPr="00A46FAF">
                        <w:rPr>
                          <w:sz w:val="36"/>
                          <w:szCs w:val="14"/>
                        </w:rPr>
                        <w:t>2025</w:t>
                      </w:r>
                    </w:p>
                    <w:p w14:paraId="29A4EEAA" w14:textId="77777777" w:rsidR="00923117" w:rsidRDefault="00923117" w:rsidP="00923117"/>
                    <w:p w14:paraId="7B1BA759" w14:textId="77777777" w:rsidR="00C21642" w:rsidRPr="00C21642" w:rsidRDefault="00C21642" w:rsidP="00C21642"/>
                  </w:txbxContent>
                </v:textbox>
                <w10:anchorlock/>
              </v:shape>
            </w:pict>
          </mc:Fallback>
        </mc:AlternateContent>
      </w:r>
      <w:r w:rsidR="00817A32" w:rsidRPr="00653A18">
        <w:br w:type="page"/>
      </w:r>
    </w:p>
    <w:p w14:paraId="1B348E67" w14:textId="4F916DF6" w:rsidR="004C2E5B" w:rsidRPr="00395763" w:rsidRDefault="004C2E5B" w:rsidP="004C2E5B">
      <w:r w:rsidRPr="00395763">
        <w:lastRenderedPageBreak/>
        <w:t xml:space="preserve">Citation: </w:t>
      </w:r>
      <w:r w:rsidR="00ED4008" w:rsidRPr="00395763">
        <w:t>Health New Zealand</w:t>
      </w:r>
      <w:r w:rsidR="00EE5E59" w:rsidRPr="00395763">
        <w:t xml:space="preserve"> | Te Whatu Ora</w:t>
      </w:r>
      <w:r w:rsidRPr="00395763">
        <w:t xml:space="preserve">. </w:t>
      </w:r>
      <w:r w:rsidR="00B15F10">
        <w:t>2025</w:t>
      </w:r>
      <w:r w:rsidRPr="00395763">
        <w:t xml:space="preserve">. </w:t>
      </w:r>
      <w:r w:rsidR="00B15F10" w:rsidRPr="00B15F10">
        <w:rPr>
          <w:i/>
          <w:iCs/>
        </w:rPr>
        <w:t>Health New Zealand’s Emissions Reduction Plan</w:t>
      </w:r>
      <w:r w:rsidRPr="00395763">
        <w:t xml:space="preserve">. Wellington: </w:t>
      </w:r>
      <w:r w:rsidR="00ED4008" w:rsidRPr="00395763">
        <w:t>Health New Zealand</w:t>
      </w:r>
      <w:r w:rsidR="00AC2F6F" w:rsidRPr="00395763">
        <w:t xml:space="preserve"> | Te Whatu Ora</w:t>
      </w:r>
      <w:r w:rsidRPr="00395763">
        <w:t>.</w:t>
      </w:r>
    </w:p>
    <w:p w14:paraId="1B4621E0" w14:textId="77777777" w:rsidR="00C66CF6" w:rsidRDefault="004C2E5B" w:rsidP="004C2E5B">
      <w:pPr>
        <w:rPr>
          <w:highlight w:val="yellow"/>
        </w:rPr>
      </w:pPr>
      <w:r w:rsidRPr="00165A16">
        <w:t xml:space="preserve">Published in </w:t>
      </w:r>
      <w:r w:rsidR="00FE4B4E">
        <w:t>May</w:t>
      </w:r>
      <w:r w:rsidR="00130484" w:rsidRPr="00165A16">
        <w:t xml:space="preserve"> </w:t>
      </w:r>
      <w:r w:rsidR="00B15F10" w:rsidRPr="00165A16">
        <w:t xml:space="preserve">2025 </w:t>
      </w:r>
      <w:r w:rsidRPr="00165A16">
        <w:t xml:space="preserve">by </w:t>
      </w:r>
      <w:r w:rsidR="00ED4008" w:rsidRPr="00165A16">
        <w:t>Health New Zealand</w:t>
      </w:r>
      <w:r w:rsidR="00EE5E59" w:rsidRPr="00165A16">
        <w:t xml:space="preserve"> | Te Whatu Ora</w:t>
      </w:r>
      <w:r w:rsidRPr="00165A16">
        <w:br/>
        <w:t xml:space="preserve">PO Box </w:t>
      </w:r>
      <w:r w:rsidR="00F10DE1" w:rsidRPr="00165A16">
        <w:t>793</w:t>
      </w:r>
      <w:r w:rsidRPr="00165A16">
        <w:t>, Wellington 6140, New Zealand</w:t>
      </w:r>
    </w:p>
    <w:p w14:paraId="3EBAA1C6" w14:textId="21922505" w:rsidR="004C2E5B" w:rsidRPr="00653A18" w:rsidRDefault="004C2E5B" w:rsidP="004C2E5B">
      <w:r w:rsidRPr="004C2346">
        <w:t xml:space="preserve">ISBN </w:t>
      </w:r>
      <w:r w:rsidR="004C2346" w:rsidRPr="004C2346">
        <w:t xml:space="preserve">978-1-991139-45-0 </w:t>
      </w:r>
      <w:r w:rsidRPr="004C2346">
        <w:t>(online)</w:t>
      </w:r>
    </w:p>
    <w:p w14:paraId="18DD0877" w14:textId="77777777" w:rsidR="00B75F7F" w:rsidRPr="00653A18" w:rsidRDefault="00EE5E59" w:rsidP="004C2E5B">
      <w:r w:rsidRPr="00653A18">
        <w:rPr>
          <w:noProof/>
          <w:lang w:eastAsia="en-NZ"/>
        </w:rPr>
        <w:drawing>
          <wp:inline distT="0" distB="0" distL="0" distR="0" wp14:anchorId="02F74C92" wp14:editId="64413EC0">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729A8768" w14:textId="6B6B2820" w:rsidR="00B75F7F" w:rsidRPr="00653A18" w:rsidRDefault="00B75F7F" w:rsidP="00C033FA">
      <w:r w:rsidRPr="00653A18">
        <w:t>This document is available at</w:t>
      </w:r>
      <w:r w:rsidR="00ED4008" w:rsidRPr="00653A18">
        <w:t xml:space="preserve"> </w:t>
      </w:r>
      <w:hyperlink r:id="rId10" w:history="1">
        <w:r w:rsidR="00ED4008" w:rsidRPr="00653A18">
          <w:rPr>
            <w:rStyle w:val="Hyperlink"/>
            <w:bCs/>
          </w:rPr>
          <w:t>tewhatuora.govt.nz</w:t>
        </w:r>
      </w:hyperlink>
      <w:r w:rsidRPr="00653A1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rsidRPr="00653A18" w14:paraId="6914081E" w14:textId="77777777" w:rsidTr="00B75F7F">
        <w:tc>
          <w:tcPr>
            <w:tcW w:w="1696" w:type="dxa"/>
            <w:vAlign w:val="center"/>
          </w:tcPr>
          <w:p w14:paraId="2D499A3E" w14:textId="08EF5375" w:rsidR="00B75F7F" w:rsidRPr="00653A18" w:rsidRDefault="00B15F10" w:rsidP="00B75F7F">
            <w:r w:rsidRPr="00653A18">
              <w:rPr>
                <w:rFonts w:cs="Segoe UI"/>
                <w:b/>
                <w:noProof/>
                <w:sz w:val="15"/>
                <w:szCs w:val="15"/>
                <w:lang w:eastAsia="en-NZ"/>
              </w:rPr>
              <w:drawing>
                <wp:anchor distT="0" distB="0" distL="114300" distR="114300" simplePos="0" relativeHeight="251658245" behindDoc="1" locked="0" layoutInCell="1" allowOverlap="1" wp14:anchorId="3611310E" wp14:editId="3BE929FE">
                  <wp:simplePos x="0" y="0"/>
                  <wp:positionH relativeFrom="column">
                    <wp:posOffset>92710</wp:posOffset>
                  </wp:positionH>
                  <wp:positionV relativeFrom="paragraph">
                    <wp:posOffset>-1373505</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7BAF00EE" w14:textId="77777777" w:rsidR="00B75F7F" w:rsidRPr="00653A18" w:rsidRDefault="00B75F7F" w:rsidP="00B75F7F">
            <w:r w:rsidRPr="00653A18">
              <w:t xml:space="preserve">This work is licensed under the Creative Commons Attribution 4.0 International licence. In essence, you are free to: share </w:t>
            </w:r>
            <w:r w:rsidR="00841B11" w:rsidRPr="00653A18">
              <w:t>i.e.</w:t>
            </w:r>
            <w:r w:rsidRPr="00653A18">
              <w:t xml:space="preserve">, copy and redistribute the material in any medium or format; adapt </w:t>
            </w:r>
            <w:r w:rsidR="00841B11" w:rsidRPr="00653A18">
              <w:t>i.e.</w:t>
            </w:r>
            <w:r w:rsidRPr="00653A18">
              <w:t>, remix, transform and build upon the material. You must give appropriate credit, provide a link to the licence and indicate if changes were made.</w:t>
            </w:r>
          </w:p>
          <w:p w14:paraId="03C3A473" w14:textId="77777777" w:rsidR="00A637A6" w:rsidRPr="00653A18" w:rsidRDefault="00A637A6" w:rsidP="00B75F7F"/>
          <w:p w14:paraId="0388782B" w14:textId="77777777" w:rsidR="00A637A6" w:rsidRPr="00653A18" w:rsidRDefault="00A637A6" w:rsidP="00B75F7F"/>
          <w:p w14:paraId="2576B96D" w14:textId="77777777" w:rsidR="00A637A6" w:rsidRPr="00653A18" w:rsidRDefault="00A637A6" w:rsidP="00B75F7F"/>
          <w:p w14:paraId="3B3A1B27" w14:textId="77777777" w:rsidR="00A637A6" w:rsidRPr="00653A18" w:rsidRDefault="00A637A6" w:rsidP="00B75F7F"/>
          <w:p w14:paraId="3F308607" w14:textId="77777777" w:rsidR="00A637A6" w:rsidRPr="00653A18" w:rsidRDefault="00A637A6" w:rsidP="00B75F7F"/>
          <w:p w14:paraId="439292BC" w14:textId="77777777" w:rsidR="00A637A6" w:rsidRPr="00653A18" w:rsidRDefault="00A637A6" w:rsidP="00B75F7F"/>
        </w:tc>
      </w:tr>
    </w:tbl>
    <w:p w14:paraId="40884E3A" w14:textId="77777777" w:rsidR="006E1AF8" w:rsidRPr="00653A18" w:rsidRDefault="006E1AF8" w:rsidP="006E1AF8">
      <w:pPr>
        <w:spacing w:before="0" w:after="160" w:line="259" w:lineRule="auto"/>
      </w:pPr>
    </w:p>
    <w:p w14:paraId="482DCD0E" w14:textId="77777777" w:rsidR="006E1AF8" w:rsidRPr="00653A18" w:rsidRDefault="006E1AF8">
      <w:pPr>
        <w:spacing w:before="0" w:after="160" w:line="259" w:lineRule="auto"/>
      </w:pPr>
      <w:r w:rsidRPr="00653A18">
        <w:br w:type="page"/>
      </w:r>
    </w:p>
    <w:p w14:paraId="20205E97" w14:textId="76CD6C48" w:rsidR="006E1AF8" w:rsidRPr="00DE7A49" w:rsidRDefault="00B7693D" w:rsidP="006E1AF8">
      <w:pPr>
        <w:pStyle w:val="Heading1"/>
      </w:pPr>
      <w:bookmarkStart w:id="1" w:name="_Toc204940749"/>
      <w:r>
        <w:rPr>
          <w:noProof/>
        </w:rPr>
        <w:lastRenderedPageBreak/>
        <w:drawing>
          <wp:anchor distT="0" distB="0" distL="114300" distR="114300" simplePos="0" relativeHeight="251658240" behindDoc="1" locked="0" layoutInCell="1" allowOverlap="1" wp14:anchorId="12AEB7FA" wp14:editId="40833216">
            <wp:simplePos x="0" y="0"/>
            <wp:positionH relativeFrom="margin">
              <wp:posOffset>4026535</wp:posOffset>
            </wp:positionH>
            <wp:positionV relativeFrom="paragraph">
              <wp:posOffset>407035</wp:posOffset>
            </wp:positionV>
            <wp:extent cx="1892935" cy="2161540"/>
            <wp:effectExtent l="0" t="0" r="0" b="0"/>
            <wp:wrapSquare wrapText="bothSides"/>
            <wp:docPr id="468217935" name="Picture 1502884066" descr="Jason Power, Acting National Director - Planning, Funding and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17935" name="Picture 1502884066" descr="Jason Power, Acting National Director - Planning, Funding and Outcomes"/>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92935" cy="2161540"/>
                    </a:xfrm>
                    <a:prstGeom prst="ellipse">
                      <a:avLst/>
                    </a:prstGeom>
                  </pic:spPr>
                </pic:pic>
              </a:graphicData>
            </a:graphic>
            <wp14:sizeRelH relativeFrom="page">
              <wp14:pctWidth>0</wp14:pctWidth>
            </wp14:sizeRelH>
            <wp14:sizeRelV relativeFrom="page">
              <wp14:pctHeight>0</wp14:pctHeight>
            </wp14:sizeRelV>
          </wp:anchor>
        </w:drawing>
      </w:r>
      <w:r w:rsidR="006E1AF8">
        <w:t>Foreword</w:t>
      </w:r>
      <w:bookmarkEnd w:id="1"/>
    </w:p>
    <w:p w14:paraId="7F62D9F4" w14:textId="0ACFA46F" w:rsidR="00681F61" w:rsidRDefault="00681F61" w:rsidP="002A90E8">
      <w:r>
        <w:t xml:space="preserve">Environmental sustainability and responding to climate change are very important to Health New Zealand | Te Whatu Ora (Health NZ). As an organisation </w:t>
      </w:r>
      <w:r w:rsidR="002213F6">
        <w:t>that</w:t>
      </w:r>
      <w:r>
        <w:t xml:space="preserve"> supports health and wellbeing, we recognise our pivotal role in addressing the impacts of climate change on health. Climate change is widely acknowledged as the greatest threat to human health and wellbeing, threatening the fundamentals of good health – clean air, safe drinking water, nutritious and secure food supply and safe shelter. In New Zealand we have seen already the impacts of weather events on people’s health and wellbeing becoming more frequent, highlighting the urgency and need for our leadership to play our part on emissions reduction.</w:t>
      </w:r>
    </w:p>
    <w:p w14:paraId="0E507428" w14:textId="736FDBF4" w:rsidR="00681F61" w:rsidRDefault="00681F61" w:rsidP="00681F61">
      <w:r>
        <w:t xml:space="preserve">The public health system is one of the Government’s largest </w:t>
      </w:r>
      <w:r w:rsidR="002D292B">
        <w:t>contributors</w:t>
      </w:r>
      <w:r>
        <w:t xml:space="preserve"> to emissions.  We know that reducing emissions can support health, through reducing environmental impacts and air pollution. We understand the importance of continuing to drive health promotion and illness prevention to support keeping New Zealanders happy and healthy. </w:t>
      </w:r>
      <w:r w:rsidR="00EA01D1">
        <w:t xml:space="preserve">As part of our </w:t>
      </w:r>
      <w:r w:rsidR="00B83672">
        <w:t xml:space="preserve">focus on achieving </w:t>
      </w:r>
      <w:r w:rsidR="00D60E57">
        <w:t xml:space="preserve">health </w:t>
      </w:r>
      <w:r w:rsidR="00295CFB">
        <w:t xml:space="preserve">and mental health </w:t>
      </w:r>
      <w:r w:rsidR="00D60E57">
        <w:t xml:space="preserve">targets </w:t>
      </w:r>
      <w:r w:rsidR="0053295D">
        <w:t>w</w:t>
      </w:r>
      <w:r>
        <w:t xml:space="preserve">e </w:t>
      </w:r>
      <w:r w:rsidR="00CC3782">
        <w:t xml:space="preserve">will </w:t>
      </w:r>
      <w:r>
        <w:t xml:space="preserve">continue </w:t>
      </w:r>
      <w:r w:rsidR="002235BA">
        <w:t>to</w:t>
      </w:r>
      <w:r>
        <w:t xml:space="preserve"> look to leverage opportunities to improve patient experience and comfort through a lens of emissions reduction. And we recognise the importance of aligning emissions reduction opportunities with cost savings and maximising the opportunity to replace aging assets and plant with energy and cost</w:t>
      </w:r>
      <w:r w:rsidR="00323B65">
        <w:t>-</w:t>
      </w:r>
      <w:r>
        <w:t xml:space="preserve">efficient solutions. </w:t>
      </w:r>
    </w:p>
    <w:p w14:paraId="3F84E897" w14:textId="446B672E" w:rsidR="00681F61" w:rsidRDefault="00681F61" w:rsidP="00681F61">
      <w:r>
        <w:t xml:space="preserve">This Emissions Reduction Plan celebrates the momentum we have already achieved, a 14% reduction of total measured emissions within a single year. Maintaining this progress is going to require consistent and persistent effort, but </w:t>
      </w:r>
      <w:r w:rsidR="009350BC">
        <w:t>our</w:t>
      </w:r>
      <w:r w:rsidR="00DA683F">
        <w:t xml:space="preserve"> </w:t>
      </w:r>
      <w:r>
        <w:t xml:space="preserve">dedicated and passionate kaimahi have and will continue to drive progress. Their efforts have been instrumental in achieving these gains and </w:t>
      </w:r>
      <w:r w:rsidR="0098018B">
        <w:t xml:space="preserve">I </w:t>
      </w:r>
      <w:r>
        <w:t xml:space="preserve">acknowledge and thank you all for your efforts. </w:t>
      </w:r>
    </w:p>
    <w:p w14:paraId="68DBBC53" w14:textId="04ADF4C9" w:rsidR="00681F61" w:rsidRDefault="00681F61" w:rsidP="00681F61">
      <w:r>
        <w:t>The opportunity we have to continue to reduce emissions is clear through the reduction pathway in this plan. And I am excited to see its implementation and the gains for health, patients, staff and the environment.</w:t>
      </w:r>
    </w:p>
    <w:p w14:paraId="2832C337" w14:textId="2350CEB4" w:rsidR="00DE7A49" w:rsidRPr="00DE7A49" w:rsidRDefault="004502D9">
      <w:pPr>
        <w:spacing w:before="0" w:after="160" w:line="259" w:lineRule="auto"/>
        <w:rPr>
          <w:b/>
          <w:bCs/>
        </w:rPr>
      </w:pPr>
      <w:r>
        <w:rPr>
          <w:b/>
          <w:bCs/>
        </w:rPr>
        <w:t>Jason Power</w:t>
      </w:r>
    </w:p>
    <w:p w14:paraId="5124A6E8" w14:textId="6A649224" w:rsidR="00CC0322" w:rsidRPr="00CC0322" w:rsidRDefault="00CC0322" w:rsidP="00CC0322">
      <w:pPr>
        <w:spacing w:before="0" w:after="160" w:line="259" w:lineRule="auto"/>
        <w:rPr>
          <w:b/>
          <w:bCs/>
        </w:rPr>
      </w:pPr>
      <w:r w:rsidRPr="00CC0322">
        <w:rPr>
          <w:b/>
          <w:bCs/>
          <w:lang w:val="en-US"/>
        </w:rPr>
        <w:t>Acting National Director</w:t>
      </w:r>
      <w:r w:rsidRPr="00CC0322">
        <w:rPr>
          <w:b/>
          <w:bCs/>
        </w:rPr>
        <w:t> </w:t>
      </w:r>
      <w:r w:rsidR="00A516C8">
        <w:rPr>
          <w:b/>
          <w:bCs/>
        </w:rPr>
        <w:t xml:space="preserve">- </w:t>
      </w:r>
      <w:r w:rsidRPr="00CC0322">
        <w:rPr>
          <w:b/>
          <w:bCs/>
          <w:lang w:val="en-US"/>
        </w:rPr>
        <w:t>Planning, Funding and Outcomes</w:t>
      </w:r>
    </w:p>
    <w:p w14:paraId="78D4A26A" w14:textId="291DEE46" w:rsidR="006E1AF8" w:rsidRPr="00653A18" w:rsidRDefault="006E1AF8">
      <w:pPr>
        <w:spacing w:before="0" w:after="160" w:line="259" w:lineRule="auto"/>
      </w:pPr>
      <w:r w:rsidRPr="00653A18">
        <w:br w:type="page"/>
      </w:r>
    </w:p>
    <w:p w14:paraId="1067BB24" w14:textId="77777777" w:rsidR="00DF19E5" w:rsidRPr="00653A18" w:rsidRDefault="00DF19E5" w:rsidP="00DF19E5">
      <w:pPr>
        <w:pStyle w:val="Heading1"/>
      </w:pPr>
      <w:bookmarkStart w:id="2" w:name="_Toc204940750"/>
      <w:r w:rsidRPr="00653A18">
        <w:lastRenderedPageBreak/>
        <w:t>Contents</w:t>
      </w:r>
      <w:bookmarkEnd w:id="2"/>
    </w:p>
    <w:p w14:paraId="078DACD5" w14:textId="6F20D8F5" w:rsidR="00890290" w:rsidRDefault="00DF19E5">
      <w:pPr>
        <w:pStyle w:val="TOC1"/>
        <w:rPr>
          <w:rFonts w:eastAsiaTheme="minorEastAsia"/>
          <w:b w:val="0"/>
          <w:noProof/>
          <w:kern w:val="2"/>
          <w:szCs w:val="24"/>
          <w:lang w:eastAsia="en-NZ"/>
          <w14:ligatures w14:val="standardContextual"/>
        </w:rPr>
      </w:pPr>
      <w:r w:rsidRPr="00653A18">
        <w:fldChar w:fldCharType="begin"/>
      </w:r>
      <w:r w:rsidRPr="00653A18">
        <w:instrText xml:space="preserve"> TOC \o "1-3" \h \z \u </w:instrText>
      </w:r>
      <w:r w:rsidRPr="00653A18">
        <w:fldChar w:fldCharType="separate"/>
      </w:r>
      <w:hyperlink w:anchor="_Toc204940749" w:history="1">
        <w:r w:rsidR="00890290" w:rsidRPr="00E03A4E">
          <w:rPr>
            <w:rStyle w:val="Hyperlink"/>
            <w:noProof/>
          </w:rPr>
          <w:t>Foreword</w:t>
        </w:r>
        <w:r w:rsidR="00890290">
          <w:rPr>
            <w:noProof/>
            <w:webHidden/>
          </w:rPr>
          <w:tab/>
        </w:r>
        <w:r w:rsidR="00890290">
          <w:rPr>
            <w:noProof/>
            <w:webHidden/>
          </w:rPr>
          <w:fldChar w:fldCharType="begin"/>
        </w:r>
        <w:r w:rsidR="00890290">
          <w:rPr>
            <w:noProof/>
            <w:webHidden/>
          </w:rPr>
          <w:instrText xml:space="preserve"> PAGEREF _Toc204940749 \h </w:instrText>
        </w:r>
        <w:r w:rsidR="00890290">
          <w:rPr>
            <w:noProof/>
            <w:webHidden/>
          </w:rPr>
        </w:r>
        <w:r w:rsidR="00890290">
          <w:rPr>
            <w:noProof/>
            <w:webHidden/>
          </w:rPr>
          <w:fldChar w:fldCharType="separate"/>
        </w:r>
        <w:r w:rsidR="008B20C4">
          <w:rPr>
            <w:noProof/>
            <w:webHidden/>
          </w:rPr>
          <w:t>3</w:t>
        </w:r>
        <w:r w:rsidR="00890290">
          <w:rPr>
            <w:noProof/>
            <w:webHidden/>
          </w:rPr>
          <w:fldChar w:fldCharType="end"/>
        </w:r>
      </w:hyperlink>
    </w:p>
    <w:p w14:paraId="612C1E00" w14:textId="76D9FADA" w:rsidR="00890290" w:rsidRDefault="00890290">
      <w:pPr>
        <w:pStyle w:val="TOC1"/>
        <w:rPr>
          <w:rFonts w:eastAsiaTheme="minorEastAsia"/>
          <w:b w:val="0"/>
          <w:noProof/>
          <w:kern w:val="2"/>
          <w:szCs w:val="24"/>
          <w:lang w:eastAsia="en-NZ"/>
          <w14:ligatures w14:val="standardContextual"/>
        </w:rPr>
      </w:pPr>
      <w:hyperlink w:anchor="_Toc204940750" w:history="1">
        <w:r w:rsidRPr="00E03A4E">
          <w:rPr>
            <w:rStyle w:val="Hyperlink"/>
            <w:noProof/>
          </w:rPr>
          <w:t>Contents</w:t>
        </w:r>
        <w:r>
          <w:rPr>
            <w:noProof/>
            <w:webHidden/>
          </w:rPr>
          <w:tab/>
        </w:r>
        <w:r>
          <w:rPr>
            <w:noProof/>
            <w:webHidden/>
          </w:rPr>
          <w:fldChar w:fldCharType="begin"/>
        </w:r>
        <w:r>
          <w:rPr>
            <w:noProof/>
            <w:webHidden/>
          </w:rPr>
          <w:instrText xml:space="preserve"> PAGEREF _Toc204940750 \h </w:instrText>
        </w:r>
        <w:r>
          <w:rPr>
            <w:noProof/>
            <w:webHidden/>
          </w:rPr>
        </w:r>
        <w:r>
          <w:rPr>
            <w:noProof/>
            <w:webHidden/>
          </w:rPr>
          <w:fldChar w:fldCharType="separate"/>
        </w:r>
        <w:r w:rsidR="008B20C4">
          <w:rPr>
            <w:noProof/>
            <w:webHidden/>
          </w:rPr>
          <w:t>4</w:t>
        </w:r>
        <w:r>
          <w:rPr>
            <w:noProof/>
            <w:webHidden/>
          </w:rPr>
          <w:fldChar w:fldCharType="end"/>
        </w:r>
      </w:hyperlink>
    </w:p>
    <w:p w14:paraId="7487CFCC" w14:textId="05C40FB4" w:rsidR="00890290" w:rsidRDefault="00890290">
      <w:pPr>
        <w:pStyle w:val="TOC3"/>
        <w:tabs>
          <w:tab w:val="right" w:leader="dot" w:pos="9628"/>
        </w:tabs>
        <w:rPr>
          <w:rFonts w:eastAsiaTheme="minorEastAsia"/>
          <w:noProof/>
          <w:kern w:val="2"/>
          <w:szCs w:val="24"/>
          <w:lang w:eastAsia="en-NZ"/>
          <w14:ligatures w14:val="standardContextual"/>
        </w:rPr>
      </w:pPr>
      <w:hyperlink w:anchor="_Toc204940751" w:history="1">
        <w:r w:rsidRPr="00E03A4E">
          <w:rPr>
            <w:rStyle w:val="Hyperlink"/>
            <w:noProof/>
          </w:rPr>
          <w:t>Table of tables</w:t>
        </w:r>
        <w:r>
          <w:rPr>
            <w:noProof/>
            <w:webHidden/>
          </w:rPr>
          <w:tab/>
        </w:r>
        <w:r>
          <w:rPr>
            <w:noProof/>
            <w:webHidden/>
          </w:rPr>
          <w:fldChar w:fldCharType="begin"/>
        </w:r>
        <w:r>
          <w:rPr>
            <w:noProof/>
            <w:webHidden/>
          </w:rPr>
          <w:instrText xml:space="preserve"> PAGEREF _Toc204940751 \h </w:instrText>
        </w:r>
        <w:r>
          <w:rPr>
            <w:noProof/>
            <w:webHidden/>
          </w:rPr>
        </w:r>
        <w:r>
          <w:rPr>
            <w:noProof/>
            <w:webHidden/>
          </w:rPr>
          <w:fldChar w:fldCharType="separate"/>
        </w:r>
        <w:r w:rsidR="008B20C4">
          <w:rPr>
            <w:noProof/>
            <w:webHidden/>
          </w:rPr>
          <w:t>6</w:t>
        </w:r>
        <w:r>
          <w:rPr>
            <w:noProof/>
            <w:webHidden/>
          </w:rPr>
          <w:fldChar w:fldCharType="end"/>
        </w:r>
      </w:hyperlink>
    </w:p>
    <w:p w14:paraId="193BB13C" w14:textId="536FF5D4" w:rsidR="00890290" w:rsidRDefault="00890290">
      <w:pPr>
        <w:pStyle w:val="TOC3"/>
        <w:tabs>
          <w:tab w:val="right" w:leader="dot" w:pos="9628"/>
        </w:tabs>
        <w:rPr>
          <w:rFonts w:eastAsiaTheme="minorEastAsia"/>
          <w:noProof/>
          <w:kern w:val="2"/>
          <w:szCs w:val="24"/>
          <w:lang w:eastAsia="en-NZ"/>
          <w14:ligatures w14:val="standardContextual"/>
        </w:rPr>
      </w:pPr>
      <w:hyperlink w:anchor="_Toc204940752" w:history="1">
        <w:r w:rsidRPr="00E03A4E">
          <w:rPr>
            <w:rStyle w:val="Hyperlink"/>
            <w:noProof/>
          </w:rPr>
          <w:t>Table of figures</w:t>
        </w:r>
        <w:r>
          <w:rPr>
            <w:noProof/>
            <w:webHidden/>
          </w:rPr>
          <w:tab/>
        </w:r>
        <w:r>
          <w:rPr>
            <w:noProof/>
            <w:webHidden/>
          </w:rPr>
          <w:fldChar w:fldCharType="begin"/>
        </w:r>
        <w:r>
          <w:rPr>
            <w:noProof/>
            <w:webHidden/>
          </w:rPr>
          <w:instrText xml:space="preserve"> PAGEREF _Toc204940752 \h </w:instrText>
        </w:r>
        <w:r>
          <w:rPr>
            <w:noProof/>
            <w:webHidden/>
          </w:rPr>
        </w:r>
        <w:r>
          <w:rPr>
            <w:noProof/>
            <w:webHidden/>
          </w:rPr>
          <w:fldChar w:fldCharType="separate"/>
        </w:r>
        <w:r w:rsidR="008B20C4">
          <w:rPr>
            <w:noProof/>
            <w:webHidden/>
          </w:rPr>
          <w:t>6</w:t>
        </w:r>
        <w:r>
          <w:rPr>
            <w:noProof/>
            <w:webHidden/>
          </w:rPr>
          <w:fldChar w:fldCharType="end"/>
        </w:r>
      </w:hyperlink>
    </w:p>
    <w:p w14:paraId="220B0279" w14:textId="1020C06A" w:rsidR="00890290" w:rsidRDefault="00890290">
      <w:pPr>
        <w:pStyle w:val="TOC3"/>
        <w:tabs>
          <w:tab w:val="right" w:leader="dot" w:pos="9628"/>
        </w:tabs>
        <w:rPr>
          <w:rFonts w:eastAsiaTheme="minorEastAsia"/>
          <w:noProof/>
          <w:kern w:val="2"/>
          <w:szCs w:val="24"/>
          <w:lang w:eastAsia="en-NZ"/>
          <w14:ligatures w14:val="standardContextual"/>
        </w:rPr>
      </w:pPr>
      <w:hyperlink w:anchor="_Toc204940753" w:history="1">
        <w:r w:rsidRPr="00E03A4E">
          <w:rPr>
            <w:rStyle w:val="Hyperlink"/>
            <w:noProof/>
          </w:rPr>
          <w:t>Glossary</w:t>
        </w:r>
        <w:r>
          <w:rPr>
            <w:noProof/>
            <w:webHidden/>
          </w:rPr>
          <w:tab/>
        </w:r>
        <w:r>
          <w:rPr>
            <w:noProof/>
            <w:webHidden/>
          </w:rPr>
          <w:fldChar w:fldCharType="begin"/>
        </w:r>
        <w:r>
          <w:rPr>
            <w:noProof/>
            <w:webHidden/>
          </w:rPr>
          <w:instrText xml:space="preserve"> PAGEREF _Toc204940753 \h </w:instrText>
        </w:r>
        <w:r>
          <w:rPr>
            <w:noProof/>
            <w:webHidden/>
          </w:rPr>
        </w:r>
        <w:r>
          <w:rPr>
            <w:noProof/>
            <w:webHidden/>
          </w:rPr>
          <w:fldChar w:fldCharType="separate"/>
        </w:r>
        <w:r w:rsidR="008B20C4">
          <w:rPr>
            <w:noProof/>
            <w:webHidden/>
          </w:rPr>
          <w:t>7</w:t>
        </w:r>
        <w:r>
          <w:rPr>
            <w:noProof/>
            <w:webHidden/>
          </w:rPr>
          <w:fldChar w:fldCharType="end"/>
        </w:r>
      </w:hyperlink>
    </w:p>
    <w:p w14:paraId="1B6A8DDD" w14:textId="4B0C8C00" w:rsidR="00890290" w:rsidRDefault="00890290">
      <w:pPr>
        <w:pStyle w:val="TOC1"/>
        <w:rPr>
          <w:rFonts w:eastAsiaTheme="minorEastAsia"/>
          <w:b w:val="0"/>
          <w:noProof/>
          <w:kern w:val="2"/>
          <w:szCs w:val="24"/>
          <w:lang w:eastAsia="en-NZ"/>
          <w14:ligatures w14:val="standardContextual"/>
        </w:rPr>
      </w:pPr>
      <w:hyperlink w:anchor="_Toc204940754" w:history="1">
        <w:r w:rsidRPr="00E03A4E">
          <w:rPr>
            <w:rStyle w:val="Hyperlink"/>
            <w:noProof/>
          </w:rPr>
          <w:t>Executive summary</w:t>
        </w:r>
        <w:r>
          <w:rPr>
            <w:noProof/>
            <w:webHidden/>
          </w:rPr>
          <w:tab/>
        </w:r>
        <w:r>
          <w:rPr>
            <w:noProof/>
            <w:webHidden/>
          </w:rPr>
          <w:fldChar w:fldCharType="begin"/>
        </w:r>
        <w:r>
          <w:rPr>
            <w:noProof/>
            <w:webHidden/>
          </w:rPr>
          <w:instrText xml:space="preserve"> PAGEREF _Toc204940754 \h </w:instrText>
        </w:r>
        <w:r>
          <w:rPr>
            <w:noProof/>
            <w:webHidden/>
          </w:rPr>
        </w:r>
        <w:r>
          <w:rPr>
            <w:noProof/>
            <w:webHidden/>
          </w:rPr>
          <w:fldChar w:fldCharType="separate"/>
        </w:r>
        <w:r w:rsidR="008B20C4">
          <w:rPr>
            <w:noProof/>
            <w:webHidden/>
          </w:rPr>
          <w:t>10</w:t>
        </w:r>
        <w:r>
          <w:rPr>
            <w:noProof/>
            <w:webHidden/>
          </w:rPr>
          <w:fldChar w:fldCharType="end"/>
        </w:r>
      </w:hyperlink>
    </w:p>
    <w:p w14:paraId="61D109B6" w14:textId="7E268989" w:rsidR="00890290" w:rsidRDefault="00890290">
      <w:pPr>
        <w:pStyle w:val="TOC1"/>
        <w:rPr>
          <w:rFonts w:eastAsiaTheme="minorEastAsia"/>
          <w:b w:val="0"/>
          <w:noProof/>
          <w:kern w:val="2"/>
          <w:szCs w:val="24"/>
          <w:lang w:eastAsia="en-NZ"/>
          <w14:ligatures w14:val="standardContextual"/>
        </w:rPr>
      </w:pPr>
      <w:hyperlink w:anchor="_Toc204940755" w:history="1">
        <w:r w:rsidRPr="00E03A4E">
          <w:rPr>
            <w:rStyle w:val="Hyperlink"/>
            <w:noProof/>
          </w:rPr>
          <w:t>Related reports</w:t>
        </w:r>
        <w:r>
          <w:rPr>
            <w:noProof/>
            <w:webHidden/>
          </w:rPr>
          <w:tab/>
        </w:r>
        <w:r>
          <w:rPr>
            <w:noProof/>
            <w:webHidden/>
          </w:rPr>
          <w:fldChar w:fldCharType="begin"/>
        </w:r>
        <w:r>
          <w:rPr>
            <w:noProof/>
            <w:webHidden/>
          </w:rPr>
          <w:instrText xml:space="preserve"> PAGEREF _Toc204940755 \h </w:instrText>
        </w:r>
        <w:r>
          <w:rPr>
            <w:noProof/>
            <w:webHidden/>
          </w:rPr>
        </w:r>
        <w:r>
          <w:rPr>
            <w:noProof/>
            <w:webHidden/>
          </w:rPr>
          <w:fldChar w:fldCharType="separate"/>
        </w:r>
        <w:r w:rsidR="008B20C4">
          <w:rPr>
            <w:noProof/>
            <w:webHidden/>
          </w:rPr>
          <w:t>12</w:t>
        </w:r>
        <w:r>
          <w:rPr>
            <w:noProof/>
            <w:webHidden/>
          </w:rPr>
          <w:fldChar w:fldCharType="end"/>
        </w:r>
      </w:hyperlink>
    </w:p>
    <w:p w14:paraId="2B6E6E53" w14:textId="29014510" w:rsidR="00890290" w:rsidRDefault="00890290">
      <w:pPr>
        <w:pStyle w:val="TOC1"/>
        <w:rPr>
          <w:rFonts w:eastAsiaTheme="minorEastAsia"/>
          <w:b w:val="0"/>
          <w:noProof/>
          <w:kern w:val="2"/>
          <w:szCs w:val="24"/>
          <w:lang w:eastAsia="en-NZ"/>
          <w14:ligatures w14:val="standardContextual"/>
        </w:rPr>
      </w:pPr>
      <w:hyperlink w:anchor="_Toc204940756" w:history="1">
        <w:r w:rsidRPr="00E03A4E">
          <w:rPr>
            <w:rStyle w:val="Hyperlink"/>
            <w:noProof/>
          </w:rPr>
          <w:t>Introduction</w:t>
        </w:r>
        <w:r>
          <w:rPr>
            <w:noProof/>
            <w:webHidden/>
          </w:rPr>
          <w:tab/>
        </w:r>
        <w:r>
          <w:rPr>
            <w:noProof/>
            <w:webHidden/>
          </w:rPr>
          <w:fldChar w:fldCharType="begin"/>
        </w:r>
        <w:r>
          <w:rPr>
            <w:noProof/>
            <w:webHidden/>
          </w:rPr>
          <w:instrText xml:space="preserve"> PAGEREF _Toc204940756 \h </w:instrText>
        </w:r>
        <w:r>
          <w:rPr>
            <w:noProof/>
            <w:webHidden/>
          </w:rPr>
        </w:r>
        <w:r>
          <w:rPr>
            <w:noProof/>
            <w:webHidden/>
          </w:rPr>
          <w:fldChar w:fldCharType="separate"/>
        </w:r>
        <w:r w:rsidR="008B20C4">
          <w:rPr>
            <w:noProof/>
            <w:webHidden/>
          </w:rPr>
          <w:t>14</w:t>
        </w:r>
        <w:r>
          <w:rPr>
            <w:noProof/>
            <w:webHidden/>
          </w:rPr>
          <w:fldChar w:fldCharType="end"/>
        </w:r>
      </w:hyperlink>
    </w:p>
    <w:p w14:paraId="468B2C83" w14:textId="4C8D2FC9" w:rsidR="00890290" w:rsidRDefault="00890290">
      <w:pPr>
        <w:pStyle w:val="TOC2"/>
        <w:tabs>
          <w:tab w:val="right" w:leader="dot" w:pos="9628"/>
        </w:tabs>
        <w:rPr>
          <w:rFonts w:eastAsiaTheme="minorEastAsia"/>
          <w:noProof/>
          <w:kern w:val="2"/>
          <w:szCs w:val="24"/>
          <w:lang w:eastAsia="en-NZ"/>
          <w14:ligatures w14:val="standardContextual"/>
        </w:rPr>
      </w:pPr>
      <w:hyperlink w:anchor="_Toc204940757" w:history="1">
        <w:r w:rsidRPr="00E03A4E">
          <w:rPr>
            <w:rStyle w:val="Hyperlink"/>
            <w:noProof/>
          </w:rPr>
          <w:t>Scope</w:t>
        </w:r>
        <w:r>
          <w:rPr>
            <w:noProof/>
            <w:webHidden/>
          </w:rPr>
          <w:tab/>
        </w:r>
        <w:r>
          <w:rPr>
            <w:noProof/>
            <w:webHidden/>
          </w:rPr>
          <w:fldChar w:fldCharType="begin"/>
        </w:r>
        <w:r>
          <w:rPr>
            <w:noProof/>
            <w:webHidden/>
          </w:rPr>
          <w:instrText xml:space="preserve"> PAGEREF _Toc204940757 \h </w:instrText>
        </w:r>
        <w:r>
          <w:rPr>
            <w:noProof/>
            <w:webHidden/>
          </w:rPr>
        </w:r>
        <w:r>
          <w:rPr>
            <w:noProof/>
            <w:webHidden/>
          </w:rPr>
          <w:fldChar w:fldCharType="separate"/>
        </w:r>
        <w:r w:rsidR="008B20C4">
          <w:rPr>
            <w:noProof/>
            <w:webHidden/>
          </w:rPr>
          <w:t>15</w:t>
        </w:r>
        <w:r>
          <w:rPr>
            <w:noProof/>
            <w:webHidden/>
          </w:rPr>
          <w:fldChar w:fldCharType="end"/>
        </w:r>
      </w:hyperlink>
    </w:p>
    <w:p w14:paraId="64376691" w14:textId="40B9B905" w:rsidR="00890290" w:rsidRDefault="00890290">
      <w:pPr>
        <w:pStyle w:val="TOC1"/>
        <w:rPr>
          <w:rFonts w:eastAsiaTheme="minorEastAsia"/>
          <w:b w:val="0"/>
          <w:noProof/>
          <w:kern w:val="2"/>
          <w:szCs w:val="24"/>
          <w:lang w:eastAsia="en-NZ"/>
          <w14:ligatures w14:val="standardContextual"/>
        </w:rPr>
      </w:pPr>
      <w:hyperlink w:anchor="_Toc204940758" w:history="1">
        <w:r w:rsidRPr="00E03A4E">
          <w:rPr>
            <w:rStyle w:val="Hyperlink"/>
            <w:noProof/>
          </w:rPr>
          <w:t>Targets</w:t>
        </w:r>
        <w:r>
          <w:rPr>
            <w:noProof/>
            <w:webHidden/>
          </w:rPr>
          <w:tab/>
        </w:r>
        <w:r>
          <w:rPr>
            <w:noProof/>
            <w:webHidden/>
          </w:rPr>
          <w:fldChar w:fldCharType="begin"/>
        </w:r>
        <w:r>
          <w:rPr>
            <w:noProof/>
            <w:webHidden/>
          </w:rPr>
          <w:instrText xml:space="preserve"> PAGEREF _Toc204940758 \h </w:instrText>
        </w:r>
        <w:r>
          <w:rPr>
            <w:noProof/>
            <w:webHidden/>
          </w:rPr>
        </w:r>
        <w:r>
          <w:rPr>
            <w:noProof/>
            <w:webHidden/>
          </w:rPr>
          <w:fldChar w:fldCharType="separate"/>
        </w:r>
        <w:r w:rsidR="008B20C4">
          <w:rPr>
            <w:noProof/>
            <w:webHidden/>
          </w:rPr>
          <w:t>16</w:t>
        </w:r>
        <w:r>
          <w:rPr>
            <w:noProof/>
            <w:webHidden/>
          </w:rPr>
          <w:fldChar w:fldCharType="end"/>
        </w:r>
      </w:hyperlink>
    </w:p>
    <w:p w14:paraId="3C66C5BB" w14:textId="68148D25" w:rsidR="00890290" w:rsidRDefault="00890290">
      <w:pPr>
        <w:pStyle w:val="TOC1"/>
        <w:rPr>
          <w:rFonts w:eastAsiaTheme="minorEastAsia"/>
          <w:b w:val="0"/>
          <w:noProof/>
          <w:kern w:val="2"/>
          <w:szCs w:val="24"/>
          <w:lang w:eastAsia="en-NZ"/>
          <w14:ligatures w14:val="standardContextual"/>
        </w:rPr>
      </w:pPr>
      <w:hyperlink w:anchor="_Toc204940759" w:history="1">
        <w:r w:rsidRPr="00E03A4E">
          <w:rPr>
            <w:rStyle w:val="Hyperlink"/>
            <w:noProof/>
          </w:rPr>
          <w:t>Health New Zealand’s baseline emissions</w:t>
        </w:r>
        <w:r>
          <w:rPr>
            <w:noProof/>
            <w:webHidden/>
          </w:rPr>
          <w:tab/>
        </w:r>
        <w:r>
          <w:rPr>
            <w:noProof/>
            <w:webHidden/>
          </w:rPr>
          <w:fldChar w:fldCharType="begin"/>
        </w:r>
        <w:r>
          <w:rPr>
            <w:noProof/>
            <w:webHidden/>
          </w:rPr>
          <w:instrText xml:space="preserve"> PAGEREF _Toc204940759 \h </w:instrText>
        </w:r>
        <w:r>
          <w:rPr>
            <w:noProof/>
            <w:webHidden/>
          </w:rPr>
        </w:r>
        <w:r>
          <w:rPr>
            <w:noProof/>
            <w:webHidden/>
          </w:rPr>
          <w:fldChar w:fldCharType="separate"/>
        </w:r>
        <w:r w:rsidR="008B20C4">
          <w:rPr>
            <w:noProof/>
            <w:webHidden/>
          </w:rPr>
          <w:t>17</w:t>
        </w:r>
        <w:r>
          <w:rPr>
            <w:noProof/>
            <w:webHidden/>
          </w:rPr>
          <w:fldChar w:fldCharType="end"/>
        </w:r>
      </w:hyperlink>
    </w:p>
    <w:p w14:paraId="4DBC76D7" w14:textId="44AC4E8F" w:rsidR="00890290" w:rsidRDefault="00890290">
      <w:pPr>
        <w:pStyle w:val="TOC2"/>
        <w:tabs>
          <w:tab w:val="right" w:leader="dot" w:pos="9628"/>
        </w:tabs>
        <w:rPr>
          <w:rFonts w:eastAsiaTheme="minorEastAsia"/>
          <w:noProof/>
          <w:kern w:val="2"/>
          <w:szCs w:val="24"/>
          <w:lang w:eastAsia="en-NZ"/>
          <w14:ligatures w14:val="standardContextual"/>
        </w:rPr>
      </w:pPr>
      <w:hyperlink w:anchor="_Toc204940760" w:history="1">
        <w:r w:rsidRPr="00E03A4E">
          <w:rPr>
            <w:rStyle w:val="Hyperlink"/>
            <w:noProof/>
          </w:rPr>
          <w:t>Emissions reduction progress to date</w:t>
        </w:r>
        <w:r>
          <w:rPr>
            <w:noProof/>
            <w:webHidden/>
          </w:rPr>
          <w:tab/>
        </w:r>
        <w:r>
          <w:rPr>
            <w:noProof/>
            <w:webHidden/>
          </w:rPr>
          <w:fldChar w:fldCharType="begin"/>
        </w:r>
        <w:r>
          <w:rPr>
            <w:noProof/>
            <w:webHidden/>
          </w:rPr>
          <w:instrText xml:space="preserve"> PAGEREF _Toc204940760 \h </w:instrText>
        </w:r>
        <w:r>
          <w:rPr>
            <w:noProof/>
            <w:webHidden/>
          </w:rPr>
        </w:r>
        <w:r>
          <w:rPr>
            <w:noProof/>
            <w:webHidden/>
          </w:rPr>
          <w:fldChar w:fldCharType="separate"/>
        </w:r>
        <w:r w:rsidR="008B20C4">
          <w:rPr>
            <w:noProof/>
            <w:webHidden/>
          </w:rPr>
          <w:t>20</w:t>
        </w:r>
        <w:r>
          <w:rPr>
            <w:noProof/>
            <w:webHidden/>
          </w:rPr>
          <w:fldChar w:fldCharType="end"/>
        </w:r>
      </w:hyperlink>
    </w:p>
    <w:p w14:paraId="52280320" w14:textId="5FF12116" w:rsidR="00890290" w:rsidRDefault="00890290">
      <w:pPr>
        <w:pStyle w:val="TOC3"/>
        <w:tabs>
          <w:tab w:val="right" w:leader="dot" w:pos="9628"/>
        </w:tabs>
        <w:rPr>
          <w:rFonts w:eastAsiaTheme="minorEastAsia"/>
          <w:noProof/>
          <w:kern w:val="2"/>
          <w:szCs w:val="24"/>
          <w:lang w:eastAsia="en-NZ"/>
          <w14:ligatures w14:val="standardContextual"/>
        </w:rPr>
      </w:pPr>
      <w:hyperlink w:anchor="_Toc204940761" w:history="1">
        <w:r w:rsidRPr="00E03A4E">
          <w:rPr>
            <w:rStyle w:val="Hyperlink"/>
            <w:noProof/>
          </w:rPr>
          <w:t>Progress before Health New Zealand</w:t>
        </w:r>
        <w:r>
          <w:rPr>
            <w:noProof/>
            <w:webHidden/>
          </w:rPr>
          <w:tab/>
        </w:r>
        <w:r>
          <w:rPr>
            <w:noProof/>
            <w:webHidden/>
          </w:rPr>
          <w:fldChar w:fldCharType="begin"/>
        </w:r>
        <w:r>
          <w:rPr>
            <w:noProof/>
            <w:webHidden/>
          </w:rPr>
          <w:instrText xml:space="preserve"> PAGEREF _Toc204940761 \h </w:instrText>
        </w:r>
        <w:r>
          <w:rPr>
            <w:noProof/>
            <w:webHidden/>
          </w:rPr>
        </w:r>
        <w:r>
          <w:rPr>
            <w:noProof/>
            <w:webHidden/>
          </w:rPr>
          <w:fldChar w:fldCharType="separate"/>
        </w:r>
        <w:r w:rsidR="008B20C4">
          <w:rPr>
            <w:noProof/>
            <w:webHidden/>
          </w:rPr>
          <w:t>21</w:t>
        </w:r>
        <w:r>
          <w:rPr>
            <w:noProof/>
            <w:webHidden/>
          </w:rPr>
          <w:fldChar w:fldCharType="end"/>
        </w:r>
      </w:hyperlink>
    </w:p>
    <w:p w14:paraId="640CC77A" w14:textId="53179EEC" w:rsidR="00890290" w:rsidRDefault="00890290">
      <w:pPr>
        <w:pStyle w:val="TOC1"/>
        <w:rPr>
          <w:rFonts w:eastAsiaTheme="minorEastAsia"/>
          <w:b w:val="0"/>
          <w:noProof/>
          <w:kern w:val="2"/>
          <w:szCs w:val="24"/>
          <w:lang w:eastAsia="en-NZ"/>
          <w14:ligatures w14:val="standardContextual"/>
        </w:rPr>
      </w:pPr>
      <w:hyperlink w:anchor="_Toc204940762" w:history="1">
        <w:r w:rsidRPr="00E03A4E">
          <w:rPr>
            <w:rStyle w:val="Hyperlink"/>
            <w:noProof/>
          </w:rPr>
          <w:t>Oversight</w:t>
        </w:r>
        <w:r>
          <w:rPr>
            <w:noProof/>
            <w:webHidden/>
          </w:rPr>
          <w:tab/>
        </w:r>
        <w:r>
          <w:rPr>
            <w:noProof/>
            <w:webHidden/>
          </w:rPr>
          <w:fldChar w:fldCharType="begin"/>
        </w:r>
        <w:r>
          <w:rPr>
            <w:noProof/>
            <w:webHidden/>
          </w:rPr>
          <w:instrText xml:space="preserve"> PAGEREF _Toc204940762 \h </w:instrText>
        </w:r>
        <w:r>
          <w:rPr>
            <w:noProof/>
            <w:webHidden/>
          </w:rPr>
        </w:r>
        <w:r>
          <w:rPr>
            <w:noProof/>
            <w:webHidden/>
          </w:rPr>
          <w:fldChar w:fldCharType="separate"/>
        </w:r>
        <w:r w:rsidR="008B20C4">
          <w:rPr>
            <w:noProof/>
            <w:webHidden/>
          </w:rPr>
          <w:t>23</w:t>
        </w:r>
        <w:r>
          <w:rPr>
            <w:noProof/>
            <w:webHidden/>
          </w:rPr>
          <w:fldChar w:fldCharType="end"/>
        </w:r>
      </w:hyperlink>
    </w:p>
    <w:p w14:paraId="594D7FE4" w14:textId="351E49C3" w:rsidR="00890290" w:rsidRDefault="00890290">
      <w:pPr>
        <w:pStyle w:val="TOC2"/>
        <w:tabs>
          <w:tab w:val="right" w:leader="dot" w:pos="9628"/>
        </w:tabs>
        <w:rPr>
          <w:rFonts w:eastAsiaTheme="minorEastAsia"/>
          <w:noProof/>
          <w:kern w:val="2"/>
          <w:szCs w:val="24"/>
          <w:lang w:eastAsia="en-NZ"/>
          <w14:ligatures w14:val="standardContextual"/>
        </w:rPr>
      </w:pPr>
      <w:hyperlink w:anchor="_Toc204940763" w:history="1">
        <w:r w:rsidRPr="00E03A4E">
          <w:rPr>
            <w:rStyle w:val="Hyperlink"/>
            <w:noProof/>
          </w:rPr>
          <w:t>Monitoring and reporting</w:t>
        </w:r>
        <w:r>
          <w:rPr>
            <w:noProof/>
            <w:webHidden/>
          </w:rPr>
          <w:tab/>
        </w:r>
        <w:r>
          <w:rPr>
            <w:noProof/>
            <w:webHidden/>
          </w:rPr>
          <w:fldChar w:fldCharType="begin"/>
        </w:r>
        <w:r>
          <w:rPr>
            <w:noProof/>
            <w:webHidden/>
          </w:rPr>
          <w:instrText xml:space="preserve"> PAGEREF _Toc204940763 \h </w:instrText>
        </w:r>
        <w:r>
          <w:rPr>
            <w:noProof/>
            <w:webHidden/>
          </w:rPr>
        </w:r>
        <w:r>
          <w:rPr>
            <w:noProof/>
            <w:webHidden/>
          </w:rPr>
          <w:fldChar w:fldCharType="separate"/>
        </w:r>
        <w:r w:rsidR="008B20C4">
          <w:rPr>
            <w:noProof/>
            <w:webHidden/>
          </w:rPr>
          <w:t>23</w:t>
        </w:r>
        <w:r>
          <w:rPr>
            <w:noProof/>
            <w:webHidden/>
          </w:rPr>
          <w:fldChar w:fldCharType="end"/>
        </w:r>
      </w:hyperlink>
    </w:p>
    <w:p w14:paraId="0D302F3D" w14:textId="3E970D97" w:rsidR="00890290" w:rsidRDefault="00890290">
      <w:pPr>
        <w:pStyle w:val="TOC1"/>
        <w:rPr>
          <w:rFonts w:eastAsiaTheme="minorEastAsia"/>
          <w:b w:val="0"/>
          <w:noProof/>
          <w:kern w:val="2"/>
          <w:szCs w:val="24"/>
          <w:lang w:eastAsia="en-NZ"/>
          <w14:ligatures w14:val="standardContextual"/>
        </w:rPr>
      </w:pPr>
      <w:hyperlink w:anchor="_Toc204940764" w:history="1">
        <w:r w:rsidRPr="00E03A4E">
          <w:rPr>
            <w:rStyle w:val="Hyperlink"/>
            <w:noProof/>
          </w:rPr>
          <w:t>Strategic alignment</w:t>
        </w:r>
        <w:r>
          <w:rPr>
            <w:noProof/>
            <w:webHidden/>
          </w:rPr>
          <w:tab/>
        </w:r>
        <w:r>
          <w:rPr>
            <w:noProof/>
            <w:webHidden/>
          </w:rPr>
          <w:fldChar w:fldCharType="begin"/>
        </w:r>
        <w:r>
          <w:rPr>
            <w:noProof/>
            <w:webHidden/>
          </w:rPr>
          <w:instrText xml:space="preserve"> PAGEREF _Toc204940764 \h </w:instrText>
        </w:r>
        <w:r>
          <w:rPr>
            <w:noProof/>
            <w:webHidden/>
          </w:rPr>
        </w:r>
        <w:r>
          <w:rPr>
            <w:noProof/>
            <w:webHidden/>
          </w:rPr>
          <w:fldChar w:fldCharType="separate"/>
        </w:r>
        <w:r w:rsidR="008B20C4">
          <w:rPr>
            <w:noProof/>
            <w:webHidden/>
          </w:rPr>
          <w:t>25</w:t>
        </w:r>
        <w:r>
          <w:rPr>
            <w:noProof/>
            <w:webHidden/>
          </w:rPr>
          <w:fldChar w:fldCharType="end"/>
        </w:r>
      </w:hyperlink>
    </w:p>
    <w:p w14:paraId="0C90EFBC" w14:textId="1980EC82" w:rsidR="00890290" w:rsidRDefault="00890290">
      <w:pPr>
        <w:pStyle w:val="TOC2"/>
        <w:tabs>
          <w:tab w:val="right" w:leader="dot" w:pos="9628"/>
        </w:tabs>
        <w:rPr>
          <w:rFonts w:eastAsiaTheme="minorEastAsia"/>
          <w:noProof/>
          <w:kern w:val="2"/>
          <w:szCs w:val="24"/>
          <w:lang w:eastAsia="en-NZ"/>
          <w14:ligatures w14:val="standardContextual"/>
        </w:rPr>
      </w:pPr>
      <w:hyperlink w:anchor="_Toc204940765" w:history="1">
        <w:r w:rsidRPr="00E03A4E">
          <w:rPr>
            <w:rStyle w:val="Hyperlink"/>
            <w:rFonts w:eastAsia="Times New Roman"/>
            <w:noProof/>
            <w:lang w:eastAsia="en-NZ"/>
          </w:rPr>
          <w:t>Drivers</w:t>
        </w:r>
        <w:r>
          <w:rPr>
            <w:noProof/>
            <w:webHidden/>
          </w:rPr>
          <w:tab/>
        </w:r>
        <w:r>
          <w:rPr>
            <w:noProof/>
            <w:webHidden/>
          </w:rPr>
          <w:fldChar w:fldCharType="begin"/>
        </w:r>
        <w:r>
          <w:rPr>
            <w:noProof/>
            <w:webHidden/>
          </w:rPr>
          <w:instrText xml:space="preserve"> PAGEREF _Toc204940765 \h </w:instrText>
        </w:r>
        <w:r>
          <w:rPr>
            <w:noProof/>
            <w:webHidden/>
          </w:rPr>
        </w:r>
        <w:r>
          <w:rPr>
            <w:noProof/>
            <w:webHidden/>
          </w:rPr>
          <w:fldChar w:fldCharType="separate"/>
        </w:r>
        <w:r w:rsidR="008B20C4">
          <w:rPr>
            <w:noProof/>
            <w:webHidden/>
          </w:rPr>
          <w:t>25</w:t>
        </w:r>
        <w:r>
          <w:rPr>
            <w:noProof/>
            <w:webHidden/>
          </w:rPr>
          <w:fldChar w:fldCharType="end"/>
        </w:r>
      </w:hyperlink>
    </w:p>
    <w:p w14:paraId="2F49B818" w14:textId="07387503" w:rsidR="00890290" w:rsidRDefault="00890290">
      <w:pPr>
        <w:pStyle w:val="TOC1"/>
        <w:rPr>
          <w:rFonts w:eastAsiaTheme="minorEastAsia"/>
          <w:b w:val="0"/>
          <w:noProof/>
          <w:kern w:val="2"/>
          <w:szCs w:val="24"/>
          <w:lang w:eastAsia="en-NZ"/>
          <w14:ligatures w14:val="standardContextual"/>
        </w:rPr>
      </w:pPr>
      <w:hyperlink w:anchor="_Toc204940766" w:history="1">
        <w:r w:rsidRPr="00E03A4E">
          <w:rPr>
            <w:rStyle w:val="Hyperlink"/>
            <w:noProof/>
          </w:rPr>
          <w:t>Levers for change</w:t>
        </w:r>
        <w:r>
          <w:rPr>
            <w:noProof/>
            <w:webHidden/>
          </w:rPr>
          <w:tab/>
        </w:r>
        <w:r>
          <w:rPr>
            <w:noProof/>
            <w:webHidden/>
          </w:rPr>
          <w:fldChar w:fldCharType="begin"/>
        </w:r>
        <w:r>
          <w:rPr>
            <w:noProof/>
            <w:webHidden/>
          </w:rPr>
          <w:instrText xml:space="preserve"> PAGEREF _Toc204940766 \h </w:instrText>
        </w:r>
        <w:r>
          <w:rPr>
            <w:noProof/>
            <w:webHidden/>
          </w:rPr>
        </w:r>
        <w:r>
          <w:rPr>
            <w:noProof/>
            <w:webHidden/>
          </w:rPr>
          <w:fldChar w:fldCharType="separate"/>
        </w:r>
        <w:r w:rsidR="008B20C4">
          <w:rPr>
            <w:noProof/>
            <w:webHidden/>
          </w:rPr>
          <w:t>28</w:t>
        </w:r>
        <w:r>
          <w:rPr>
            <w:noProof/>
            <w:webHidden/>
          </w:rPr>
          <w:fldChar w:fldCharType="end"/>
        </w:r>
      </w:hyperlink>
    </w:p>
    <w:p w14:paraId="3A283E6C" w14:textId="074DCDD4" w:rsidR="00890290" w:rsidRDefault="00890290">
      <w:pPr>
        <w:pStyle w:val="TOC2"/>
        <w:tabs>
          <w:tab w:val="right" w:leader="dot" w:pos="9628"/>
        </w:tabs>
        <w:rPr>
          <w:rFonts w:eastAsiaTheme="minorEastAsia"/>
          <w:noProof/>
          <w:kern w:val="2"/>
          <w:szCs w:val="24"/>
          <w:lang w:eastAsia="en-NZ"/>
          <w14:ligatures w14:val="standardContextual"/>
        </w:rPr>
      </w:pPr>
      <w:hyperlink w:anchor="_Toc204940767" w:history="1">
        <w:r w:rsidRPr="00E03A4E">
          <w:rPr>
            <w:rStyle w:val="Hyperlink"/>
            <w:noProof/>
          </w:rPr>
          <w:t>Impacts of population health on health sector emissions</w:t>
        </w:r>
        <w:r>
          <w:rPr>
            <w:noProof/>
            <w:webHidden/>
          </w:rPr>
          <w:tab/>
        </w:r>
        <w:r>
          <w:rPr>
            <w:noProof/>
            <w:webHidden/>
          </w:rPr>
          <w:fldChar w:fldCharType="begin"/>
        </w:r>
        <w:r>
          <w:rPr>
            <w:noProof/>
            <w:webHidden/>
          </w:rPr>
          <w:instrText xml:space="preserve"> PAGEREF _Toc204940767 \h </w:instrText>
        </w:r>
        <w:r>
          <w:rPr>
            <w:noProof/>
            <w:webHidden/>
          </w:rPr>
        </w:r>
        <w:r>
          <w:rPr>
            <w:noProof/>
            <w:webHidden/>
          </w:rPr>
          <w:fldChar w:fldCharType="separate"/>
        </w:r>
        <w:r w:rsidR="008B20C4">
          <w:rPr>
            <w:noProof/>
            <w:webHidden/>
          </w:rPr>
          <w:t>28</w:t>
        </w:r>
        <w:r>
          <w:rPr>
            <w:noProof/>
            <w:webHidden/>
          </w:rPr>
          <w:fldChar w:fldCharType="end"/>
        </w:r>
      </w:hyperlink>
    </w:p>
    <w:p w14:paraId="34EF7693" w14:textId="3317956D" w:rsidR="00890290" w:rsidRDefault="00890290">
      <w:pPr>
        <w:pStyle w:val="TOC2"/>
        <w:tabs>
          <w:tab w:val="right" w:leader="dot" w:pos="9628"/>
        </w:tabs>
        <w:rPr>
          <w:rFonts w:eastAsiaTheme="minorEastAsia"/>
          <w:noProof/>
          <w:kern w:val="2"/>
          <w:szCs w:val="24"/>
          <w:lang w:eastAsia="en-NZ"/>
          <w14:ligatures w14:val="standardContextual"/>
        </w:rPr>
      </w:pPr>
      <w:hyperlink w:anchor="_Toc204940768" w:history="1">
        <w:r w:rsidRPr="00E03A4E">
          <w:rPr>
            <w:rStyle w:val="Hyperlink"/>
            <w:noProof/>
          </w:rPr>
          <w:t>Health Targets and emissions reduction co-benefits</w:t>
        </w:r>
        <w:r>
          <w:rPr>
            <w:noProof/>
            <w:webHidden/>
          </w:rPr>
          <w:tab/>
        </w:r>
        <w:r>
          <w:rPr>
            <w:noProof/>
            <w:webHidden/>
          </w:rPr>
          <w:fldChar w:fldCharType="begin"/>
        </w:r>
        <w:r>
          <w:rPr>
            <w:noProof/>
            <w:webHidden/>
          </w:rPr>
          <w:instrText xml:space="preserve"> PAGEREF _Toc204940768 \h </w:instrText>
        </w:r>
        <w:r>
          <w:rPr>
            <w:noProof/>
            <w:webHidden/>
          </w:rPr>
        </w:r>
        <w:r>
          <w:rPr>
            <w:noProof/>
            <w:webHidden/>
          </w:rPr>
          <w:fldChar w:fldCharType="separate"/>
        </w:r>
        <w:r w:rsidR="008B20C4">
          <w:rPr>
            <w:noProof/>
            <w:webHidden/>
          </w:rPr>
          <w:t>30</w:t>
        </w:r>
        <w:r>
          <w:rPr>
            <w:noProof/>
            <w:webHidden/>
          </w:rPr>
          <w:fldChar w:fldCharType="end"/>
        </w:r>
      </w:hyperlink>
    </w:p>
    <w:p w14:paraId="61A4A7DD" w14:textId="790BE351" w:rsidR="00890290" w:rsidRDefault="00890290">
      <w:pPr>
        <w:pStyle w:val="TOC2"/>
        <w:tabs>
          <w:tab w:val="right" w:leader="dot" w:pos="9628"/>
        </w:tabs>
        <w:rPr>
          <w:rFonts w:eastAsiaTheme="minorEastAsia"/>
          <w:noProof/>
          <w:kern w:val="2"/>
          <w:szCs w:val="24"/>
          <w:lang w:eastAsia="en-NZ"/>
          <w14:ligatures w14:val="standardContextual"/>
        </w:rPr>
      </w:pPr>
      <w:hyperlink w:anchor="_Toc204940769" w:history="1">
        <w:r w:rsidRPr="00E03A4E">
          <w:rPr>
            <w:rStyle w:val="Hyperlink"/>
            <w:noProof/>
          </w:rPr>
          <w:t>Wider innovation levers</w:t>
        </w:r>
        <w:r>
          <w:rPr>
            <w:noProof/>
            <w:webHidden/>
          </w:rPr>
          <w:tab/>
        </w:r>
        <w:r>
          <w:rPr>
            <w:noProof/>
            <w:webHidden/>
          </w:rPr>
          <w:fldChar w:fldCharType="begin"/>
        </w:r>
        <w:r>
          <w:rPr>
            <w:noProof/>
            <w:webHidden/>
          </w:rPr>
          <w:instrText xml:space="preserve"> PAGEREF _Toc204940769 \h </w:instrText>
        </w:r>
        <w:r>
          <w:rPr>
            <w:noProof/>
            <w:webHidden/>
          </w:rPr>
        </w:r>
        <w:r>
          <w:rPr>
            <w:noProof/>
            <w:webHidden/>
          </w:rPr>
          <w:fldChar w:fldCharType="separate"/>
        </w:r>
        <w:r w:rsidR="008B20C4">
          <w:rPr>
            <w:noProof/>
            <w:webHidden/>
          </w:rPr>
          <w:t>31</w:t>
        </w:r>
        <w:r>
          <w:rPr>
            <w:noProof/>
            <w:webHidden/>
          </w:rPr>
          <w:fldChar w:fldCharType="end"/>
        </w:r>
      </w:hyperlink>
    </w:p>
    <w:p w14:paraId="04C8A78D" w14:textId="5AC9D6A7" w:rsidR="00890290" w:rsidRDefault="00890290">
      <w:pPr>
        <w:pStyle w:val="TOC3"/>
        <w:tabs>
          <w:tab w:val="right" w:leader="dot" w:pos="9628"/>
        </w:tabs>
        <w:rPr>
          <w:rFonts w:eastAsiaTheme="minorEastAsia"/>
          <w:noProof/>
          <w:kern w:val="2"/>
          <w:szCs w:val="24"/>
          <w:lang w:eastAsia="en-NZ"/>
          <w14:ligatures w14:val="standardContextual"/>
        </w:rPr>
      </w:pPr>
      <w:hyperlink w:anchor="_Toc204940770" w:history="1">
        <w:r w:rsidRPr="00E03A4E">
          <w:rPr>
            <w:rStyle w:val="Hyperlink"/>
            <w:noProof/>
          </w:rPr>
          <w:t>Health technology and innovation</w:t>
        </w:r>
        <w:r>
          <w:rPr>
            <w:noProof/>
            <w:webHidden/>
          </w:rPr>
          <w:tab/>
        </w:r>
        <w:r>
          <w:rPr>
            <w:noProof/>
            <w:webHidden/>
          </w:rPr>
          <w:fldChar w:fldCharType="begin"/>
        </w:r>
        <w:r>
          <w:rPr>
            <w:noProof/>
            <w:webHidden/>
          </w:rPr>
          <w:instrText xml:space="preserve"> PAGEREF _Toc204940770 \h </w:instrText>
        </w:r>
        <w:r>
          <w:rPr>
            <w:noProof/>
            <w:webHidden/>
          </w:rPr>
        </w:r>
        <w:r>
          <w:rPr>
            <w:noProof/>
            <w:webHidden/>
          </w:rPr>
          <w:fldChar w:fldCharType="separate"/>
        </w:r>
        <w:r w:rsidR="008B20C4">
          <w:rPr>
            <w:noProof/>
            <w:webHidden/>
          </w:rPr>
          <w:t>31</w:t>
        </w:r>
        <w:r>
          <w:rPr>
            <w:noProof/>
            <w:webHidden/>
          </w:rPr>
          <w:fldChar w:fldCharType="end"/>
        </w:r>
      </w:hyperlink>
    </w:p>
    <w:p w14:paraId="20D06CAB" w14:textId="0E9C3BC1" w:rsidR="00890290" w:rsidRDefault="00890290">
      <w:pPr>
        <w:pStyle w:val="TOC3"/>
        <w:tabs>
          <w:tab w:val="right" w:leader="dot" w:pos="9628"/>
        </w:tabs>
        <w:rPr>
          <w:rFonts w:eastAsiaTheme="minorEastAsia"/>
          <w:noProof/>
          <w:kern w:val="2"/>
          <w:szCs w:val="24"/>
          <w:lang w:eastAsia="en-NZ"/>
          <w14:ligatures w14:val="standardContextual"/>
        </w:rPr>
      </w:pPr>
      <w:hyperlink w:anchor="_Toc204940771" w:history="1">
        <w:r w:rsidRPr="00E03A4E">
          <w:rPr>
            <w:rStyle w:val="Hyperlink"/>
            <w:noProof/>
          </w:rPr>
          <w:t>Domestic trends</w:t>
        </w:r>
        <w:r>
          <w:rPr>
            <w:noProof/>
            <w:webHidden/>
          </w:rPr>
          <w:tab/>
        </w:r>
        <w:r>
          <w:rPr>
            <w:noProof/>
            <w:webHidden/>
          </w:rPr>
          <w:fldChar w:fldCharType="begin"/>
        </w:r>
        <w:r>
          <w:rPr>
            <w:noProof/>
            <w:webHidden/>
          </w:rPr>
          <w:instrText xml:space="preserve"> PAGEREF _Toc204940771 \h </w:instrText>
        </w:r>
        <w:r>
          <w:rPr>
            <w:noProof/>
            <w:webHidden/>
          </w:rPr>
        </w:r>
        <w:r>
          <w:rPr>
            <w:noProof/>
            <w:webHidden/>
          </w:rPr>
          <w:fldChar w:fldCharType="separate"/>
        </w:r>
        <w:r w:rsidR="008B20C4">
          <w:rPr>
            <w:noProof/>
            <w:webHidden/>
          </w:rPr>
          <w:t>31</w:t>
        </w:r>
        <w:r>
          <w:rPr>
            <w:noProof/>
            <w:webHidden/>
          </w:rPr>
          <w:fldChar w:fldCharType="end"/>
        </w:r>
      </w:hyperlink>
    </w:p>
    <w:p w14:paraId="76E5A88C" w14:textId="7AB3F86E" w:rsidR="00890290" w:rsidRDefault="00890290">
      <w:pPr>
        <w:pStyle w:val="TOC3"/>
        <w:tabs>
          <w:tab w:val="right" w:leader="dot" w:pos="9628"/>
        </w:tabs>
        <w:rPr>
          <w:rFonts w:eastAsiaTheme="minorEastAsia"/>
          <w:noProof/>
          <w:kern w:val="2"/>
          <w:szCs w:val="24"/>
          <w:lang w:eastAsia="en-NZ"/>
          <w14:ligatures w14:val="standardContextual"/>
        </w:rPr>
      </w:pPr>
      <w:hyperlink w:anchor="_Toc204940772" w:history="1">
        <w:r w:rsidRPr="00E03A4E">
          <w:rPr>
            <w:rStyle w:val="Hyperlink"/>
            <w:noProof/>
          </w:rPr>
          <w:t>Global trends</w:t>
        </w:r>
        <w:r>
          <w:rPr>
            <w:noProof/>
            <w:webHidden/>
          </w:rPr>
          <w:tab/>
        </w:r>
        <w:r>
          <w:rPr>
            <w:noProof/>
            <w:webHidden/>
          </w:rPr>
          <w:fldChar w:fldCharType="begin"/>
        </w:r>
        <w:r>
          <w:rPr>
            <w:noProof/>
            <w:webHidden/>
          </w:rPr>
          <w:instrText xml:space="preserve"> PAGEREF _Toc204940772 \h </w:instrText>
        </w:r>
        <w:r>
          <w:rPr>
            <w:noProof/>
            <w:webHidden/>
          </w:rPr>
        </w:r>
        <w:r>
          <w:rPr>
            <w:noProof/>
            <w:webHidden/>
          </w:rPr>
          <w:fldChar w:fldCharType="separate"/>
        </w:r>
        <w:r w:rsidR="008B20C4">
          <w:rPr>
            <w:noProof/>
            <w:webHidden/>
          </w:rPr>
          <w:t>32</w:t>
        </w:r>
        <w:r>
          <w:rPr>
            <w:noProof/>
            <w:webHidden/>
          </w:rPr>
          <w:fldChar w:fldCharType="end"/>
        </w:r>
      </w:hyperlink>
    </w:p>
    <w:p w14:paraId="637FE730" w14:textId="13BEF3C3" w:rsidR="00890290" w:rsidRDefault="00890290">
      <w:pPr>
        <w:pStyle w:val="TOC1"/>
        <w:rPr>
          <w:rFonts w:eastAsiaTheme="minorEastAsia"/>
          <w:b w:val="0"/>
          <w:noProof/>
          <w:kern w:val="2"/>
          <w:szCs w:val="24"/>
          <w:lang w:eastAsia="en-NZ"/>
          <w14:ligatures w14:val="standardContextual"/>
        </w:rPr>
      </w:pPr>
      <w:hyperlink w:anchor="_Toc204940773" w:history="1">
        <w:r w:rsidRPr="00E03A4E">
          <w:rPr>
            <w:rStyle w:val="Hyperlink"/>
            <w:noProof/>
          </w:rPr>
          <w:t>Footprint – Action Plan</w:t>
        </w:r>
        <w:r>
          <w:rPr>
            <w:noProof/>
            <w:webHidden/>
          </w:rPr>
          <w:tab/>
        </w:r>
        <w:r>
          <w:rPr>
            <w:noProof/>
            <w:webHidden/>
          </w:rPr>
          <w:fldChar w:fldCharType="begin"/>
        </w:r>
        <w:r>
          <w:rPr>
            <w:noProof/>
            <w:webHidden/>
          </w:rPr>
          <w:instrText xml:space="preserve"> PAGEREF _Toc204940773 \h </w:instrText>
        </w:r>
        <w:r>
          <w:rPr>
            <w:noProof/>
            <w:webHidden/>
          </w:rPr>
        </w:r>
        <w:r>
          <w:rPr>
            <w:noProof/>
            <w:webHidden/>
          </w:rPr>
          <w:fldChar w:fldCharType="separate"/>
        </w:r>
        <w:r w:rsidR="008B20C4">
          <w:rPr>
            <w:noProof/>
            <w:webHidden/>
          </w:rPr>
          <w:t>34</w:t>
        </w:r>
        <w:r>
          <w:rPr>
            <w:noProof/>
            <w:webHidden/>
          </w:rPr>
          <w:fldChar w:fldCharType="end"/>
        </w:r>
      </w:hyperlink>
    </w:p>
    <w:p w14:paraId="3CD4FEAB" w14:textId="7B560915" w:rsidR="00890290" w:rsidRDefault="00890290">
      <w:pPr>
        <w:pStyle w:val="TOC2"/>
        <w:tabs>
          <w:tab w:val="right" w:leader="dot" w:pos="9628"/>
        </w:tabs>
        <w:rPr>
          <w:rFonts w:eastAsiaTheme="minorEastAsia"/>
          <w:noProof/>
          <w:kern w:val="2"/>
          <w:szCs w:val="24"/>
          <w:lang w:eastAsia="en-NZ"/>
          <w14:ligatures w14:val="standardContextual"/>
        </w:rPr>
      </w:pPr>
      <w:hyperlink w:anchor="_Toc204940774" w:history="1">
        <w:r w:rsidRPr="00E03A4E">
          <w:rPr>
            <w:rStyle w:val="Hyperlink"/>
            <w:noProof/>
          </w:rPr>
          <w:t>Approach</w:t>
        </w:r>
        <w:r>
          <w:rPr>
            <w:noProof/>
            <w:webHidden/>
          </w:rPr>
          <w:tab/>
        </w:r>
        <w:r>
          <w:rPr>
            <w:noProof/>
            <w:webHidden/>
          </w:rPr>
          <w:fldChar w:fldCharType="begin"/>
        </w:r>
        <w:r>
          <w:rPr>
            <w:noProof/>
            <w:webHidden/>
          </w:rPr>
          <w:instrText xml:space="preserve"> PAGEREF _Toc204940774 \h </w:instrText>
        </w:r>
        <w:r>
          <w:rPr>
            <w:noProof/>
            <w:webHidden/>
          </w:rPr>
        </w:r>
        <w:r>
          <w:rPr>
            <w:noProof/>
            <w:webHidden/>
          </w:rPr>
          <w:fldChar w:fldCharType="separate"/>
        </w:r>
        <w:r w:rsidR="008B20C4">
          <w:rPr>
            <w:noProof/>
            <w:webHidden/>
          </w:rPr>
          <w:t>34</w:t>
        </w:r>
        <w:r>
          <w:rPr>
            <w:noProof/>
            <w:webHidden/>
          </w:rPr>
          <w:fldChar w:fldCharType="end"/>
        </w:r>
      </w:hyperlink>
    </w:p>
    <w:p w14:paraId="523AC4FB" w14:textId="68DC91FD" w:rsidR="00890290" w:rsidRDefault="00890290">
      <w:pPr>
        <w:pStyle w:val="TOC3"/>
        <w:tabs>
          <w:tab w:val="right" w:leader="dot" w:pos="9628"/>
        </w:tabs>
        <w:rPr>
          <w:rFonts w:eastAsiaTheme="minorEastAsia"/>
          <w:noProof/>
          <w:kern w:val="2"/>
          <w:szCs w:val="24"/>
          <w:lang w:eastAsia="en-NZ"/>
          <w14:ligatures w14:val="standardContextual"/>
        </w:rPr>
      </w:pPr>
      <w:hyperlink w:anchor="_Toc204940775" w:history="1">
        <w:r w:rsidRPr="00E03A4E">
          <w:rPr>
            <w:rStyle w:val="Hyperlink"/>
            <w:noProof/>
          </w:rPr>
          <w:t>Modelling</w:t>
        </w:r>
        <w:r>
          <w:rPr>
            <w:noProof/>
            <w:webHidden/>
          </w:rPr>
          <w:tab/>
        </w:r>
        <w:r>
          <w:rPr>
            <w:noProof/>
            <w:webHidden/>
          </w:rPr>
          <w:fldChar w:fldCharType="begin"/>
        </w:r>
        <w:r>
          <w:rPr>
            <w:noProof/>
            <w:webHidden/>
          </w:rPr>
          <w:instrText xml:space="preserve"> PAGEREF _Toc204940775 \h </w:instrText>
        </w:r>
        <w:r>
          <w:rPr>
            <w:noProof/>
            <w:webHidden/>
          </w:rPr>
        </w:r>
        <w:r>
          <w:rPr>
            <w:noProof/>
            <w:webHidden/>
          </w:rPr>
          <w:fldChar w:fldCharType="separate"/>
        </w:r>
        <w:r w:rsidR="008B20C4">
          <w:rPr>
            <w:noProof/>
            <w:webHidden/>
          </w:rPr>
          <w:t>34</w:t>
        </w:r>
        <w:r>
          <w:rPr>
            <w:noProof/>
            <w:webHidden/>
          </w:rPr>
          <w:fldChar w:fldCharType="end"/>
        </w:r>
      </w:hyperlink>
    </w:p>
    <w:p w14:paraId="33A3A960" w14:textId="61935E3D" w:rsidR="00890290" w:rsidRDefault="00890290">
      <w:pPr>
        <w:pStyle w:val="TOC1"/>
        <w:rPr>
          <w:rFonts w:eastAsiaTheme="minorEastAsia"/>
          <w:b w:val="0"/>
          <w:noProof/>
          <w:kern w:val="2"/>
          <w:szCs w:val="24"/>
          <w:lang w:eastAsia="en-NZ"/>
          <w14:ligatures w14:val="standardContextual"/>
        </w:rPr>
      </w:pPr>
      <w:hyperlink w:anchor="_Toc204940776" w:history="1">
        <w:r w:rsidRPr="00E03A4E">
          <w:rPr>
            <w:rStyle w:val="Hyperlink"/>
            <w:noProof/>
          </w:rPr>
          <w:t>Models of care</w:t>
        </w:r>
        <w:r>
          <w:rPr>
            <w:noProof/>
            <w:webHidden/>
          </w:rPr>
          <w:tab/>
        </w:r>
        <w:r>
          <w:rPr>
            <w:noProof/>
            <w:webHidden/>
          </w:rPr>
          <w:fldChar w:fldCharType="begin"/>
        </w:r>
        <w:r>
          <w:rPr>
            <w:noProof/>
            <w:webHidden/>
          </w:rPr>
          <w:instrText xml:space="preserve"> PAGEREF _Toc204940776 \h </w:instrText>
        </w:r>
        <w:r>
          <w:rPr>
            <w:noProof/>
            <w:webHidden/>
          </w:rPr>
        </w:r>
        <w:r>
          <w:rPr>
            <w:noProof/>
            <w:webHidden/>
          </w:rPr>
          <w:fldChar w:fldCharType="separate"/>
        </w:r>
        <w:r w:rsidR="008B20C4">
          <w:rPr>
            <w:noProof/>
            <w:webHidden/>
          </w:rPr>
          <w:t>36</w:t>
        </w:r>
        <w:r>
          <w:rPr>
            <w:noProof/>
            <w:webHidden/>
          </w:rPr>
          <w:fldChar w:fldCharType="end"/>
        </w:r>
      </w:hyperlink>
    </w:p>
    <w:p w14:paraId="28A599B3" w14:textId="42EF8D9E" w:rsidR="00890290" w:rsidRDefault="00890290">
      <w:pPr>
        <w:pStyle w:val="TOC2"/>
        <w:tabs>
          <w:tab w:val="right" w:leader="dot" w:pos="9628"/>
        </w:tabs>
        <w:rPr>
          <w:rFonts w:eastAsiaTheme="minorEastAsia"/>
          <w:noProof/>
          <w:kern w:val="2"/>
          <w:szCs w:val="24"/>
          <w:lang w:eastAsia="en-NZ"/>
          <w14:ligatures w14:val="standardContextual"/>
        </w:rPr>
      </w:pPr>
      <w:hyperlink w:anchor="_Toc204940777" w:history="1">
        <w:r w:rsidRPr="00E03A4E">
          <w:rPr>
            <w:rStyle w:val="Hyperlink"/>
            <w:noProof/>
          </w:rPr>
          <w:t>Progress</w:t>
        </w:r>
        <w:r>
          <w:rPr>
            <w:noProof/>
            <w:webHidden/>
          </w:rPr>
          <w:tab/>
        </w:r>
        <w:r>
          <w:rPr>
            <w:noProof/>
            <w:webHidden/>
          </w:rPr>
          <w:fldChar w:fldCharType="begin"/>
        </w:r>
        <w:r>
          <w:rPr>
            <w:noProof/>
            <w:webHidden/>
          </w:rPr>
          <w:instrText xml:space="preserve"> PAGEREF _Toc204940777 \h </w:instrText>
        </w:r>
        <w:r>
          <w:rPr>
            <w:noProof/>
            <w:webHidden/>
          </w:rPr>
        </w:r>
        <w:r>
          <w:rPr>
            <w:noProof/>
            <w:webHidden/>
          </w:rPr>
          <w:fldChar w:fldCharType="separate"/>
        </w:r>
        <w:r w:rsidR="008B20C4">
          <w:rPr>
            <w:noProof/>
            <w:webHidden/>
          </w:rPr>
          <w:t>37</w:t>
        </w:r>
        <w:r>
          <w:rPr>
            <w:noProof/>
            <w:webHidden/>
          </w:rPr>
          <w:fldChar w:fldCharType="end"/>
        </w:r>
      </w:hyperlink>
    </w:p>
    <w:p w14:paraId="740628FD" w14:textId="7F9F3550" w:rsidR="00890290" w:rsidRDefault="00890290">
      <w:pPr>
        <w:pStyle w:val="TOC2"/>
        <w:tabs>
          <w:tab w:val="right" w:leader="dot" w:pos="9628"/>
        </w:tabs>
        <w:rPr>
          <w:rFonts w:eastAsiaTheme="minorEastAsia"/>
          <w:noProof/>
          <w:kern w:val="2"/>
          <w:szCs w:val="24"/>
          <w:lang w:eastAsia="en-NZ"/>
          <w14:ligatures w14:val="standardContextual"/>
        </w:rPr>
      </w:pPr>
      <w:hyperlink w:anchor="_Toc204940778" w:history="1">
        <w:r w:rsidRPr="00E03A4E">
          <w:rPr>
            <w:rStyle w:val="Hyperlink"/>
            <w:rFonts w:eastAsia="Calibri"/>
            <w:noProof/>
          </w:rPr>
          <w:t>Models of care actions</w:t>
        </w:r>
        <w:r>
          <w:rPr>
            <w:noProof/>
            <w:webHidden/>
          </w:rPr>
          <w:tab/>
        </w:r>
        <w:r>
          <w:rPr>
            <w:noProof/>
            <w:webHidden/>
          </w:rPr>
          <w:fldChar w:fldCharType="begin"/>
        </w:r>
        <w:r>
          <w:rPr>
            <w:noProof/>
            <w:webHidden/>
          </w:rPr>
          <w:instrText xml:space="preserve"> PAGEREF _Toc204940778 \h </w:instrText>
        </w:r>
        <w:r>
          <w:rPr>
            <w:noProof/>
            <w:webHidden/>
          </w:rPr>
        </w:r>
        <w:r>
          <w:rPr>
            <w:noProof/>
            <w:webHidden/>
          </w:rPr>
          <w:fldChar w:fldCharType="separate"/>
        </w:r>
        <w:r w:rsidR="008B20C4">
          <w:rPr>
            <w:noProof/>
            <w:webHidden/>
          </w:rPr>
          <w:t>37</w:t>
        </w:r>
        <w:r>
          <w:rPr>
            <w:noProof/>
            <w:webHidden/>
          </w:rPr>
          <w:fldChar w:fldCharType="end"/>
        </w:r>
      </w:hyperlink>
    </w:p>
    <w:p w14:paraId="2B5F5E42" w14:textId="6F56A56B" w:rsidR="00890290" w:rsidRDefault="00890290">
      <w:pPr>
        <w:pStyle w:val="TOC1"/>
        <w:rPr>
          <w:rFonts w:eastAsiaTheme="minorEastAsia"/>
          <w:b w:val="0"/>
          <w:noProof/>
          <w:kern w:val="2"/>
          <w:szCs w:val="24"/>
          <w:lang w:eastAsia="en-NZ"/>
          <w14:ligatures w14:val="standardContextual"/>
        </w:rPr>
      </w:pPr>
      <w:hyperlink w:anchor="_Toc204940779" w:history="1">
        <w:r w:rsidRPr="00E03A4E">
          <w:rPr>
            <w:rStyle w:val="Hyperlink"/>
            <w:noProof/>
          </w:rPr>
          <w:t>Energy, water, and waste</w:t>
        </w:r>
        <w:r>
          <w:rPr>
            <w:noProof/>
            <w:webHidden/>
          </w:rPr>
          <w:tab/>
        </w:r>
        <w:r>
          <w:rPr>
            <w:noProof/>
            <w:webHidden/>
          </w:rPr>
          <w:fldChar w:fldCharType="begin"/>
        </w:r>
        <w:r>
          <w:rPr>
            <w:noProof/>
            <w:webHidden/>
          </w:rPr>
          <w:instrText xml:space="preserve"> PAGEREF _Toc204940779 \h </w:instrText>
        </w:r>
        <w:r>
          <w:rPr>
            <w:noProof/>
            <w:webHidden/>
          </w:rPr>
        </w:r>
        <w:r>
          <w:rPr>
            <w:noProof/>
            <w:webHidden/>
          </w:rPr>
          <w:fldChar w:fldCharType="separate"/>
        </w:r>
        <w:r w:rsidR="008B20C4">
          <w:rPr>
            <w:noProof/>
            <w:webHidden/>
          </w:rPr>
          <w:t>38</w:t>
        </w:r>
        <w:r>
          <w:rPr>
            <w:noProof/>
            <w:webHidden/>
          </w:rPr>
          <w:fldChar w:fldCharType="end"/>
        </w:r>
      </w:hyperlink>
    </w:p>
    <w:p w14:paraId="04AFD6A2" w14:textId="3D60CF8D" w:rsidR="00890290" w:rsidRDefault="00890290">
      <w:pPr>
        <w:pStyle w:val="TOC2"/>
        <w:tabs>
          <w:tab w:val="right" w:leader="dot" w:pos="9628"/>
        </w:tabs>
        <w:rPr>
          <w:rFonts w:eastAsiaTheme="minorEastAsia"/>
          <w:noProof/>
          <w:kern w:val="2"/>
          <w:szCs w:val="24"/>
          <w:lang w:eastAsia="en-NZ"/>
          <w14:ligatures w14:val="standardContextual"/>
        </w:rPr>
      </w:pPr>
      <w:hyperlink w:anchor="_Toc204940780" w:history="1">
        <w:r w:rsidRPr="00E03A4E">
          <w:rPr>
            <w:rStyle w:val="Hyperlink"/>
            <w:noProof/>
          </w:rPr>
          <w:t>Progress and ways of working</w:t>
        </w:r>
        <w:r>
          <w:rPr>
            <w:noProof/>
            <w:webHidden/>
          </w:rPr>
          <w:tab/>
        </w:r>
        <w:r>
          <w:rPr>
            <w:noProof/>
            <w:webHidden/>
          </w:rPr>
          <w:fldChar w:fldCharType="begin"/>
        </w:r>
        <w:r>
          <w:rPr>
            <w:noProof/>
            <w:webHidden/>
          </w:rPr>
          <w:instrText xml:space="preserve"> PAGEREF _Toc204940780 \h </w:instrText>
        </w:r>
        <w:r>
          <w:rPr>
            <w:noProof/>
            <w:webHidden/>
          </w:rPr>
        </w:r>
        <w:r>
          <w:rPr>
            <w:noProof/>
            <w:webHidden/>
          </w:rPr>
          <w:fldChar w:fldCharType="separate"/>
        </w:r>
        <w:r w:rsidR="008B20C4">
          <w:rPr>
            <w:noProof/>
            <w:webHidden/>
          </w:rPr>
          <w:t>39</w:t>
        </w:r>
        <w:r>
          <w:rPr>
            <w:noProof/>
            <w:webHidden/>
          </w:rPr>
          <w:fldChar w:fldCharType="end"/>
        </w:r>
      </w:hyperlink>
    </w:p>
    <w:p w14:paraId="68C9B15B" w14:textId="1A03AA11" w:rsidR="00890290" w:rsidRDefault="00890290">
      <w:pPr>
        <w:pStyle w:val="TOC2"/>
        <w:tabs>
          <w:tab w:val="right" w:leader="dot" w:pos="9628"/>
        </w:tabs>
        <w:rPr>
          <w:rFonts w:eastAsiaTheme="minorEastAsia"/>
          <w:noProof/>
          <w:kern w:val="2"/>
          <w:szCs w:val="24"/>
          <w:lang w:eastAsia="en-NZ"/>
          <w14:ligatures w14:val="standardContextual"/>
        </w:rPr>
      </w:pPr>
      <w:hyperlink w:anchor="_Toc204940781" w:history="1">
        <w:r w:rsidRPr="00E03A4E">
          <w:rPr>
            <w:rStyle w:val="Hyperlink"/>
            <w:rFonts w:eastAsia="Calibri"/>
            <w:noProof/>
          </w:rPr>
          <w:t>Energy, water, and waste actions</w:t>
        </w:r>
        <w:r>
          <w:rPr>
            <w:noProof/>
            <w:webHidden/>
          </w:rPr>
          <w:tab/>
        </w:r>
        <w:r>
          <w:rPr>
            <w:noProof/>
            <w:webHidden/>
          </w:rPr>
          <w:fldChar w:fldCharType="begin"/>
        </w:r>
        <w:r>
          <w:rPr>
            <w:noProof/>
            <w:webHidden/>
          </w:rPr>
          <w:instrText xml:space="preserve"> PAGEREF _Toc204940781 \h </w:instrText>
        </w:r>
        <w:r>
          <w:rPr>
            <w:noProof/>
            <w:webHidden/>
          </w:rPr>
        </w:r>
        <w:r>
          <w:rPr>
            <w:noProof/>
            <w:webHidden/>
          </w:rPr>
          <w:fldChar w:fldCharType="separate"/>
        </w:r>
        <w:r w:rsidR="008B20C4">
          <w:rPr>
            <w:noProof/>
            <w:webHidden/>
          </w:rPr>
          <w:t>41</w:t>
        </w:r>
        <w:r>
          <w:rPr>
            <w:noProof/>
            <w:webHidden/>
          </w:rPr>
          <w:fldChar w:fldCharType="end"/>
        </w:r>
      </w:hyperlink>
    </w:p>
    <w:p w14:paraId="1CA5EC38" w14:textId="2E9C651A" w:rsidR="00890290" w:rsidRDefault="00890290">
      <w:pPr>
        <w:pStyle w:val="TOC1"/>
        <w:rPr>
          <w:rFonts w:eastAsiaTheme="minorEastAsia"/>
          <w:b w:val="0"/>
          <w:noProof/>
          <w:kern w:val="2"/>
          <w:szCs w:val="24"/>
          <w:lang w:eastAsia="en-NZ"/>
          <w14:ligatures w14:val="standardContextual"/>
        </w:rPr>
      </w:pPr>
      <w:hyperlink w:anchor="_Toc204940782" w:history="1">
        <w:r w:rsidRPr="00E03A4E">
          <w:rPr>
            <w:rStyle w:val="Hyperlink"/>
            <w:noProof/>
          </w:rPr>
          <w:t>Business travel, fleet, and funded patient transport</w:t>
        </w:r>
        <w:r>
          <w:rPr>
            <w:noProof/>
            <w:webHidden/>
          </w:rPr>
          <w:tab/>
        </w:r>
        <w:r>
          <w:rPr>
            <w:noProof/>
            <w:webHidden/>
          </w:rPr>
          <w:fldChar w:fldCharType="begin"/>
        </w:r>
        <w:r>
          <w:rPr>
            <w:noProof/>
            <w:webHidden/>
          </w:rPr>
          <w:instrText xml:space="preserve"> PAGEREF _Toc204940782 \h </w:instrText>
        </w:r>
        <w:r>
          <w:rPr>
            <w:noProof/>
            <w:webHidden/>
          </w:rPr>
        </w:r>
        <w:r>
          <w:rPr>
            <w:noProof/>
            <w:webHidden/>
          </w:rPr>
          <w:fldChar w:fldCharType="separate"/>
        </w:r>
        <w:r w:rsidR="008B20C4">
          <w:rPr>
            <w:noProof/>
            <w:webHidden/>
          </w:rPr>
          <w:t>44</w:t>
        </w:r>
        <w:r>
          <w:rPr>
            <w:noProof/>
            <w:webHidden/>
          </w:rPr>
          <w:fldChar w:fldCharType="end"/>
        </w:r>
      </w:hyperlink>
    </w:p>
    <w:p w14:paraId="2463D2FF" w14:textId="566D977E" w:rsidR="00890290" w:rsidRDefault="00890290">
      <w:pPr>
        <w:pStyle w:val="TOC2"/>
        <w:tabs>
          <w:tab w:val="right" w:leader="dot" w:pos="9628"/>
        </w:tabs>
        <w:rPr>
          <w:rFonts w:eastAsiaTheme="minorEastAsia"/>
          <w:noProof/>
          <w:kern w:val="2"/>
          <w:szCs w:val="24"/>
          <w:lang w:eastAsia="en-NZ"/>
          <w14:ligatures w14:val="standardContextual"/>
        </w:rPr>
      </w:pPr>
      <w:hyperlink w:anchor="_Toc204940783" w:history="1">
        <w:r w:rsidRPr="00E03A4E">
          <w:rPr>
            <w:rStyle w:val="Hyperlink"/>
            <w:noProof/>
          </w:rPr>
          <w:t>Progress and ways of working</w:t>
        </w:r>
        <w:r>
          <w:rPr>
            <w:noProof/>
            <w:webHidden/>
          </w:rPr>
          <w:tab/>
        </w:r>
        <w:r>
          <w:rPr>
            <w:noProof/>
            <w:webHidden/>
          </w:rPr>
          <w:fldChar w:fldCharType="begin"/>
        </w:r>
        <w:r>
          <w:rPr>
            <w:noProof/>
            <w:webHidden/>
          </w:rPr>
          <w:instrText xml:space="preserve"> PAGEREF _Toc204940783 \h </w:instrText>
        </w:r>
        <w:r>
          <w:rPr>
            <w:noProof/>
            <w:webHidden/>
          </w:rPr>
        </w:r>
        <w:r>
          <w:rPr>
            <w:noProof/>
            <w:webHidden/>
          </w:rPr>
          <w:fldChar w:fldCharType="separate"/>
        </w:r>
        <w:r w:rsidR="008B20C4">
          <w:rPr>
            <w:noProof/>
            <w:webHidden/>
          </w:rPr>
          <w:t>46</w:t>
        </w:r>
        <w:r>
          <w:rPr>
            <w:noProof/>
            <w:webHidden/>
          </w:rPr>
          <w:fldChar w:fldCharType="end"/>
        </w:r>
      </w:hyperlink>
    </w:p>
    <w:p w14:paraId="24A25263" w14:textId="1B359CB7" w:rsidR="00890290" w:rsidRDefault="00890290">
      <w:pPr>
        <w:pStyle w:val="TOC2"/>
        <w:tabs>
          <w:tab w:val="right" w:leader="dot" w:pos="9628"/>
        </w:tabs>
        <w:rPr>
          <w:rFonts w:eastAsiaTheme="minorEastAsia"/>
          <w:noProof/>
          <w:kern w:val="2"/>
          <w:szCs w:val="24"/>
          <w:lang w:eastAsia="en-NZ"/>
          <w14:ligatures w14:val="standardContextual"/>
        </w:rPr>
      </w:pPr>
      <w:hyperlink w:anchor="_Toc204940784" w:history="1">
        <w:r w:rsidRPr="00E03A4E">
          <w:rPr>
            <w:rStyle w:val="Hyperlink"/>
            <w:noProof/>
          </w:rPr>
          <w:t>Transport-related actions</w:t>
        </w:r>
        <w:r>
          <w:rPr>
            <w:noProof/>
            <w:webHidden/>
          </w:rPr>
          <w:tab/>
        </w:r>
        <w:r>
          <w:rPr>
            <w:noProof/>
            <w:webHidden/>
          </w:rPr>
          <w:fldChar w:fldCharType="begin"/>
        </w:r>
        <w:r>
          <w:rPr>
            <w:noProof/>
            <w:webHidden/>
          </w:rPr>
          <w:instrText xml:space="preserve"> PAGEREF _Toc204940784 \h </w:instrText>
        </w:r>
        <w:r>
          <w:rPr>
            <w:noProof/>
            <w:webHidden/>
          </w:rPr>
        </w:r>
        <w:r>
          <w:rPr>
            <w:noProof/>
            <w:webHidden/>
          </w:rPr>
          <w:fldChar w:fldCharType="separate"/>
        </w:r>
        <w:r w:rsidR="008B20C4">
          <w:rPr>
            <w:noProof/>
            <w:webHidden/>
          </w:rPr>
          <w:t>47</w:t>
        </w:r>
        <w:r>
          <w:rPr>
            <w:noProof/>
            <w:webHidden/>
          </w:rPr>
          <w:fldChar w:fldCharType="end"/>
        </w:r>
      </w:hyperlink>
    </w:p>
    <w:p w14:paraId="023F59F7" w14:textId="44E9CD6C" w:rsidR="00890290" w:rsidRDefault="00890290">
      <w:pPr>
        <w:pStyle w:val="TOC1"/>
        <w:rPr>
          <w:rFonts w:eastAsiaTheme="minorEastAsia"/>
          <w:b w:val="0"/>
          <w:noProof/>
          <w:kern w:val="2"/>
          <w:szCs w:val="24"/>
          <w:lang w:eastAsia="en-NZ"/>
          <w14:ligatures w14:val="standardContextual"/>
        </w:rPr>
      </w:pPr>
      <w:hyperlink w:anchor="_Toc204940785" w:history="1">
        <w:r w:rsidRPr="00E03A4E">
          <w:rPr>
            <w:rStyle w:val="Hyperlink"/>
            <w:noProof/>
          </w:rPr>
          <w:t>Medical gases and vapours</w:t>
        </w:r>
        <w:r>
          <w:rPr>
            <w:noProof/>
            <w:webHidden/>
          </w:rPr>
          <w:tab/>
        </w:r>
        <w:r>
          <w:rPr>
            <w:noProof/>
            <w:webHidden/>
          </w:rPr>
          <w:fldChar w:fldCharType="begin"/>
        </w:r>
        <w:r>
          <w:rPr>
            <w:noProof/>
            <w:webHidden/>
          </w:rPr>
          <w:instrText xml:space="preserve"> PAGEREF _Toc204940785 \h </w:instrText>
        </w:r>
        <w:r>
          <w:rPr>
            <w:noProof/>
            <w:webHidden/>
          </w:rPr>
        </w:r>
        <w:r>
          <w:rPr>
            <w:noProof/>
            <w:webHidden/>
          </w:rPr>
          <w:fldChar w:fldCharType="separate"/>
        </w:r>
        <w:r w:rsidR="008B20C4">
          <w:rPr>
            <w:noProof/>
            <w:webHidden/>
          </w:rPr>
          <w:t>48</w:t>
        </w:r>
        <w:r>
          <w:rPr>
            <w:noProof/>
            <w:webHidden/>
          </w:rPr>
          <w:fldChar w:fldCharType="end"/>
        </w:r>
      </w:hyperlink>
    </w:p>
    <w:p w14:paraId="536AFC78" w14:textId="6FEB186A" w:rsidR="00890290" w:rsidRDefault="00890290">
      <w:pPr>
        <w:pStyle w:val="TOC2"/>
        <w:tabs>
          <w:tab w:val="right" w:leader="dot" w:pos="9628"/>
        </w:tabs>
        <w:rPr>
          <w:rFonts w:eastAsiaTheme="minorEastAsia"/>
          <w:noProof/>
          <w:kern w:val="2"/>
          <w:szCs w:val="24"/>
          <w:lang w:eastAsia="en-NZ"/>
          <w14:ligatures w14:val="standardContextual"/>
        </w:rPr>
      </w:pPr>
      <w:hyperlink w:anchor="_Toc204940786" w:history="1">
        <w:r w:rsidRPr="00E03A4E">
          <w:rPr>
            <w:rStyle w:val="Hyperlink"/>
            <w:noProof/>
          </w:rPr>
          <w:t>Progress and ways of working</w:t>
        </w:r>
        <w:r>
          <w:rPr>
            <w:noProof/>
            <w:webHidden/>
          </w:rPr>
          <w:tab/>
        </w:r>
        <w:r>
          <w:rPr>
            <w:noProof/>
            <w:webHidden/>
          </w:rPr>
          <w:fldChar w:fldCharType="begin"/>
        </w:r>
        <w:r>
          <w:rPr>
            <w:noProof/>
            <w:webHidden/>
          </w:rPr>
          <w:instrText xml:space="preserve"> PAGEREF _Toc204940786 \h </w:instrText>
        </w:r>
        <w:r>
          <w:rPr>
            <w:noProof/>
            <w:webHidden/>
          </w:rPr>
        </w:r>
        <w:r>
          <w:rPr>
            <w:noProof/>
            <w:webHidden/>
          </w:rPr>
          <w:fldChar w:fldCharType="separate"/>
        </w:r>
        <w:r w:rsidR="008B20C4">
          <w:rPr>
            <w:noProof/>
            <w:webHidden/>
          </w:rPr>
          <w:t>50</w:t>
        </w:r>
        <w:r>
          <w:rPr>
            <w:noProof/>
            <w:webHidden/>
          </w:rPr>
          <w:fldChar w:fldCharType="end"/>
        </w:r>
      </w:hyperlink>
    </w:p>
    <w:p w14:paraId="4A647A16" w14:textId="15DF111C" w:rsidR="00890290" w:rsidRDefault="00890290">
      <w:pPr>
        <w:pStyle w:val="TOC2"/>
        <w:tabs>
          <w:tab w:val="right" w:leader="dot" w:pos="9628"/>
        </w:tabs>
        <w:rPr>
          <w:rFonts w:eastAsiaTheme="minorEastAsia"/>
          <w:noProof/>
          <w:kern w:val="2"/>
          <w:szCs w:val="24"/>
          <w:lang w:eastAsia="en-NZ"/>
          <w14:ligatures w14:val="standardContextual"/>
        </w:rPr>
      </w:pPr>
      <w:hyperlink w:anchor="_Toc204940787" w:history="1">
        <w:r w:rsidRPr="00E03A4E">
          <w:rPr>
            <w:rStyle w:val="Hyperlink"/>
            <w:noProof/>
          </w:rPr>
          <w:t>Medical gases and vapour actions</w:t>
        </w:r>
        <w:r>
          <w:rPr>
            <w:noProof/>
            <w:webHidden/>
          </w:rPr>
          <w:tab/>
        </w:r>
        <w:r>
          <w:rPr>
            <w:noProof/>
            <w:webHidden/>
          </w:rPr>
          <w:fldChar w:fldCharType="begin"/>
        </w:r>
        <w:r>
          <w:rPr>
            <w:noProof/>
            <w:webHidden/>
          </w:rPr>
          <w:instrText xml:space="preserve"> PAGEREF _Toc204940787 \h </w:instrText>
        </w:r>
        <w:r>
          <w:rPr>
            <w:noProof/>
            <w:webHidden/>
          </w:rPr>
        </w:r>
        <w:r>
          <w:rPr>
            <w:noProof/>
            <w:webHidden/>
          </w:rPr>
          <w:fldChar w:fldCharType="separate"/>
        </w:r>
        <w:r w:rsidR="008B20C4">
          <w:rPr>
            <w:noProof/>
            <w:webHidden/>
          </w:rPr>
          <w:t>50</w:t>
        </w:r>
        <w:r>
          <w:rPr>
            <w:noProof/>
            <w:webHidden/>
          </w:rPr>
          <w:fldChar w:fldCharType="end"/>
        </w:r>
      </w:hyperlink>
    </w:p>
    <w:p w14:paraId="0BAC7D74" w14:textId="7E094FB0" w:rsidR="00890290" w:rsidRDefault="00890290">
      <w:pPr>
        <w:pStyle w:val="TOC1"/>
        <w:rPr>
          <w:rFonts w:eastAsiaTheme="minorEastAsia"/>
          <w:b w:val="0"/>
          <w:noProof/>
          <w:kern w:val="2"/>
          <w:szCs w:val="24"/>
          <w:lang w:eastAsia="en-NZ"/>
          <w14:ligatures w14:val="standardContextual"/>
        </w:rPr>
      </w:pPr>
      <w:hyperlink w:anchor="_Toc204940788" w:history="1">
        <w:r w:rsidRPr="00E03A4E">
          <w:rPr>
            <w:rStyle w:val="Hyperlink"/>
            <w:noProof/>
          </w:rPr>
          <w:t>Footprint Plus</w:t>
        </w:r>
        <w:r>
          <w:rPr>
            <w:noProof/>
            <w:webHidden/>
          </w:rPr>
          <w:tab/>
        </w:r>
        <w:r>
          <w:rPr>
            <w:noProof/>
            <w:webHidden/>
          </w:rPr>
          <w:fldChar w:fldCharType="begin"/>
        </w:r>
        <w:r>
          <w:rPr>
            <w:noProof/>
            <w:webHidden/>
          </w:rPr>
          <w:instrText xml:space="preserve"> PAGEREF _Toc204940788 \h </w:instrText>
        </w:r>
        <w:r>
          <w:rPr>
            <w:noProof/>
            <w:webHidden/>
          </w:rPr>
        </w:r>
        <w:r>
          <w:rPr>
            <w:noProof/>
            <w:webHidden/>
          </w:rPr>
          <w:fldChar w:fldCharType="separate"/>
        </w:r>
        <w:r w:rsidR="008B20C4">
          <w:rPr>
            <w:noProof/>
            <w:webHidden/>
          </w:rPr>
          <w:t>54</w:t>
        </w:r>
        <w:r>
          <w:rPr>
            <w:noProof/>
            <w:webHidden/>
          </w:rPr>
          <w:fldChar w:fldCharType="end"/>
        </w:r>
      </w:hyperlink>
    </w:p>
    <w:p w14:paraId="73558E59" w14:textId="15030C1C" w:rsidR="00890290" w:rsidRDefault="00890290">
      <w:pPr>
        <w:pStyle w:val="TOC1"/>
        <w:rPr>
          <w:rFonts w:eastAsiaTheme="minorEastAsia"/>
          <w:b w:val="0"/>
          <w:noProof/>
          <w:kern w:val="2"/>
          <w:szCs w:val="24"/>
          <w:lang w:eastAsia="en-NZ"/>
          <w14:ligatures w14:val="standardContextual"/>
        </w:rPr>
      </w:pPr>
      <w:hyperlink w:anchor="_Toc204940789" w:history="1">
        <w:r w:rsidRPr="00E03A4E">
          <w:rPr>
            <w:rStyle w:val="Hyperlink"/>
            <w:noProof/>
          </w:rPr>
          <w:t>Patient and visitor private travel</w:t>
        </w:r>
        <w:r>
          <w:rPr>
            <w:noProof/>
            <w:webHidden/>
          </w:rPr>
          <w:tab/>
        </w:r>
        <w:r>
          <w:rPr>
            <w:noProof/>
            <w:webHidden/>
          </w:rPr>
          <w:fldChar w:fldCharType="begin"/>
        </w:r>
        <w:r>
          <w:rPr>
            <w:noProof/>
            <w:webHidden/>
          </w:rPr>
          <w:instrText xml:space="preserve"> PAGEREF _Toc204940789 \h </w:instrText>
        </w:r>
        <w:r>
          <w:rPr>
            <w:noProof/>
            <w:webHidden/>
          </w:rPr>
        </w:r>
        <w:r>
          <w:rPr>
            <w:noProof/>
            <w:webHidden/>
          </w:rPr>
          <w:fldChar w:fldCharType="separate"/>
        </w:r>
        <w:r w:rsidR="008B20C4">
          <w:rPr>
            <w:noProof/>
            <w:webHidden/>
          </w:rPr>
          <w:t>54</w:t>
        </w:r>
        <w:r>
          <w:rPr>
            <w:noProof/>
            <w:webHidden/>
          </w:rPr>
          <w:fldChar w:fldCharType="end"/>
        </w:r>
      </w:hyperlink>
    </w:p>
    <w:p w14:paraId="3442E9EA" w14:textId="2505F4CC" w:rsidR="00890290" w:rsidRDefault="00890290">
      <w:pPr>
        <w:pStyle w:val="TOC2"/>
        <w:tabs>
          <w:tab w:val="right" w:leader="dot" w:pos="9628"/>
        </w:tabs>
        <w:rPr>
          <w:rFonts w:eastAsiaTheme="minorEastAsia"/>
          <w:noProof/>
          <w:kern w:val="2"/>
          <w:szCs w:val="24"/>
          <w:lang w:eastAsia="en-NZ"/>
          <w14:ligatures w14:val="standardContextual"/>
        </w:rPr>
      </w:pPr>
      <w:hyperlink w:anchor="_Toc204940790" w:history="1">
        <w:r w:rsidRPr="00E03A4E">
          <w:rPr>
            <w:rStyle w:val="Hyperlink"/>
            <w:rFonts w:eastAsia="Arial"/>
            <w:noProof/>
          </w:rPr>
          <w:t>Progress</w:t>
        </w:r>
        <w:r>
          <w:rPr>
            <w:noProof/>
            <w:webHidden/>
          </w:rPr>
          <w:tab/>
        </w:r>
        <w:r>
          <w:rPr>
            <w:noProof/>
            <w:webHidden/>
          </w:rPr>
          <w:fldChar w:fldCharType="begin"/>
        </w:r>
        <w:r>
          <w:rPr>
            <w:noProof/>
            <w:webHidden/>
          </w:rPr>
          <w:instrText xml:space="preserve"> PAGEREF _Toc204940790 \h </w:instrText>
        </w:r>
        <w:r>
          <w:rPr>
            <w:noProof/>
            <w:webHidden/>
          </w:rPr>
        </w:r>
        <w:r>
          <w:rPr>
            <w:noProof/>
            <w:webHidden/>
          </w:rPr>
          <w:fldChar w:fldCharType="separate"/>
        </w:r>
        <w:r w:rsidR="008B20C4">
          <w:rPr>
            <w:noProof/>
            <w:webHidden/>
          </w:rPr>
          <w:t>54</w:t>
        </w:r>
        <w:r>
          <w:rPr>
            <w:noProof/>
            <w:webHidden/>
          </w:rPr>
          <w:fldChar w:fldCharType="end"/>
        </w:r>
      </w:hyperlink>
    </w:p>
    <w:p w14:paraId="061479F9" w14:textId="6DA41AB7" w:rsidR="00890290" w:rsidRDefault="00890290">
      <w:pPr>
        <w:pStyle w:val="TOC2"/>
        <w:tabs>
          <w:tab w:val="right" w:leader="dot" w:pos="9628"/>
        </w:tabs>
        <w:rPr>
          <w:rFonts w:eastAsiaTheme="minorEastAsia"/>
          <w:noProof/>
          <w:kern w:val="2"/>
          <w:szCs w:val="24"/>
          <w:lang w:eastAsia="en-NZ"/>
          <w14:ligatures w14:val="standardContextual"/>
        </w:rPr>
      </w:pPr>
      <w:hyperlink w:anchor="_Toc204940791" w:history="1">
        <w:r w:rsidRPr="00E03A4E">
          <w:rPr>
            <w:rStyle w:val="Hyperlink"/>
            <w:noProof/>
          </w:rPr>
          <w:t>Patient travel actions</w:t>
        </w:r>
        <w:r>
          <w:rPr>
            <w:noProof/>
            <w:webHidden/>
          </w:rPr>
          <w:tab/>
        </w:r>
        <w:r>
          <w:rPr>
            <w:noProof/>
            <w:webHidden/>
          </w:rPr>
          <w:fldChar w:fldCharType="begin"/>
        </w:r>
        <w:r>
          <w:rPr>
            <w:noProof/>
            <w:webHidden/>
          </w:rPr>
          <w:instrText xml:space="preserve"> PAGEREF _Toc204940791 \h </w:instrText>
        </w:r>
        <w:r>
          <w:rPr>
            <w:noProof/>
            <w:webHidden/>
          </w:rPr>
        </w:r>
        <w:r>
          <w:rPr>
            <w:noProof/>
            <w:webHidden/>
          </w:rPr>
          <w:fldChar w:fldCharType="separate"/>
        </w:r>
        <w:r w:rsidR="008B20C4">
          <w:rPr>
            <w:noProof/>
            <w:webHidden/>
          </w:rPr>
          <w:t>56</w:t>
        </w:r>
        <w:r>
          <w:rPr>
            <w:noProof/>
            <w:webHidden/>
          </w:rPr>
          <w:fldChar w:fldCharType="end"/>
        </w:r>
      </w:hyperlink>
    </w:p>
    <w:p w14:paraId="5A97EF44" w14:textId="1A8FC0D8" w:rsidR="00890290" w:rsidRDefault="00890290">
      <w:pPr>
        <w:pStyle w:val="TOC1"/>
        <w:rPr>
          <w:rFonts w:eastAsiaTheme="minorEastAsia"/>
          <w:b w:val="0"/>
          <w:noProof/>
          <w:kern w:val="2"/>
          <w:szCs w:val="24"/>
          <w:lang w:eastAsia="en-NZ"/>
          <w14:ligatures w14:val="standardContextual"/>
        </w:rPr>
      </w:pPr>
      <w:hyperlink w:anchor="_Toc204940792" w:history="1">
        <w:r w:rsidRPr="00E03A4E">
          <w:rPr>
            <w:rStyle w:val="Hyperlink"/>
            <w:noProof/>
          </w:rPr>
          <w:t>Staff Commute</w:t>
        </w:r>
        <w:r>
          <w:rPr>
            <w:noProof/>
            <w:webHidden/>
          </w:rPr>
          <w:tab/>
        </w:r>
        <w:r>
          <w:rPr>
            <w:noProof/>
            <w:webHidden/>
          </w:rPr>
          <w:fldChar w:fldCharType="begin"/>
        </w:r>
        <w:r>
          <w:rPr>
            <w:noProof/>
            <w:webHidden/>
          </w:rPr>
          <w:instrText xml:space="preserve"> PAGEREF _Toc204940792 \h </w:instrText>
        </w:r>
        <w:r>
          <w:rPr>
            <w:noProof/>
            <w:webHidden/>
          </w:rPr>
        </w:r>
        <w:r>
          <w:rPr>
            <w:noProof/>
            <w:webHidden/>
          </w:rPr>
          <w:fldChar w:fldCharType="separate"/>
        </w:r>
        <w:r w:rsidR="008B20C4">
          <w:rPr>
            <w:noProof/>
            <w:webHidden/>
          </w:rPr>
          <w:t>57</w:t>
        </w:r>
        <w:r>
          <w:rPr>
            <w:noProof/>
            <w:webHidden/>
          </w:rPr>
          <w:fldChar w:fldCharType="end"/>
        </w:r>
      </w:hyperlink>
    </w:p>
    <w:p w14:paraId="11C2EB2F" w14:textId="670D1E93" w:rsidR="00890290" w:rsidRDefault="00890290">
      <w:pPr>
        <w:pStyle w:val="TOC2"/>
        <w:tabs>
          <w:tab w:val="right" w:leader="dot" w:pos="9628"/>
        </w:tabs>
        <w:rPr>
          <w:rFonts w:eastAsiaTheme="minorEastAsia"/>
          <w:noProof/>
          <w:kern w:val="2"/>
          <w:szCs w:val="24"/>
          <w:lang w:eastAsia="en-NZ"/>
          <w14:ligatures w14:val="standardContextual"/>
        </w:rPr>
      </w:pPr>
      <w:hyperlink w:anchor="_Toc204940793" w:history="1">
        <w:r w:rsidRPr="00E03A4E">
          <w:rPr>
            <w:rStyle w:val="Hyperlink"/>
            <w:noProof/>
          </w:rPr>
          <w:t>Progress</w:t>
        </w:r>
        <w:r>
          <w:rPr>
            <w:noProof/>
            <w:webHidden/>
          </w:rPr>
          <w:tab/>
        </w:r>
        <w:r>
          <w:rPr>
            <w:noProof/>
            <w:webHidden/>
          </w:rPr>
          <w:fldChar w:fldCharType="begin"/>
        </w:r>
        <w:r>
          <w:rPr>
            <w:noProof/>
            <w:webHidden/>
          </w:rPr>
          <w:instrText xml:space="preserve"> PAGEREF _Toc204940793 \h </w:instrText>
        </w:r>
        <w:r>
          <w:rPr>
            <w:noProof/>
            <w:webHidden/>
          </w:rPr>
        </w:r>
        <w:r>
          <w:rPr>
            <w:noProof/>
            <w:webHidden/>
          </w:rPr>
          <w:fldChar w:fldCharType="separate"/>
        </w:r>
        <w:r w:rsidR="008B20C4">
          <w:rPr>
            <w:noProof/>
            <w:webHidden/>
          </w:rPr>
          <w:t>57</w:t>
        </w:r>
        <w:r>
          <w:rPr>
            <w:noProof/>
            <w:webHidden/>
          </w:rPr>
          <w:fldChar w:fldCharType="end"/>
        </w:r>
      </w:hyperlink>
    </w:p>
    <w:p w14:paraId="7DC517A1" w14:textId="22631B9D" w:rsidR="00890290" w:rsidRDefault="00890290">
      <w:pPr>
        <w:pStyle w:val="TOC2"/>
        <w:tabs>
          <w:tab w:val="right" w:leader="dot" w:pos="9628"/>
        </w:tabs>
        <w:rPr>
          <w:rFonts w:eastAsiaTheme="minorEastAsia"/>
          <w:noProof/>
          <w:kern w:val="2"/>
          <w:szCs w:val="24"/>
          <w:lang w:eastAsia="en-NZ"/>
          <w14:ligatures w14:val="standardContextual"/>
        </w:rPr>
      </w:pPr>
      <w:hyperlink w:anchor="_Toc204940794" w:history="1">
        <w:r w:rsidRPr="00E03A4E">
          <w:rPr>
            <w:rStyle w:val="Hyperlink"/>
            <w:noProof/>
          </w:rPr>
          <w:t>Staff Commute actions</w:t>
        </w:r>
        <w:r>
          <w:rPr>
            <w:noProof/>
            <w:webHidden/>
          </w:rPr>
          <w:tab/>
        </w:r>
        <w:r>
          <w:rPr>
            <w:noProof/>
            <w:webHidden/>
          </w:rPr>
          <w:fldChar w:fldCharType="begin"/>
        </w:r>
        <w:r>
          <w:rPr>
            <w:noProof/>
            <w:webHidden/>
          </w:rPr>
          <w:instrText xml:space="preserve"> PAGEREF _Toc204940794 \h </w:instrText>
        </w:r>
        <w:r>
          <w:rPr>
            <w:noProof/>
            <w:webHidden/>
          </w:rPr>
        </w:r>
        <w:r>
          <w:rPr>
            <w:noProof/>
            <w:webHidden/>
          </w:rPr>
          <w:fldChar w:fldCharType="separate"/>
        </w:r>
        <w:r w:rsidR="008B20C4">
          <w:rPr>
            <w:noProof/>
            <w:webHidden/>
          </w:rPr>
          <w:t>58</w:t>
        </w:r>
        <w:r>
          <w:rPr>
            <w:noProof/>
            <w:webHidden/>
          </w:rPr>
          <w:fldChar w:fldCharType="end"/>
        </w:r>
      </w:hyperlink>
    </w:p>
    <w:p w14:paraId="0D28661D" w14:textId="2C2E0404" w:rsidR="00890290" w:rsidRDefault="00890290">
      <w:pPr>
        <w:pStyle w:val="TOC1"/>
        <w:rPr>
          <w:rFonts w:eastAsiaTheme="minorEastAsia"/>
          <w:b w:val="0"/>
          <w:noProof/>
          <w:kern w:val="2"/>
          <w:szCs w:val="24"/>
          <w:lang w:eastAsia="en-NZ"/>
          <w14:ligatures w14:val="standardContextual"/>
        </w:rPr>
      </w:pPr>
      <w:hyperlink w:anchor="_Toc204940795" w:history="1">
        <w:r w:rsidRPr="00E03A4E">
          <w:rPr>
            <w:rStyle w:val="Hyperlink"/>
            <w:noProof/>
          </w:rPr>
          <w:t>Procurement and supply chain</w:t>
        </w:r>
        <w:r>
          <w:rPr>
            <w:noProof/>
            <w:webHidden/>
          </w:rPr>
          <w:tab/>
        </w:r>
        <w:r>
          <w:rPr>
            <w:noProof/>
            <w:webHidden/>
          </w:rPr>
          <w:fldChar w:fldCharType="begin"/>
        </w:r>
        <w:r>
          <w:rPr>
            <w:noProof/>
            <w:webHidden/>
          </w:rPr>
          <w:instrText xml:space="preserve"> PAGEREF _Toc204940795 \h </w:instrText>
        </w:r>
        <w:r>
          <w:rPr>
            <w:noProof/>
            <w:webHidden/>
          </w:rPr>
        </w:r>
        <w:r>
          <w:rPr>
            <w:noProof/>
            <w:webHidden/>
          </w:rPr>
          <w:fldChar w:fldCharType="separate"/>
        </w:r>
        <w:r w:rsidR="008B20C4">
          <w:rPr>
            <w:noProof/>
            <w:webHidden/>
          </w:rPr>
          <w:t>58</w:t>
        </w:r>
        <w:r>
          <w:rPr>
            <w:noProof/>
            <w:webHidden/>
          </w:rPr>
          <w:fldChar w:fldCharType="end"/>
        </w:r>
      </w:hyperlink>
    </w:p>
    <w:p w14:paraId="61E22C4B" w14:textId="10C65514" w:rsidR="00890290" w:rsidRDefault="00890290">
      <w:pPr>
        <w:pStyle w:val="TOC2"/>
        <w:tabs>
          <w:tab w:val="right" w:leader="dot" w:pos="9628"/>
        </w:tabs>
        <w:rPr>
          <w:rFonts w:eastAsiaTheme="minorEastAsia"/>
          <w:noProof/>
          <w:kern w:val="2"/>
          <w:szCs w:val="24"/>
          <w:lang w:eastAsia="en-NZ"/>
          <w14:ligatures w14:val="standardContextual"/>
        </w:rPr>
      </w:pPr>
      <w:hyperlink w:anchor="_Toc204940796" w:history="1">
        <w:r w:rsidRPr="00E03A4E">
          <w:rPr>
            <w:rStyle w:val="Hyperlink"/>
            <w:noProof/>
          </w:rPr>
          <w:t>Progress</w:t>
        </w:r>
        <w:r>
          <w:rPr>
            <w:noProof/>
            <w:webHidden/>
          </w:rPr>
          <w:tab/>
        </w:r>
        <w:r>
          <w:rPr>
            <w:noProof/>
            <w:webHidden/>
          </w:rPr>
          <w:fldChar w:fldCharType="begin"/>
        </w:r>
        <w:r>
          <w:rPr>
            <w:noProof/>
            <w:webHidden/>
          </w:rPr>
          <w:instrText xml:space="preserve"> PAGEREF _Toc204940796 \h </w:instrText>
        </w:r>
        <w:r>
          <w:rPr>
            <w:noProof/>
            <w:webHidden/>
          </w:rPr>
        </w:r>
        <w:r>
          <w:rPr>
            <w:noProof/>
            <w:webHidden/>
          </w:rPr>
          <w:fldChar w:fldCharType="separate"/>
        </w:r>
        <w:r w:rsidR="008B20C4">
          <w:rPr>
            <w:noProof/>
            <w:webHidden/>
          </w:rPr>
          <w:t>58</w:t>
        </w:r>
        <w:r>
          <w:rPr>
            <w:noProof/>
            <w:webHidden/>
          </w:rPr>
          <w:fldChar w:fldCharType="end"/>
        </w:r>
      </w:hyperlink>
    </w:p>
    <w:p w14:paraId="3CCA1735" w14:textId="4AE78D7C" w:rsidR="00890290" w:rsidRDefault="00890290">
      <w:pPr>
        <w:pStyle w:val="TOC2"/>
        <w:tabs>
          <w:tab w:val="right" w:leader="dot" w:pos="9628"/>
        </w:tabs>
        <w:rPr>
          <w:rFonts w:eastAsiaTheme="minorEastAsia"/>
          <w:noProof/>
          <w:kern w:val="2"/>
          <w:szCs w:val="24"/>
          <w:lang w:eastAsia="en-NZ"/>
          <w14:ligatures w14:val="standardContextual"/>
        </w:rPr>
      </w:pPr>
      <w:hyperlink w:anchor="_Toc204940797" w:history="1">
        <w:r w:rsidRPr="00E03A4E">
          <w:rPr>
            <w:rStyle w:val="Hyperlink"/>
            <w:noProof/>
          </w:rPr>
          <w:t>Procurement and Supply chain actions</w:t>
        </w:r>
        <w:r>
          <w:rPr>
            <w:noProof/>
            <w:webHidden/>
          </w:rPr>
          <w:tab/>
        </w:r>
        <w:r>
          <w:rPr>
            <w:noProof/>
            <w:webHidden/>
          </w:rPr>
          <w:fldChar w:fldCharType="begin"/>
        </w:r>
        <w:r>
          <w:rPr>
            <w:noProof/>
            <w:webHidden/>
          </w:rPr>
          <w:instrText xml:space="preserve"> PAGEREF _Toc204940797 \h </w:instrText>
        </w:r>
        <w:r>
          <w:rPr>
            <w:noProof/>
            <w:webHidden/>
          </w:rPr>
        </w:r>
        <w:r>
          <w:rPr>
            <w:noProof/>
            <w:webHidden/>
          </w:rPr>
          <w:fldChar w:fldCharType="separate"/>
        </w:r>
        <w:r w:rsidR="008B20C4">
          <w:rPr>
            <w:noProof/>
            <w:webHidden/>
          </w:rPr>
          <w:t>59</w:t>
        </w:r>
        <w:r>
          <w:rPr>
            <w:noProof/>
            <w:webHidden/>
          </w:rPr>
          <w:fldChar w:fldCharType="end"/>
        </w:r>
      </w:hyperlink>
    </w:p>
    <w:p w14:paraId="2FE91D8D" w14:textId="15504717" w:rsidR="00890290" w:rsidRDefault="00890290">
      <w:pPr>
        <w:pStyle w:val="TOC1"/>
        <w:rPr>
          <w:rFonts w:eastAsiaTheme="minorEastAsia"/>
          <w:b w:val="0"/>
          <w:noProof/>
          <w:kern w:val="2"/>
          <w:szCs w:val="24"/>
          <w:lang w:eastAsia="en-NZ"/>
          <w14:ligatures w14:val="standardContextual"/>
        </w:rPr>
      </w:pPr>
      <w:hyperlink w:anchor="_Toc204940798" w:history="1">
        <w:r w:rsidRPr="00E03A4E">
          <w:rPr>
            <w:rStyle w:val="Hyperlink"/>
            <w:noProof/>
          </w:rPr>
          <w:t>Infrastructure</w:t>
        </w:r>
        <w:r>
          <w:rPr>
            <w:noProof/>
            <w:webHidden/>
          </w:rPr>
          <w:tab/>
        </w:r>
        <w:r>
          <w:rPr>
            <w:noProof/>
            <w:webHidden/>
          </w:rPr>
          <w:fldChar w:fldCharType="begin"/>
        </w:r>
        <w:r>
          <w:rPr>
            <w:noProof/>
            <w:webHidden/>
          </w:rPr>
          <w:instrText xml:space="preserve"> PAGEREF _Toc204940798 \h </w:instrText>
        </w:r>
        <w:r>
          <w:rPr>
            <w:noProof/>
            <w:webHidden/>
          </w:rPr>
        </w:r>
        <w:r>
          <w:rPr>
            <w:noProof/>
            <w:webHidden/>
          </w:rPr>
          <w:fldChar w:fldCharType="separate"/>
        </w:r>
        <w:r w:rsidR="008B20C4">
          <w:rPr>
            <w:noProof/>
            <w:webHidden/>
          </w:rPr>
          <w:t>59</w:t>
        </w:r>
        <w:r>
          <w:rPr>
            <w:noProof/>
            <w:webHidden/>
          </w:rPr>
          <w:fldChar w:fldCharType="end"/>
        </w:r>
      </w:hyperlink>
    </w:p>
    <w:p w14:paraId="1D1F8723" w14:textId="4E9371B5" w:rsidR="00890290" w:rsidRDefault="00890290">
      <w:pPr>
        <w:pStyle w:val="TOC2"/>
        <w:tabs>
          <w:tab w:val="right" w:leader="dot" w:pos="9628"/>
        </w:tabs>
        <w:rPr>
          <w:rFonts w:eastAsiaTheme="minorEastAsia"/>
          <w:noProof/>
          <w:kern w:val="2"/>
          <w:szCs w:val="24"/>
          <w:lang w:eastAsia="en-NZ"/>
          <w14:ligatures w14:val="standardContextual"/>
        </w:rPr>
      </w:pPr>
      <w:hyperlink w:anchor="_Toc204940799" w:history="1">
        <w:r w:rsidRPr="00E03A4E">
          <w:rPr>
            <w:rStyle w:val="Hyperlink"/>
            <w:noProof/>
          </w:rPr>
          <w:t>Progress</w:t>
        </w:r>
        <w:r>
          <w:rPr>
            <w:noProof/>
            <w:webHidden/>
          </w:rPr>
          <w:tab/>
        </w:r>
        <w:r>
          <w:rPr>
            <w:noProof/>
            <w:webHidden/>
          </w:rPr>
          <w:fldChar w:fldCharType="begin"/>
        </w:r>
        <w:r>
          <w:rPr>
            <w:noProof/>
            <w:webHidden/>
          </w:rPr>
          <w:instrText xml:space="preserve"> PAGEREF _Toc204940799 \h </w:instrText>
        </w:r>
        <w:r>
          <w:rPr>
            <w:noProof/>
            <w:webHidden/>
          </w:rPr>
        </w:r>
        <w:r>
          <w:rPr>
            <w:noProof/>
            <w:webHidden/>
          </w:rPr>
          <w:fldChar w:fldCharType="separate"/>
        </w:r>
        <w:r w:rsidR="008B20C4">
          <w:rPr>
            <w:noProof/>
            <w:webHidden/>
          </w:rPr>
          <w:t>60</w:t>
        </w:r>
        <w:r>
          <w:rPr>
            <w:noProof/>
            <w:webHidden/>
          </w:rPr>
          <w:fldChar w:fldCharType="end"/>
        </w:r>
      </w:hyperlink>
    </w:p>
    <w:p w14:paraId="5D90062E" w14:textId="41FB1076" w:rsidR="00890290" w:rsidRDefault="00890290">
      <w:pPr>
        <w:pStyle w:val="TOC2"/>
        <w:tabs>
          <w:tab w:val="right" w:leader="dot" w:pos="9628"/>
        </w:tabs>
        <w:rPr>
          <w:rFonts w:eastAsiaTheme="minorEastAsia"/>
          <w:noProof/>
          <w:kern w:val="2"/>
          <w:szCs w:val="24"/>
          <w:lang w:eastAsia="en-NZ"/>
          <w14:ligatures w14:val="standardContextual"/>
        </w:rPr>
      </w:pPr>
      <w:hyperlink w:anchor="_Toc204940800" w:history="1">
        <w:r w:rsidRPr="00E03A4E">
          <w:rPr>
            <w:rStyle w:val="Hyperlink"/>
            <w:noProof/>
          </w:rPr>
          <w:t>Infrastructure actions</w:t>
        </w:r>
        <w:r>
          <w:rPr>
            <w:noProof/>
            <w:webHidden/>
          </w:rPr>
          <w:tab/>
        </w:r>
        <w:r>
          <w:rPr>
            <w:noProof/>
            <w:webHidden/>
          </w:rPr>
          <w:fldChar w:fldCharType="begin"/>
        </w:r>
        <w:r>
          <w:rPr>
            <w:noProof/>
            <w:webHidden/>
          </w:rPr>
          <w:instrText xml:space="preserve"> PAGEREF _Toc204940800 \h </w:instrText>
        </w:r>
        <w:r>
          <w:rPr>
            <w:noProof/>
            <w:webHidden/>
          </w:rPr>
        </w:r>
        <w:r>
          <w:rPr>
            <w:noProof/>
            <w:webHidden/>
          </w:rPr>
          <w:fldChar w:fldCharType="separate"/>
        </w:r>
        <w:r w:rsidR="008B20C4">
          <w:rPr>
            <w:noProof/>
            <w:webHidden/>
          </w:rPr>
          <w:t>61</w:t>
        </w:r>
        <w:r>
          <w:rPr>
            <w:noProof/>
            <w:webHidden/>
          </w:rPr>
          <w:fldChar w:fldCharType="end"/>
        </w:r>
      </w:hyperlink>
    </w:p>
    <w:p w14:paraId="794A02F3" w14:textId="1602ED91" w:rsidR="00890290" w:rsidRDefault="00890290">
      <w:pPr>
        <w:pStyle w:val="TOC1"/>
        <w:rPr>
          <w:rFonts w:eastAsiaTheme="minorEastAsia"/>
          <w:b w:val="0"/>
          <w:noProof/>
          <w:kern w:val="2"/>
          <w:szCs w:val="24"/>
          <w:lang w:eastAsia="en-NZ"/>
          <w14:ligatures w14:val="standardContextual"/>
        </w:rPr>
      </w:pPr>
      <w:hyperlink w:anchor="_Toc204940801" w:history="1">
        <w:r w:rsidRPr="00E03A4E">
          <w:rPr>
            <w:rStyle w:val="Hyperlink"/>
            <w:noProof/>
          </w:rPr>
          <w:t>Appendix</w:t>
        </w:r>
        <w:r>
          <w:rPr>
            <w:noProof/>
            <w:webHidden/>
          </w:rPr>
          <w:tab/>
        </w:r>
        <w:r>
          <w:rPr>
            <w:noProof/>
            <w:webHidden/>
          </w:rPr>
          <w:fldChar w:fldCharType="begin"/>
        </w:r>
        <w:r>
          <w:rPr>
            <w:noProof/>
            <w:webHidden/>
          </w:rPr>
          <w:instrText xml:space="preserve"> PAGEREF _Toc204940801 \h </w:instrText>
        </w:r>
        <w:r>
          <w:rPr>
            <w:noProof/>
            <w:webHidden/>
          </w:rPr>
        </w:r>
        <w:r>
          <w:rPr>
            <w:noProof/>
            <w:webHidden/>
          </w:rPr>
          <w:fldChar w:fldCharType="separate"/>
        </w:r>
        <w:r w:rsidR="008B20C4">
          <w:rPr>
            <w:noProof/>
            <w:webHidden/>
          </w:rPr>
          <w:t>63</w:t>
        </w:r>
        <w:r>
          <w:rPr>
            <w:noProof/>
            <w:webHidden/>
          </w:rPr>
          <w:fldChar w:fldCharType="end"/>
        </w:r>
      </w:hyperlink>
    </w:p>
    <w:p w14:paraId="2760283A" w14:textId="59A058A5" w:rsidR="00890290" w:rsidRDefault="00890290">
      <w:pPr>
        <w:pStyle w:val="TOC2"/>
        <w:tabs>
          <w:tab w:val="right" w:leader="dot" w:pos="9628"/>
        </w:tabs>
        <w:rPr>
          <w:rFonts w:eastAsiaTheme="minorEastAsia"/>
          <w:noProof/>
          <w:kern w:val="2"/>
          <w:szCs w:val="24"/>
          <w:lang w:eastAsia="en-NZ"/>
          <w14:ligatures w14:val="standardContextual"/>
        </w:rPr>
      </w:pPr>
      <w:hyperlink w:anchor="_Toc204940802" w:history="1">
        <w:r w:rsidRPr="00E03A4E">
          <w:rPr>
            <w:rStyle w:val="Hyperlink"/>
            <w:noProof/>
          </w:rPr>
          <w:t>Modelling assumptions</w:t>
        </w:r>
        <w:r>
          <w:rPr>
            <w:noProof/>
            <w:webHidden/>
          </w:rPr>
          <w:tab/>
        </w:r>
        <w:r>
          <w:rPr>
            <w:noProof/>
            <w:webHidden/>
          </w:rPr>
          <w:fldChar w:fldCharType="begin"/>
        </w:r>
        <w:r>
          <w:rPr>
            <w:noProof/>
            <w:webHidden/>
          </w:rPr>
          <w:instrText xml:space="preserve"> PAGEREF _Toc204940802 \h </w:instrText>
        </w:r>
        <w:r>
          <w:rPr>
            <w:noProof/>
            <w:webHidden/>
          </w:rPr>
        </w:r>
        <w:r>
          <w:rPr>
            <w:noProof/>
            <w:webHidden/>
          </w:rPr>
          <w:fldChar w:fldCharType="separate"/>
        </w:r>
        <w:r w:rsidR="008B20C4">
          <w:rPr>
            <w:noProof/>
            <w:webHidden/>
          </w:rPr>
          <w:t>63</w:t>
        </w:r>
        <w:r>
          <w:rPr>
            <w:noProof/>
            <w:webHidden/>
          </w:rPr>
          <w:fldChar w:fldCharType="end"/>
        </w:r>
      </w:hyperlink>
    </w:p>
    <w:p w14:paraId="2EF40DF7" w14:textId="76C7A390" w:rsidR="00890290" w:rsidRDefault="00890290">
      <w:pPr>
        <w:pStyle w:val="TOC3"/>
        <w:tabs>
          <w:tab w:val="right" w:leader="dot" w:pos="9628"/>
        </w:tabs>
        <w:rPr>
          <w:rFonts w:eastAsiaTheme="minorEastAsia"/>
          <w:noProof/>
          <w:kern w:val="2"/>
          <w:szCs w:val="24"/>
          <w:lang w:eastAsia="en-NZ"/>
          <w14:ligatures w14:val="standardContextual"/>
        </w:rPr>
      </w:pPr>
      <w:hyperlink w:anchor="_Toc204940803" w:history="1">
        <w:r w:rsidRPr="00E03A4E">
          <w:rPr>
            <w:rStyle w:val="Hyperlink"/>
            <w:noProof/>
          </w:rPr>
          <w:t>Growth</w:t>
        </w:r>
        <w:r>
          <w:rPr>
            <w:noProof/>
            <w:webHidden/>
          </w:rPr>
          <w:tab/>
        </w:r>
        <w:r>
          <w:rPr>
            <w:noProof/>
            <w:webHidden/>
          </w:rPr>
          <w:fldChar w:fldCharType="begin"/>
        </w:r>
        <w:r>
          <w:rPr>
            <w:noProof/>
            <w:webHidden/>
          </w:rPr>
          <w:instrText xml:space="preserve"> PAGEREF _Toc204940803 \h </w:instrText>
        </w:r>
        <w:r>
          <w:rPr>
            <w:noProof/>
            <w:webHidden/>
          </w:rPr>
        </w:r>
        <w:r>
          <w:rPr>
            <w:noProof/>
            <w:webHidden/>
          </w:rPr>
          <w:fldChar w:fldCharType="separate"/>
        </w:r>
        <w:r w:rsidR="008B20C4">
          <w:rPr>
            <w:noProof/>
            <w:webHidden/>
          </w:rPr>
          <w:t>63</w:t>
        </w:r>
        <w:r>
          <w:rPr>
            <w:noProof/>
            <w:webHidden/>
          </w:rPr>
          <w:fldChar w:fldCharType="end"/>
        </w:r>
      </w:hyperlink>
    </w:p>
    <w:p w14:paraId="63C88EDA" w14:textId="59967187" w:rsidR="00890290" w:rsidRDefault="00890290">
      <w:pPr>
        <w:pStyle w:val="TOC3"/>
        <w:tabs>
          <w:tab w:val="right" w:leader="dot" w:pos="9628"/>
        </w:tabs>
        <w:rPr>
          <w:rFonts w:eastAsiaTheme="minorEastAsia"/>
          <w:noProof/>
          <w:kern w:val="2"/>
          <w:szCs w:val="24"/>
          <w:lang w:eastAsia="en-NZ"/>
          <w14:ligatures w14:val="standardContextual"/>
        </w:rPr>
      </w:pPr>
      <w:hyperlink w:anchor="_Toc204940804" w:history="1">
        <w:r w:rsidRPr="00E03A4E">
          <w:rPr>
            <w:rStyle w:val="Hyperlink"/>
            <w:noProof/>
          </w:rPr>
          <w:t>Actions</w:t>
        </w:r>
        <w:r>
          <w:rPr>
            <w:noProof/>
            <w:webHidden/>
          </w:rPr>
          <w:tab/>
        </w:r>
        <w:r>
          <w:rPr>
            <w:noProof/>
            <w:webHidden/>
          </w:rPr>
          <w:fldChar w:fldCharType="begin"/>
        </w:r>
        <w:r>
          <w:rPr>
            <w:noProof/>
            <w:webHidden/>
          </w:rPr>
          <w:instrText xml:space="preserve"> PAGEREF _Toc204940804 \h </w:instrText>
        </w:r>
        <w:r>
          <w:rPr>
            <w:noProof/>
            <w:webHidden/>
          </w:rPr>
        </w:r>
        <w:r>
          <w:rPr>
            <w:noProof/>
            <w:webHidden/>
          </w:rPr>
          <w:fldChar w:fldCharType="separate"/>
        </w:r>
        <w:r w:rsidR="008B20C4">
          <w:rPr>
            <w:noProof/>
            <w:webHidden/>
          </w:rPr>
          <w:t>63</w:t>
        </w:r>
        <w:r>
          <w:rPr>
            <w:noProof/>
            <w:webHidden/>
          </w:rPr>
          <w:fldChar w:fldCharType="end"/>
        </w:r>
      </w:hyperlink>
    </w:p>
    <w:p w14:paraId="201D1E09" w14:textId="1B489824" w:rsidR="00890290" w:rsidRDefault="00890290">
      <w:pPr>
        <w:pStyle w:val="TOC1"/>
        <w:rPr>
          <w:rFonts w:eastAsiaTheme="minorEastAsia"/>
          <w:b w:val="0"/>
          <w:noProof/>
          <w:kern w:val="2"/>
          <w:szCs w:val="24"/>
          <w:lang w:eastAsia="en-NZ"/>
          <w14:ligatures w14:val="standardContextual"/>
        </w:rPr>
      </w:pPr>
      <w:hyperlink w:anchor="_Toc204940805" w:history="1">
        <w:r w:rsidRPr="00E03A4E">
          <w:rPr>
            <w:rStyle w:val="Hyperlink"/>
            <w:noProof/>
          </w:rPr>
          <w:t>References</w:t>
        </w:r>
        <w:r>
          <w:rPr>
            <w:noProof/>
            <w:webHidden/>
          </w:rPr>
          <w:tab/>
        </w:r>
        <w:r>
          <w:rPr>
            <w:noProof/>
            <w:webHidden/>
          </w:rPr>
          <w:fldChar w:fldCharType="begin"/>
        </w:r>
        <w:r>
          <w:rPr>
            <w:noProof/>
            <w:webHidden/>
          </w:rPr>
          <w:instrText xml:space="preserve"> PAGEREF _Toc204940805 \h </w:instrText>
        </w:r>
        <w:r>
          <w:rPr>
            <w:noProof/>
            <w:webHidden/>
          </w:rPr>
        </w:r>
        <w:r>
          <w:rPr>
            <w:noProof/>
            <w:webHidden/>
          </w:rPr>
          <w:fldChar w:fldCharType="separate"/>
        </w:r>
        <w:r w:rsidR="008B20C4">
          <w:rPr>
            <w:noProof/>
            <w:webHidden/>
          </w:rPr>
          <w:t>68</w:t>
        </w:r>
        <w:r>
          <w:rPr>
            <w:noProof/>
            <w:webHidden/>
          </w:rPr>
          <w:fldChar w:fldCharType="end"/>
        </w:r>
      </w:hyperlink>
    </w:p>
    <w:p w14:paraId="4812DCF0" w14:textId="1815F4C5" w:rsidR="008C5A63" w:rsidRPr="00653A18" w:rsidRDefault="00DF19E5">
      <w:pPr>
        <w:spacing w:before="0" w:after="160" w:line="259" w:lineRule="auto"/>
      </w:pPr>
      <w:r w:rsidRPr="00653A18">
        <w:fldChar w:fldCharType="end"/>
      </w:r>
    </w:p>
    <w:p w14:paraId="61584F3B" w14:textId="77777777" w:rsidR="008C5A63" w:rsidRPr="00653A18" w:rsidRDefault="008C5A63">
      <w:pPr>
        <w:spacing w:before="0" w:after="160" w:line="259" w:lineRule="auto"/>
      </w:pPr>
    </w:p>
    <w:p w14:paraId="3FA1F82A" w14:textId="77777777" w:rsidR="008C5A63" w:rsidRPr="00653A18" w:rsidRDefault="008C5A63">
      <w:pPr>
        <w:spacing w:before="0" w:after="160" w:line="259" w:lineRule="auto"/>
      </w:pPr>
    </w:p>
    <w:p w14:paraId="6EF5E5B5" w14:textId="77777777" w:rsidR="00F31680" w:rsidRDefault="00F31680">
      <w:pPr>
        <w:spacing w:before="0" w:after="160" w:line="259" w:lineRule="auto"/>
      </w:pPr>
      <w:r>
        <w:br w:type="page"/>
      </w:r>
    </w:p>
    <w:p w14:paraId="3932A6E9" w14:textId="13136304" w:rsidR="009C5639" w:rsidRPr="00A4477D" w:rsidRDefault="009C5639" w:rsidP="008229B1">
      <w:pPr>
        <w:pStyle w:val="Heading3"/>
      </w:pPr>
      <w:bookmarkStart w:id="3" w:name="_Toc204940751"/>
      <w:r w:rsidRPr="00A4477D">
        <w:lastRenderedPageBreak/>
        <w:t>Table of tables</w:t>
      </w:r>
      <w:bookmarkEnd w:id="3"/>
    </w:p>
    <w:p w14:paraId="490A0EBA" w14:textId="1A5FE18F" w:rsidR="00774B44" w:rsidRDefault="009C5639">
      <w:pPr>
        <w:pStyle w:val="TableofFigures"/>
        <w:tabs>
          <w:tab w:val="right" w:leader="dot" w:pos="9628"/>
        </w:tabs>
        <w:rPr>
          <w:rFonts w:eastAsiaTheme="minorEastAsia"/>
          <w:noProof/>
          <w:kern w:val="2"/>
          <w:szCs w:val="24"/>
          <w:lang w:eastAsia="en-NZ"/>
          <w14:ligatures w14:val="standardContextual"/>
        </w:rPr>
      </w:pPr>
      <w:r>
        <w:rPr>
          <w:highlight w:val="green"/>
        </w:rPr>
        <w:fldChar w:fldCharType="begin"/>
      </w:r>
      <w:r>
        <w:rPr>
          <w:highlight w:val="green"/>
        </w:rPr>
        <w:instrText xml:space="preserve"> TOC \h \z \c "Table" </w:instrText>
      </w:r>
      <w:r>
        <w:rPr>
          <w:highlight w:val="green"/>
        </w:rPr>
        <w:fldChar w:fldCharType="separate"/>
      </w:r>
      <w:hyperlink w:anchor="_Toc198286783" w:history="1">
        <w:r w:rsidR="00774B44" w:rsidRPr="00711B00">
          <w:rPr>
            <w:rStyle w:val="Hyperlink"/>
            <w:noProof/>
          </w:rPr>
          <w:t>Table 1 Description of Footprint and Footprint Plus emission sources</w:t>
        </w:r>
        <w:r w:rsidR="00774B44">
          <w:rPr>
            <w:noProof/>
            <w:webHidden/>
          </w:rPr>
          <w:tab/>
        </w:r>
        <w:r w:rsidR="00774B44">
          <w:rPr>
            <w:noProof/>
            <w:webHidden/>
          </w:rPr>
          <w:fldChar w:fldCharType="begin"/>
        </w:r>
        <w:r w:rsidR="00774B44">
          <w:rPr>
            <w:noProof/>
            <w:webHidden/>
          </w:rPr>
          <w:instrText xml:space="preserve"> PAGEREF _Toc198286783 \h </w:instrText>
        </w:r>
        <w:r w:rsidR="00774B44">
          <w:rPr>
            <w:noProof/>
            <w:webHidden/>
          </w:rPr>
        </w:r>
        <w:r w:rsidR="00774B44">
          <w:rPr>
            <w:noProof/>
            <w:webHidden/>
          </w:rPr>
          <w:fldChar w:fldCharType="separate"/>
        </w:r>
        <w:r w:rsidR="008B20C4">
          <w:rPr>
            <w:noProof/>
            <w:webHidden/>
          </w:rPr>
          <w:t>15</w:t>
        </w:r>
        <w:r w:rsidR="00774B44">
          <w:rPr>
            <w:noProof/>
            <w:webHidden/>
          </w:rPr>
          <w:fldChar w:fldCharType="end"/>
        </w:r>
      </w:hyperlink>
    </w:p>
    <w:p w14:paraId="21E3C48C" w14:textId="645AD271"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84" w:history="1">
        <w:r w:rsidRPr="00711B00">
          <w:rPr>
            <w:rStyle w:val="Hyperlink"/>
            <w:noProof/>
          </w:rPr>
          <w:t>Table 2 Emissions reduction progress since baseline by emissions group</w:t>
        </w:r>
        <w:r>
          <w:rPr>
            <w:noProof/>
            <w:webHidden/>
          </w:rPr>
          <w:tab/>
        </w:r>
        <w:r>
          <w:rPr>
            <w:noProof/>
            <w:webHidden/>
          </w:rPr>
          <w:fldChar w:fldCharType="begin"/>
        </w:r>
        <w:r>
          <w:rPr>
            <w:noProof/>
            <w:webHidden/>
          </w:rPr>
          <w:instrText xml:space="preserve"> PAGEREF _Toc198286784 \h </w:instrText>
        </w:r>
        <w:r>
          <w:rPr>
            <w:noProof/>
            <w:webHidden/>
          </w:rPr>
        </w:r>
        <w:r>
          <w:rPr>
            <w:noProof/>
            <w:webHidden/>
          </w:rPr>
          <w:fldChar w:fldCharType="separate"/>
        </w:r>
        <w:r w:rsidR="008B20C4">
          <w:rPr>
            <w:noProof/>
            <w:webHidden/>
          </w:rPr>
          <w:t>17</w:t>
        </w:r>
        <w:r>
          <w:rPr>
            <w:noProof/>
            <w:webHidden/>
          </w:rPr>
          <w:fldChar w:fldCharType="end"/>
        </w:r>
      </w:hyperlink>
    </w:p>
    <w:p w14:paraId="39F7F392" w14:textId="68B2F35C"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85" w:history="1">
        <w:r w:rsidRPr="00711B00">
          <w:rPr>
            <w:rStyle w:val="Hyperlink"/>
            <w:noProof/>
          </w:rPr>
          <w:t>Table 3 Emissions progress to date by level of ambition</w:t>
        </w:r>
        <w:r>
          <w:rPr>
            <w:noProof/>
            <w:webHidden/>
          </w:rPr>
          <w:tab/>
        </w:r>
        <w:r>
          <w:rPr>
            <w:noProof/>
            <w:webHidden/>
          </w:rPr>
          <w:fldChar w:fldCharType="begin"/>
        </w:r>
        <w:r>
          <w:rPr>
            <w:noProof/>
            <w:webHidden/>
          </w:rPr>
          <w:instrText xml:space="preserve"> PAGEREF _Toc198286785 \h </w:instrText>
        </w:r>
        <w:r>
          <w:rPr>
            <w:noProof/>
            <w:webHidden/>
          </w:rPr>
        </w:r>
        <w:r>
          <w:rPr>
            <w:noProof/>
            <w:webHidden/>
          </w:rPr>
          <w:fldChar w:fldCharType="separate"/>
        </w:r>
        <w:r w:rsidR="008B20C4">
          <w:rPr>
            <w:noProof/>
            <w:webHidden/>
          </w:rPr>
          <w:t>20</w:t>
        </w:r>
        <w:r>
          <w:rPr>
            <w:noProof/>
            <w:webHidden/>
          </w:rPr>
          <w:fldChar w:fldCharType="end"/>
        </w:r>
      </w:hyperlink>
    </w:p>
    <w:p w14:paraId="7847F12A" w14:textId="07621811"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86" w:history="1">
        <w:r w:rsidRPr="00711B00">
          <w:rPr>
            <w:rStyle w:val="Hyperlink"/>
            <w:noProof/>
          </w:rPr>
          <w:t>Table 4 Monitoring and reporting actions</w:t>
        </w:r>
        <w:r>
          <w:rPr>
            <w:noProof/>
            <w:webHidden/>
          </w:rPr>
          <w:tab/>
        </w:r>
        <w:r>
          <w:rPr>
            <w:noProof/>
            <w:webHidden/>
          </w:rPr>
          <w:fldChar w:fldCharType="begin"/>
        </w:r>
        <w:r>
          <w:rPr>
            <w:noProof/>
            <w:webHidden/>
          </w:rPr>
          <w:instrText xml:space="preserve"> PAGEREF _Toc198286786 \h </w:instrText>
        </w:r>
        <w:r>
          <w:rPr>
            <w:noProof/>
            <w:webHidden/>
          </w:rPr>
        </w:r>
        <w:r>
          <w:rPr>
            <w:noProof/>
            <w:webHidden/>
          </w:rPr>
          <w:fldChar w:fldCharType="separate"/>
        </w:r>
        <w:r w:rsidR="008B20C4">
          <w:rPr>
            <w:noProof/>
            <w:webHidden/>
          </w:rPr>
          <w:t>24</w:t>
        </w:r>
        <w:r>
          <w:rPr>
            <w:noProof/>
            <w:webHidden/>
          </w:rPr>
          <w:fldChar w:fldCharType="end"/>
        </w:r>
      </w:hyperlink>
    </w:p>
    <w:p w14:paraId="7AFBE33F" w14:textId="530B903C"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87" w:history="1">
        <w:r w:rsidRPr="00711B00">
          <w:rPr>
            <w:rStyle w:val="Hyperlink"/>
            <w:noProof/>
          </w:rPr>
          <w:t>Table 5 Strategic drivers for emissions reduction</w:t>
        </w:r>
        <w:r>
          <w:rPr>
            <w:noProof/>
            <w:webHidden/>
          </w:rPr>
          <w:tab/>
        </w:r>
        <w:r>
          <w:rPr>
            <w:noProof/>
            <w:webHidden/>
          </w:rPr>
          <w:fldChar w:fldCharType="begin"/>
        </w:r>
        <w:r>
          <w:rPr>
            <w:noProof/>
            <w:webHidden/>
          </w:rPr>
          <w:instrText xml:space="preserve"> PAGEREF _Toc198286787 \h </w:instrText>
        </w:r>
        <w:r>
          <w:rPr>
            <w:noProof/>
            <w:webHidden/>
          </w:rPr>
        </w:r>
        <w:r>
          <w:rPr>
            <w:noProof/>
            <w:webHidden/>
          </w:rPr>
          <w:fldChar w:fldCharType="separate"/>
        </w:r>
        <w:r w:rsidR="008B20C4">
          <w:rPr>
            <w:noProof/>
            <w:webHidden/>
          </w:rPr>
          <w:t>25</w:t>
        </w:r>
        <w:r>
          <w:rPr>
            <w:noProof/>
            <w:webHidden/>
          </w:rPr>
          <w:fldChar w:fldCharType="end"/>
        </w:r>
      </w:hyperlink>
    </w:p>
    <w:p w14:paraId="2C49E5FE" w14:textId="5FBE0EBA"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88" w:history="1">
        <w:r w:rsidRPr="00711B00">
          <w:rPr>
            <w:rStyle w:val="Hyperlink"/>
            <w:noProof/>
          </w:rPr>
          <w:t>Table 6 Aotearoa New Zealand commitments</w:t>
        </w:r>
        <w:r>
          <w:rPr>
            <w:noProof/>
            <w:webHidden/>
          </w:rPr>
          <w:tab/>
        </w:r>
        <w:r>
          <w:rPr>
            <w:noProof/>
            <w:webHidden/>
          </w:rPr>
          <w:fldChar w:fldCharType="begin"/>
        </w:r>
        <w:r>
          <w:rPr>
            <w:noProof/>
            <w:webHidden/>
          </w:rPr>
          <w:instrText xml:space="preserve"> PAGEREF _Toc198286788 \h </w:instrText>
        </w:r>
        <w:r>
          <w:rPr>
            <w:noProof/>
            <w:webHidden/>
          </w:rPr>
        </w:r>
        <w:r>
          <w:rPr>
            <w:noProof/>
            <w:webHidden/>
          </w:rPr>
          <w:fldChar w:fldCharType="separate"/>
        </w:r>
        <w:r w:rsidR="008B20C4">
          <w:rPr>
            <w:noProof/>
            <w:webHidden/>
          </w:rPr>
          <w:t>26</w:t>
        </w:r>
        <w:r>
          <w:rPr>
            <w:noProof/>
            <w:webHidden/>
          </w:rPr>
          <w:fldChar w:fldCharType="end"/>
        </w:r>
      </w:hyperlink>
    </w:p>
    <w:p w14:paraId="2A090FBA" w14:textId="7565245D"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89" w:history="1">
        <w:r w:rsidRPr="00711B00">
          <w:rPr>
            <w:rStyle w:val="Hyperlink"/>
            <w:noProof/>
          </w:rPr>
          <w:t>Table 7 Five modifiable risk factors from the Government Policy Statement on Health 2024-27</w:t>
        </w:r>
        <w:r>
          <w:rPr>
            <w:noProof/>
            <w:webHidden/>
          </w:rPr>
          <w:tab/>
        </w:r>
        <w:r>
          <w:rPr>
            <w:noProof/>
            <w:webHidden/>
          </w:rPr>
          <w:fldChar w:fldCharType="begin"/>
        </w:r>
        <w:r>
          <w:rPr>
            <w:noProof/>
            <w:webHidden/>
          </w:rPr>
          <w:instrText xml:space="preserve"> PAGEREF _Toc198286789 \h </w:instrText>
        </w:r>
        <w:r>
          <w:rPr>
            <w:noProof/>
            <w:webHidden/>
          </w:rPr>
        </w:r>
        <w:r>
          <w:rPr>
            <w:noProof/>
            <w:webHidden/>
          </w:rPr>
          <w:fldChar w:fldCharType="separate"/>
        </w:r>
        <w:r w:rsidR="008B20C4">
          <w:rPr>
            <w:noProof/>
            <w:webHidden/>
          </w:rPr>
          <w:t>30</w:t>
        </w:r>
        <w:r>
          <w:rPr>
            <w:noProof/>
            <w:webHidden/>
          </w:rPr>
          <w:fldChar w:fldCharType="end"/>
        </w:r>
      </w:hyperlink>
    </w:p>
    <w:p w14:paraId="38AD0CDE" w14:textId="23BE3D56"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0" w:history="1">
        <w:r w:rsidRPr="00711B00">
          <w:rPr>
            <w:rStyle w:val="Hyperlink"/>
            <w:noProof/>
          </w:rPr>
          <w:t>Table 8 Models of care actions</w:t>
        </w:r>
        <w:r>
          <w:rPr>
            <w:noProof/>
            <w:webHidden/>
          </w:rPr>
          <w:tab/>
        </w:r>
        <w:r>
          <w:rPr>
            <w:noProof/>
            <w:webHidden/>
          </w:rPr>
          <w:fldChar w:fldCharType="begin"/>
        </w:r>
        <w:r>
          <w:rPr>
            <w:noProof/>
            <w:webHidden/>
          </w:rPr>
          <w:instrText xml:space="preserve"> PAGEREF _Toc198286790 \h </w:instrText>
        </w:r>
        <w:r>
          <w:rPr>
            <w:noProof/>
            <w:webHidden/>
          </w:rPr>
        </w:r>
        <w:r>
          <w:rPr>
            <w:noProof/>
            <w:webHidden/>
          </w:rPr>
          <w:fldChar w:fldCharType="separate"/>
        </w:r>
        <w:r w:rsidR="008B20C4">
          <w:rPr>
            <w:noProof/>
            <w:webHidden/>
          </w:rPr>
          <w:t>37</w:t>
        </w:r>
        <w:r>
          <w:rPr>
            <w:noProof/>
            <w:webHidden/>
          </w:rPr>
          <w:fldChar w:fldCharType="end"/>
        </w:r>
      </w:hyperlink>
    </w:p>
    <w:p w14:paraId="61D36043" w14:textId="49ADFE85"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1" w:history="1">
        <w:r w:rsidRPr="00711B00">
          <w:rPr>
            <w:rStyle w:val="Hyperlink"/>
            <w:noProof/>
          </w:rPr>
          <w:t>Table 9 Energy, water, and waste actions</w:t>
        </w:r>
        <w:r>
          <w:rPr>
            <w:noProof/>
            <w:webHidden/>
          </w:rPr>
          <w:tab/>
        </w:r>
        <w:r>
          <w:rPr>
            <w:noProof/>
            <w:webHidden/>
          </w:rPr>
          <w:fldChar w:fldCharType="begin"/>
        </w:r>
        <w:r>
          <w:rPr>
            <w:noProof/>
            <w:webHidden/>
          </w:rPr>
          <w:instrText xml:space="preserve"> PAGEREF _Toc198286791 \h </w:instrText>
        </w:r>
        <w:r>
          <w:rPr>
            <w:noProof/>
            <w:webHidden/>
          </w:rPr>
        </w:r>
        <w:r>
          <w:rPr>
            <w:noProof/>
            <w:webHidden/>
          </w:rPr>
          <w:fldChar w:fldCharType="separate"/>
        </w:r>
        <w:r w:rsidR="008B20C4">
          <w:rPr>
            <w:noProof/>
            <w:webHidden/>
          </w:rPr>
          <w:t>41</w:t>
        </w:r>
        <w:r>
          <w:rPr>
            <w:noProof/>
            <w:webHidden/>
          </w:rPr>
          <w:fldChar w:fldCharType="end"/>
        </w:r>
      </w:hyperlink>
    </w:p>
    <w:p w14:paraId="0520CC5A" w14:textId="236F0A79"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2" w:history="1">
        <w:r w:rsidRPr="00711B00">
          <w:rPr>
            <w:rStyle w:val="Hyperlink"/>
            <w:noProof/>
          </w:rPr>
          <w:t>Table 10 Transport related emissions actions</w:t>
        </w:r>
        <w:r>
          <w:rPr>
            <w:noProof/>
            <w:webHidden/>
          </w:rPr>
          <w:tab/>
        </w:r>
        <w:r>
          <w:rPr>
            <w:noProof/>
            <w:webHidden/>
          </w:rPr>
          <w:fldChar w:fldCharType="begin"/>
        </w:r>
        <w:r>
          <w:rPr>
            <w:noProof/>
            <w:webHidden/>
          </w:rPr>
          <w:instrText xml:space="preserve"> PAGEREF _Toc198286792 \h </w:instrText>
        </w:r>
        <w:r>
          <w:rPr>
            <w:noProof/>
            <w:webHidden/>
          </w:rPr>
        </w:r>
        <w:r>
          <w:rPr>
            <w:noProof/>
            <w:webHidden/>
          </w:rPr>
          <w:fldChar w:fldCharType="separate"/>
        </w:r>
        <w:r w:rsidR="008B20C4">
          <w:rPr>
            <w:noProof/>
            <w:webHidden/>
          </w:rPr>
          <w:t>47</w:t>
        </w:r>
        <w:r>
          <w:rPr>
            <w:noProof/>
            <w:webHidden/>
          </w:rPr>
          <w:fldChar w:fldCharType="end"/>
        </w:r>
      </w:hyperlink>
    </w:p>
    <w:p w14:paraId="564C3C49" w14:textId="4E906BB1"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3" w:history="1">
        <w:r w:rsidRPr="00711B00">
          <w:rPr>
            <w:rStyle w:val="Hyperlink"/>
            <w:noProof/>
          </w:rPr>
          <w:t>Table 11 Medical gases and vapours actions</w:t>
        </w:r>
        <w:r>
          <w:rPr>
            <w:noProof/>
            <w:webHidden/>
          </w:rPr>
          <w:tab/>
        </w:r>
        <w:r>
          <w:rPr>
            <w:noProof/>
            <w:webHidden/>
          </w:rPr>
          <w:fldChar w:fldCharType="begin"/>
        </w:r>
        <w:r>
          <w:rPr>
            <w:noProof/>
            <w:webHidden/>
          </w:rPr>
          <w:instrText xml:space="preserve"> PAGEREF _Toc198286793 \h </w:instrText>
        </w:r>
        <w:r>
          <w:rPr>
            <w:noProof/>
            <w:webHidden/>
          </w:rPr>
        </w:r>
        <w:r>
          <w:rPr>
            <w:noProof/>
            <w:webHidden/>
          </w:rPr>
          <w:fldChar w:fldCharType="separate"/>
        </w:r>
        <w:r w:rsidR="008B20C4">
          <w:rPr>
            <w:noProof/>
            <w:webHidden/>
          </w:rPr>
          <w:t>50</w:t>
        </w:r>
        <w:r>
          <w:rPr>
            <w:noProof/>
            <w:webHidden/>
          </w:rPr>
          <w:fldChar w:fldCharType="end"/>
        </w:r>
      </w:hyperlink>
    </w:p>
    <w:p w14:paraId="45B1A113" w14:textId="7214AFFE"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4" w:history="1">
        <w:r w:rsidRPr="00711B00">
          <w:rPr>
            <w:rStyle w:val="Hyperlink"/>
            <w:noProof/>
          </w:rPr>
          <w:t>Table 12 Patient travel actions</w:t>
        </w:r>
        <w:r>
          <w:rPr>
            <w:noProof/>
            <w:webHidden/>
          </w:rPr>
          <w:tab/>
        </w:r>
        <w:r>
          <w:rPr>
            <w:noProof/>
            <w:webHidden/>
          </w:rPr>
          <w:fldChar w:fldCharType="begin"/>
        </w:r>
        <w:r>
          <w:rPr>
            <w:noProof/>
            <w:webHidden/>
          </w:rPr>
          <w:instrText xml:space="preserve"> PAGEREF _Toc198286794 \h </w:instrText>
        </w:r>
        <w:r>
          <w:rPr>
            <w:noProof/>
            <w:webHidden/>
          </w:rPr>
        </w:r>
        <w:r>
          <w:rPr>
            <w:noProof/>
            <w:webHidden/>
          </w:rPr>
          <w:fldChar w:fldCharType="separate"/>
        </w:r>
        <w:r w:rsidR="008B20C4">
          <w:rPr>
            <w:noProof/>
            <w:webHidden/>
          </w:rPr>
          <w:t>56</w:t>
        </w:r>
        <w:r>
          <w:rPr>
            <w:noProof/>
            <w:webHidden/>
          </w:rPr>
          <w:fldChar w:fldCharType="end"/>
        </w:r>
      </w:hyperlink>
    </w:p>
    <w:p w14:paraId="4A7D269A" w14:textId="7668B480"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5" w:history="1">
        <w:r w:rsidRPr="00711B00">
          <w:rPr>
            <w:rStyle w:val="Hyperlink"/>
            <w:noProof/>
          </w:rPr>
          <w:t>Table 13 Staff commute actions</w:t>
        </w:r>
        <w:r>
          <w:rPr>
            <w:noProof/>
            <w:webHidden/>
          </w:rPr>
          <w:tab/>
        </w:r>
        <w:r>
          <w:rPr>
            <w:noProof/>
            <w:webHidden/>
          </w:rPr>
          <w:fldChar w:fldCharType="begin"/>
        </w:r>
        <w:r>
          <w:rPr>
            <w:noProof/>
            <w:webHidden/>
          </w:rPr>
          <w:instrText xml:space="preserve"> PAGEREF _Toc198286795 \h </w:instrText>
        </w:r>
        <w:r>
          <w:rPr>
            <w:noProof/>
            <w:webHidden/>
          </w:rPr>
        </w:r>
        <w:r>
          <w:rPr>
            <w:noProof/>
            <w:webHidden/>
          </w:rPr>
          <w:fldChar w:fldCharType="separate"/>
        </w:r>
        <w:r w:rsidR="008B20C4">
          <w:rPr>
            <w:noProof/>
            <w:webHidden/>
          </w:rPr>
          <w:t>58</w:t>
        </w:r>
        <w:r>
          <w:rPr>
            <w:noProof/>
            <w:webHidden/>
          </w:rPr>
          <w:fldChar w:fldCharType="end"/>
        </w:r>
      </w:hyperlink>
    </w:p>
    <w:p w14:paraId="3E3EAD79" w14:textId="4B7E4F51"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6" w:history="1">
        <w:r w:rsidRPr="00711B00">
          <w:rPr>
            <w:rStyle w:val="Hyperlink"/>
            <w:noProof/>
          </w:rPr>
          <w:t>Table 14 supply chain actions</w:t>
        </w:r>
        <w:r>
          <w:rPr>
            <w:noProof/>
            <w:webHidden/>
          </w:rPr>
          <w:tab/>
        </w:r>
        <w:r>
          <w:rPr>
            <w:noProof/>
            <w:webHidden/>
          </w:rPr>
          <w:fldChar w:fldCharType="begin"/>
        </w:r>
        <w:r>
          <w:rPr>
            <w:noProof/>
            <w:webHidden/>
          </w:rPr>
          <w:instrText xml:space="preserve"> PAGEREF _Toc198286796 \h </w:instrText>
        </w:r>
        <w:r>
          <w:rPr>
            <w:noProof/>
            <w:webHidden/>
          </w:rPr>
        </w:r>
        <w:r>
          <w:rPr>
            <w:noProof/>
            <w:webHidden/>
          </w:rPr>
          <w:fldChar w:fldCharType="separate"/>
        </w:r>
        <w:r w:rsidR="008B20C4">
          <w:rPr>
            <w:noProof/>
            <w:webHidden/>
          </w:rPr>
          <w:t>59</w:t>
        </w:r>
        <w:r>
          <w:rPr>
            <w:noProof/>
            <w:webHidden/>
          </w:rPr>
          <w:fldChar w:fldCharType="end"/>
        </w:r>
      </w:hyperlink>
    </w:p>
    <w:p w14:paraId="0591D866" w14:textId="1F0A1FF5"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7" w:history="1">
        <w:r w:rsidRPr="00711B00">
          <w:rPr>
            <w:rStyle w:val="Hyperlink"/>
            <w:noProof/>
          </w:rPr>
          <w:t>Table 15 Infrastructure actions</w:t>
        </w:r>
        <w:r>
          <w:rPr>
            <w:noProof/>
            <w:webHidden/>
          </w:rPr>
          <w:tab/>
        </w:r>
        <w:r>
          <w:rPr>
            <w:noProof/>
            <w:webHidden/>
          </w:rPr>
          <w:fldChar w:fldCharType="begin"/>
        </w:r>
        <w:r>
          <w:rPr>
            <w:noProof/>
            <w:webHidden/>
          </w:rPr>
          <w:instrText xml:space="preserve"> PAGEREF _Toc198286797 \h </w:instrText>
        </w:r>
        <w:r>
          <w:rPr>
            <w:noProof/>
            <w:webHidden/>
          </w:rPr>
        </w:r>
        <w:r>
          <w:rPr>
            <w:noProof/>
            <w:webHidden/>
          </w:rPr>
          <w:fldChar w:fldCharType="separate"/>
        </w:r>
        <w:r w:rsidR="008B20C4">
          <w:rPr>
            <w:noProof/>
            <w:webHidden/>
          </w:rPr>
          <w:t>61</w:t>
        </w:r>
        <w:r>
          <w:rPr>
            <w:noProof/>
            <w:webHidden/>
          </w:rPr>
          <w:fldChar w:fldCharType="end"/>
        </w:r>
      </w:hyperlink>
    </w:p>
    <w:p w14:paraId="47276193" w14:textId="4C2DE7A3"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798" w:history="1">
        <w:r w:rsidRPr="00711B00">
          <w:rPr>
            <w:rStyle w:val="Hyperlink"/>
            <w:noProof/>
          </w:rPr>
          <w:t>Table 16 Assumptions for modelled reduction actions</w:t>
        </w:r>
        <w:r>
          <w:rPr>
            <w:noProof/>
            <w:webHidden/>
          </w:rPr>
          <w:tab/>
        </w:r>
        <w:r>
          <w:rPr>
            <w:noProof/>
            <w:webHidden/>
          </w:rPr>
          <w:fldChar w:fldCharType="begin"/>
        </w:r>
        <w:r>
          <w:rPr>
            <w:noProof/>
            <w:webHidden/>
          </w:rPr>
          <w:instrText xml:space="preserve"> PAGEREF _Toc198286798 \h </w:instrText>
        </w:r>
        <w:r>
          <w:rPr>
            <w:noProof/>
            <w:webHidden/>
          </w:rPr>
        </w:r>
        <w:r>
          <w:rPr>
            <w:noProof/>
            <w:webHidden/>
          </w:rPr>
          <w:fldChar w:fldCharType="separate"/>
        </w:r>
        <w:r w:rsidR="008B20C4">
          <w:rPr>
            <w:noProof/>
            <w:webHidden/>
          </w:rPr>
          <w:t>64</w:t>
        </w:r>
        <w:r>
          <w:rPr>
            <w:noProof/>
            <w:webHidden/>
          </w:rPr>
          <w:fldChar w:fldCharType="end"/>
        </w:r>
      </w:hyperlink>
    </w:p>
    <w:p w14:paraId="2B91BF49" w14:textId="4CD717CC" w:rsidR="00F31680" w:rsidRPr="00CE60AD" w:rsidRDefault="009C5639" w:rsidP="00F56B8E">
      <w:pPr>
        <w:pStyle w:val="Heading3"/>
      </w:pPr>
      <w:r>
        <w:rPr>
          <w:highlight w:val="green"/>
        </w:rPr>
        <w:fldChar w:fldCharType="end"/>
      </w:r>
      <w:bookmarkStart w:id="4" w:name="_Toc204940752"/>
      <w:r w:rsidR="00CE60AD" w:rsidRPr="00CE60AD">
        <w:t>Table of figures</w:t>
      </w:r>
      <w:bookmarkEnd w:id="4"/>
    </w:p>
    <w:p w14:paraId="4567A260" w14:textId="4742E7F6" w:rsidR="00774B44" w:rsidRDefault="00CE60AD">
      <w:pPr>
        <w:pStyle w:val="TableofFigures"/>
        <w:tabs>
          <w:tab w:val="right" w:leader="dot" w:pos="9628"/>
        </w:tabs>
        <w:rPr>
          <w:rFonts w:eastAsiaTheme="minorEastAsia"/>
          <w:noProof/>
          <w:kern w:val="2"/>
          <w:szCs w:val="24"/>
          <w:lang w:eastAsia="en-NZ"/>
          <w14:ligatures w14:val="standardContextual"/>
        </w:rPr>
      </w:pPr>
      <w:r>
        <w:rPr>
          <w:highlight w:val="green"/>
        </w:rPr>
        <w:fldChar w:fldCharType="begin"/>
      </w:r>
      <w:r>
        <w:rPr>
          <w:highlight w:val="green"/>
        </w:rPr>
        <w:instrText xml:space="preserve"> TOC \h \z \c "Figure" </w:instrText>
      </w:r>
      <w:r>
        <w:rPr>
          <w:highlight w:val="green"/>
        </w:rPr>
        <w:fldChar w:fldCharType="separate"/>
      </w:r>
      <w:hyperlink w:anchor="_Toc198286799" w:history="1">
        <w:r w:rsidR="00774B44" w:rsidRPr="009D0A94">
          <w:rPr>
            <w:rStyle w:val="Hyperlink"/>
            <w:noProof/>
          </w:rPr>
          <w:t>Figure 1 Comparison of FY22/23 and FY23/24 Emissions</w:t>
        </w:r>
        <w:r w:rsidR="00774B44">
          <w:rPr>
            <w:noProof/>
            <w:webHidden/>
          </w:rPr>
          <w:tab/>
        </w:r>
        <w:r w:rsidR="00774B44">
          <w:rPr>
            <w:noProof/>
            <w:webHidden/>
          </w:rPr>
          <w:fldChar w:fldCharType="begin"/>
        </w:r>
        <w:r w:rsidR="00774B44">
          <w:rPr>
            <w:noProof/>
            <w:webHidden/>
          </w:rPr>
          <w:instrText xml:space="preserve"> PAGEREF _Toc198286799 \h </w:instrText>
        </w:r>
        <w:r w:rsidR="00774B44">
          <w:rPr>
            <w:noProof/>
            <w:webHidden/>
          </w:rPr>
        </w:r>
        <w:r w:rsidR="00774B44">
          <w:rPr>
            <w:noProof/>
            <w:webHidden/>
          </w:rPr>
          <w:fldChar w:fldCharType="separate"/>
        </w:r>
        <w:r w:rsidR="008B20C4">
          <w:rPr>
            <w:noProof/>
            <w:webHidden/>
          </w:rPr>
          <w:t>19</w:t>
        </w:r>
        <w:r w:rsidR="00774B44">
          <w:rPr>
            <w:noProof/>
            <w:webHidden/>
          </w:rPr>
          <w:fldChar w:fldCharType="end"/>
        </w:r>
      </w:hyperlink>
    </w:p>
    <w:p w14:paraId="33CD0C86" w14:textId="0E357EDE"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800" w:history="1">
        <w:r w:rsidRPr="009D0A94">
          <w:rPr>
            <w:rStyle w:val="Hyperlink"/>
            <w:noProof/>
          </w:rPr>
          <w:t>Figure 2 Emission progress since Health NZ’s baseline, target, level of expectations and back-casted emissions to FY12/13</w:t>
        </w:r>
        <w:r>
          <w:rPr>
            <w:noProof/>
            <w:webHidden/>
          </w:rPr>
          <w:tab/>
        </w:r>
        <w:r>
          <w:rPr>
            <w:noProof/>
            <w:webHidden/>
          </w:rPr>
          <w:fldChar w:fldCharType="begin"/>
        </w:r>
        <w:r>
          <w:rPr>
            <w:noProof/>
            <w:webHidden/>
          </w:rPr>
          <w:instrText xml:space="preserve"> PAGEREF _Toc198286800 \h </w:instrText>
        </w:r>
        <w:r>
          <w:rPr>
            <w:noProof/>
            <w:webHidden/>
          </w:rPr>
        </w:r>
        <w:r>
          <w:rPr>
            <w:noProof/>
            <w:webHidden/>
          </w:rPr>
          <w:fldChar w:fldCharType="separate"/>
        </w:r>
        <w:r w:rsidR="008B20C4">
          <w:rPr>
            <w:noProof/>
            <w:webHidden/>
          </w:rPr>
          <w:t>22</w:t>
        </w:r>
        <w:r>
          <w:rPr>
            <w:noProof/>
            <w:webHidden/>
          </w:rPr>
          <w:fldChar w:fldCharType="end"/>
        </w:r>
      </w:hyperlink>
    </w:p>
    <w:p w14:paraId="5C664DBD" w14:textId="790FFB76"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801" w:history="1">
        <w:r w:rsidRPr="009D0A94">
          <w:rPr>
            <w:rStyle w:val="Hyperlink"/>
            <w:noProof/>
          </w:rPr>
          <w:t>Figure 3 Virtuous cycle of health benefits of emissions reduction, adapted from Dr D. Pencheon, University of Exeter</w:t>
        </w:r>
        <w:r>
          <w:rPr>
            <w:noProof/>
            <w:webHidden/>
          </w:rPr>
          <w:tab/>
        </w:r>
        <w:r>
          <w:rPr>
            <w:noProof/>
            <w:webHidden/>
          </w:rPr>
          <w:fldChar w:fldCharType="begin"/>
        </w:r>
        <w:r>
          <w:rPr>
            <w:noProof/>
            <w:webHidden/>
          </w:rPr>
          <w:instrText xml:space="preserve"> PAGEREF _Toc198286801 \h </w:instrText>
        </w:r>
        <w:r>
          <w:rPr>
            <w:noProof/>
            <w:webHidden/>
          </w:rPr>
        </w:r>
        <w:r>
          <w:rPr>
            <w:noProof/>
            <w:webHidden/>
          </w:rPr>
          <w:fldChar w:fldCharType="separate"/>
        </w:r>
        <w:r w:rsidR="008B20C4">
          <w:rPr>
            <w:noProof/>
            <w:webHidden/>
          </w:rPr>
          <w:t>28</w:t>
        </w:r>
        <w:r>
          <w:rPr>
            <w:noProof/>
            <w:webHidden/>
          </w:rPr>
          <w:fldChar w:fldCharType="end"/>
        </w:r>
      </w:hyperlink>
    </w:p>
    <w:p w14:paraId="5BC13C6D" w14:textId="217A70C1"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802" w:history="1">
        <w:r w:rsidRPr="009D0A94">
          <w:rPr>
            <w:rStyle w:val="Hyperlink"/>
            <w:noProof/>
          </w:rPr>
          <w:t>Figure 4 Health NZ reduction pathway modelling</w:t>
        </w:r>
        <w:r>
          <w:rPr>
            <w:noProof/>
            <w:webHidden/>
          </w:rPr>
          <w:tab/>
        </w:r>
        <w:r>
          <w:rPr>
            <w:noProof/>
            <w:webHidden/>
          </w:rPr>
          <w:fldChar w:fldCharType="begin"/>
        </w:r>
        <w:r>
          <w:rPr>
            <w:noProof/>
            <w:webHidden/>
          </w:rPr>
          <w:instrText xml:space="preserve"> PAGEREF _Toc198286802 \h </w:instrText>
        </w:r>
        <w:r>
          <w:rPr>
            <w:noProof/>
            <w:webHidden/>
          </w:rPr>
        </w:r>
        <w:r>
          <w:rPr>
            <w:noProof/>
            <w:webHidden/>
          </w:rPr>
          <w:fldChar w:fldCharType="separate"/>
        </w:r>
        <w:r w:rsidR="008B20C4">
          <w:rPr>
            <w:noProof/>
            <w:webHidden/>
          </w:rPr>
          <w:t>35</w:t>
        </w:r>
        <w:r>
          <w:rPr>
            <w:noProof/>
            <w:webHidden/>
          </w:rPr>
          <w:fldChar w:fldCharType="end"/>
        </w:r>
      </w:hyperlink>
    </w:p>
    <w:p w14:paraId="1F38099A" w14:textId="67CD4193"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803" w:history="1">
        <w:r w:rsidRPr="009D0A94">
          <w:rPr>
            <w:rStyle w:val="Hyperlink"/>
            <w:noProof/>
          </w:rPr>
          <w:t>Figure 5 Modelling of energy, water and waste reduction actions</w:t>
        </w:r>
        <w:r>
          <w:rPr>
            <w:noProof/>
            <w:webHidden/>
          </w:rPr>
          <w:tab/>
        </w:r>
        <w:r>
          <w:rPr>
            <w:noProof/>
            <w:webHidden/>
          </w:rPr>
          <w:fldChar w:fldCharType="begin"/>
        </w:r>
        <w:r>
          <w:rPr>
            <w:noProof/>
            <w:webHidden/>
          </w:rPr>
          <w:instrText xml:space="preserve"> PAGEREF _Toc198286803 \h </w:instrText>
        </w:r>
        <w:r>
          <w:rPr>
            <w:noProof/>
            <w:webHidden/>
          </w:rPr>
        </w:r>
        <w:r>
          <w:rPr>
            <w:noProof/>
            <w:webHidden/>
          </w:rPr>
          <w:fldChar w:fldCharType="separate"/>
        </w:r>
        <w:r w:rsidR="008B20C4">
          <w:rPr>
            <w:noProof/>
            <w:webHidden/>
          </w:rPr>
          <w:t>39</w:t>
        </w:r>
        <w:r>
          <w:rPr>
            <w:noProof/>
            <w:webHidden/>
          </w:rPr>
          <w:fldChar w:fldCharType="end"/>
        </w:r>
      </w:hyperlink>
    </w:p>
    <w:p w14:paraId="43D510EB" w14:textId="2D04D9EB"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804" w:history="1">
        <w:r w:rsidRPr="009D0A94">
          <w:rPr>
            <w:rStyle w:val="Hyperlink"/>
            <w:noProof/>
          </w:rPr>
          <w:t>Figure 6 Modelling of transport related emissions reduction actions</w:t>
        </w:r>
        <w:r>
          <w:rPr>
            <w:noProof/>
            <w:webHidden/>
          </w:rPr>
          <w:tab/>
        </w:r>
        <w:r>
          <w:rPr>
            <w:noProof/>
            <w:webHidden/>
          </w:rPr>
          <w:fldChar w:fldCharType="begin"/>
        </w:r>
        <w:r>
          <w:rPr>
            <w:noProof/>
            <w:webHidden/>
          </w:rPr>
          <w:instrText xml:space="preserve"> PAGEREF _Toc198286804 \h </w:instrText>
        </w:r>
        <w:r>
          <w:rPr>
            <w:noProof/>
            <w:webHidden/>
          </w:rPr>
        </w:r>
        <w:r>
          <w:rPr>
            <w:noProof/>
            <w:webHidden/>
          </w:rPr>
          <w:fldChar w:fldCharType="separate"/>
        </w:r>
        <w:r w:rsidR="008B20C4">
          <w:rPr>
            <w:noProof/>
            <w:webHidden/>
          </w:rPr>
          <w:t>45</w:t>
        </w:r>
        <w:r>
          <w:rPr>
            <w:noProof/>
            <w:webHidden/>
          </w:rPr>
          <w:fldChar w:fldCharType="end"/>
        </w:r>
      </w:hyperlink>
    </w:p>
    <w:p w14:paraId="5FF6D525" w14:textId="72BB2FC9"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805" w:history="1">
        <w:r w:rsidRPr="009D0A94">
          <w:rPr>
            <w:rStyle w:val="Hyperlink"/>
            <w:noProof/>
          </w:rPr>
          <w:t>Figure 7 Modelling of medical gas emissions reduction actions</w:t>
        </w:r>
        <w:r>
          <w:rPr>
            <w:noProof/>
            <w:webHidden/>
          </w:rPr>
          <w:tab/>
        </w:r>
        <w:r>
          <w:rPr>
            <w:noProof/>
            <w:webHidden/>
          </w:rPr>
          <w:fldChar w:fldCharType="begin"/>
        </w:r>
        <w:r>
          <w:rPr>
            <w:noProof/>
            <w:webHidden/>
          </w:rPr>
          <w:instrText xml:space="preserve"> PAGEREF _Toc198286805 \h </w:instrText>
        </w:r>
        <w:r>
          <w:rPr>
            <w:noProof/>
            <w:webHidden/>
          </w:rPr>
        </w:r>
        <w:r>
          <w:rPr>
            <w:noProof/>
            <w:webHidden/>
          </w:rPr>
          <w:fldChar w:fldCharType="separate"/>
        </w:r>
        <w:r w:rsidR="008B20C4">
          <w:rPr>
            <w:noProof/>
            <w:webHidden/>
          </w:rPr>
          <w:t>49</w:t>
        </w:r>
        <w:r>
          <w:rPr>
            <w:noProof/>
            <w:webHidden/>
          </w:rPr>
          <w:fldChar w:fldCharType="end"/>
        </w:r>
      </w:hyperlink>
    </w:p>
    <w:p w14:paraId="1B5BDB1D" w14:textId="36A0167E"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806" w:history="1">
        <w:r w:rsidRPr="009D0A94">
          <w:rPr>
            <w:rStyle w:val="Hyperlink"/>
            <w:noProof/>
          </w:rPr>
          <w:t>Figure 8 Nationwide Service and Campus Planning principles</w:t>
        </w:r>
        <w:r>
          <w:rPr>
            <w:noProof/>
            <w:webHidden/>
          </w:rPr>
          <w:tab/>
        </w:r>
        <w:r>
          <w:rPr>
            <w:noProof/>
            <w:webHidden/>
          </w:rPr>
          <w:fldChar w:fldCharType="begin"/>
        </w:r>
        <w:r>
          <w:rPr>
            <w:noProof/>
            <w:webHidden/>
          </w:rPr>
          <w:instrText xml:space="preserve"> PAGEREF _Toc198286806 \h </w:instrText>
        </w:r>
        <w:r>
          <w:rPr>
            <w:noProof/>
            <w:webHidden/>
          </w:rPr>
        </w:r>
        <w:r>
          <w:rPr>
            <w:noProof/>
            <w:webHidden/>
          </w:rPr>
          <w:fldChar w:fldCharType="separate"/>
        </w:r>
        <w:r w:rsidR="008B20C4">
          <w:rPr>
            <w:noProof/>
            <w:webHidden/>
          </w:rPr>
          <w:t>55</w:t>
        </w:r>
        <w:r>
          <w:rPr>
            <w:noProof/>
            <w:webHidden/>
          </w:rPr>
          <w:fldChar w:fldCharType="end"/>
        </w:r>
      </w:hyperlink>
    </w:p>
    <w:p w14:paraId="2DF1A5E0" w14:textId="266E4F77" w:rsidR="00774B44" w:rsidRDefault="00774B44">
      <w:pPr>
        <w:pStyle w:val="TableofFigures"/>
        <w:tabs>
          <w:tab w:val="right" w:leader="dot" w:pos="9628"/>
        </w:tabs>
        <w:rPr>
          <w:rFonts w:eastAsiaTheme="minorEastAsia"/>
          <w:noProof/>
          <w:kern w:val="2"/>
          <w:szCs w:val="24"/>
          <w:lang w:eastAsia="en-NZ"/>
          <w14:ligatures w14:val="standardContextual"/>
        </w:rPr>
      </w:pPr>
      <w:hyperlink w:anchor="_Toc198286807" w:history="1">
        <w:r w:rsidRPr="009D0A94">
          <w:rPr>
            <w:rStyle w:val="Hyperlink"/>
            <w:noProof/>
          </w:rPr>
          <w:t>Figure 9 Te Huhi Raupō</w:t>
        </w:r>
        <w:r w:rsidRPr="009D0A94">
          <w:rPr>
            <w:rStyle w:val="Hyperlink"/>
            <w:bCs/>
            <w:noProof/>
          </w:rPr>
          <w:t xml:space="preserve"> </w:t>
        </w:r>
        <w:r w:rsidRPr="009D0A94">
          <w:rPr>
            <w:rStyle w:val="Hyperlink"/>
            <w:noProof/>
          </w:rPr>
          <w:t>entrance (to the right)</w:t>
        </w:r>
        <w:r>
          <w:rPr>
            <w:noProof/>
            <w:webHidden/>
          </w:rPr>
          <w:tab/>
        </w:r>
        <w:r>
          <w:rPr>
            <w:noProof/>
            <w:webHidden/>
          </w:rPr>
          <w:fldChar w:fldCharType="begin"/>
        </w:r>
        <w:r>
          <w:rPr>
            <w:noProof/>
            <w:webHidden/>
          </w:rPr>
          <w:instrText xml:space="preserve"> PAGEREF _Toc198286807 \h </w:instrText>
        </w:r>
        <w:r>
          <w:rPr>
            <w:noProof/>
            <w:webHidden/>
          </w:rPr>
        </w:r>
        <w:r>
          <w:rPr>
            <w:noProof/>
            <w:webHidden/>
          </w:rPr>
          <w:fldChar w:fldCharType="separate"/>
        </w:r>
        <w:r w:rsidR="008B20C4">
          <w:rPr>
            <w:noProof/>
            <w:webHidden/>
          </w:rPr>
          <w:t>60</w:t>
        </w:r>
        <w:r>
          <w:rPr>
            <w:noProof/>
            <w:webHidden/>
          </w:rPr>
          <w:fldChar w:fldCharType="end"/>
        </w:r>
      </w:hyperlink>
    </w:p>
    <w:p w14:paraId="4F2D8EA8" w14:textId="2A756103" w:rsidR="00A4477D" w:rsidRDefault="00CE60AD" w:rsidP="00933107">
      <w:pPr>
        <w:rPr>
          <w:highlight w:val="green"/>
        </w:rPr>
      </w:pPr>
      <w:r>
        <w:rPr>
          <w:highlight w:val="green"/>
        </w:rPr>
        <w:fldChar w:fldCharType="end"/>
      </w:r>
      <w:r w:rsidR="00A4477D">
        <w:rPr>
          <w:highlight w:val="green"/>
        </w:rPr>
        <w:br w:type="page"/>
      </w:r>
    </w:p>
    <w:p w14:paraId="7BF65C5F" w14:textId="44A93CE4" w:rsidR="008C5A63" w:rsidRDefault="008C5A63" w:rsidP="00F56B8E">
      <w:pPr>
        <w:pStyle w:val="Heading3"/>
      </w:pPr>
      <w:bookmarkStart w:id="5" w:name="_Toc204940753"/>
      <w:r w:rsidRPr="002C52FD">
        <w:lastRenderedPageBreak/>
        <w:t>Glossary</w:t>
      </w:r>
      <w:bookmarkEnd w:id="5"/>
    </w:p>
    <w:tbl>
      <w:tblPr>
        <w:tblStyle w:val="TeWhatuOra"/>
        <w:tblW w:w="5000" w:type="pct"/>
        <w:tblLook w:val="04A0" w:firstRow="1" w:lastRow="0" w:firstColumn="1" w:lastColumn="0" w:noHBand="0" w:noVBand="1"/>
      </w:tblPr>
      <w:tblGrid>
        <w:gridCol w:w="2127"/>
        <w:gridCol w:w="7511"/>
      </w:tblGrid>
      <w:tr w:rsidR="00617164" w:rsidRPr="00EF7F7A" w14:paraId="2515ED34" w14:textId="77777777" w:rsidTr="008E7C4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342EBF0E" w14:textId="77777777" w:rsidR="00617164" w:rsidRPr="001D5E8D" w:rsidRDefault="00617164" w:rsidP="00C56A49">
            <w:r w:rsidRPr="001D5E8D">
              <w:t>Term</w:t>
            </w:r>
          </w:p>
        </w:tc>
        <w:tc>
          <w:tcPr>
            <w:tcW w:w="7511" w:type="dxa"/>
          </w:tcPr>
          <w:p w14:paraId="00645B79" w14:textId="77777777" w:rsidR="00617164" w:rsidRPr="001D5E8D" w:rsidRDefault="00617164" w:rsidP="00C56A49">
            <w:pPr>
              <w:cnfStyle w:val="100000000000" w:firstRow="1" w:lastRow="0" w:firstColumn="0" w:lastColumn="0" w:oddVBand="0" w:evenVBand="0" w:oddHBand="0" w:evenHBand="0" w:firstRowFirstColumn="0" w:firstRowLastColumn="0" w:lastRowFirstColumn="0" w:lastRowLastColumn="0"/>
            </w:pPr>
            <w:r w:rsidRPr="001D5E8D">
              <w:t>Definition</w:t>
            </w:r>
          </w:p>
        </w:tc>
      </w:tr>
      <w:tr w:rsidR="00617164" w:rsidRPr="00EF7F7A" w14:paraId="347067E5"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0BF9232A" w14:textId="63472113" w:rsidR="00617164" w:rsidRPr="001D5E8D" w:rsidRDefault="00182DB9" w:rsidP="00C56A49">
            <w:r w:rsidRPr="000A2F5A">
              <w:t xml:space="preserve">Carbon Neutral Government Programme </w:t>
            </w:r>
            <w:r w:rsidR="00672EF8">
              <w:t>(</w:t>
            </w:r>
            <w:r w:rsidR="00617164" w:rsidRPr="001D5E8D">
              <w:t>CNGP</w:t>
            </w:r>
            <w:r w:rsidR="00672EF8">
              <w:t>)</w:t>
            </w:r>
          </w:p>
        </w:tc>
        <w:tc>
          <w:tcPr>
            <w:tcW w:w="7511" w:type="dxa"/>
          </w:tcPr>
          <w:p w14:paraId="6FC6B090" w14:textId="7FC9B108"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Carbon Neutral Government Programme – launched </w:t>
            </w:r>
            <w:r w:rsidR="00585321" w:rsidRPr="001D5E8D">
              <w:t>in</w:t>
            </w:r>
            <w:r w:rsidRPr="001D5E8D">
              <w:t xml:space="preserve"> December 2020 by the </w:t>
            </w:r>
            <w:r w:rsidR="00754CD5">
              <w:t>G</w:t>
            </w:r>
            <w:r w:rsidR="00754CD5" w:rsidRPr="001D5E8D">
              <w:t>overnment</w:t>
            </w:r>
            <w:r w:rsidRPr="001D5E8D">
              <w:t xml:space="preserve"> to accelerate the reduction of emissions within the public sector</w:t>
            </w:r>
            <w:r w:rsidR="00754CD5">
              <w:t>.</w:t>
            </w:r>
          </w:p>
        </w:tc>
      </w:tr>
      <w:tr w:rsidR="00B14A06" w:rsidRPr="00EF7F7A" w14:paraId="5B2AF191"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2DE45731" w14:textId="1E548D29" w:rsidR="00754CD5" w:rsidRPr="001D5E8D" w:rsidRDefault="00754CD5" w:rsidP="00C56A49">
            <w:r>
              <w:t>Category one emissions</w:t>
            </w:r>
          </w:p>
        </w:tc>
        <w:tc>
          <w:tcPr>
            <w:tcW w:w="7511" w:type="dxa"/>
          </w:tcPr>
          <w:p w14:paraId="2BF1B0B1" w14:textId="421BCDED" w:rsidR="00754CD5" w:rsidRPr="001D5E8D" w:rsidRDefault="003238B2" w:rsidP="00C56A49">
            <w:pPr>
              <w:cnfStyle w:val="000000000000" w:firstRow="0" w:lastRow="0" w:firstColumn="0" w:lastColumn="0" w:oddVBand="0" w:evenVBand="0" w:oddHBand="0" w:evenHBand="0" w:firstRowFirstColumn="0" w:firstRowLastColumn="0" w:lastRowFirstColumn="0" w:lastRowLastColumn="0"/>
            </w:pPr>
            <w:r w:rsidRPr="003238B2">
              <w:t xml:space="preserve">Category </w:t>
            </w:r>
            <w:r>
              <w:t>one</w:t>
            </w:r>
            <w:r w:rsidRPr="003238B2">
              <w:t xml:space="preserve"> emissions </w:t>
            </w:r>
            <w:r w:rsidR="00FD13E4">
              <w:t xml:space="preserve">are </w:t>
            </w:r>
            <w:r w:rsidR="006D17E8">
              <w:t xml:space="preserve">direct </w:t>
            </w:r>
            <w:r w:rsidR="00275F30">
              <w:t>greenhouse gas</w:t>
            </w:r>
            <w:r w:rsidR="006D17E8">
              <w:t xml:space="preserve"> emissions and removals</w:t>
            </w:r>
            <w:r w:rsidR="00805EB3">
              <w:t>. It</w:t>
            </w:r>
            <w:r w:rsidRPr="003238B2">
              <w:t xml:space="preserve"> </w:t>
            </w:r>
            <w:r>
              <w:t>include</w:t>
            </w:r>
            <w:r w:rsidR="00805EB3">
              <w:t>s</w:t>
            </w:r>
            <w:r w:rsidRPr="003238B2">
              <w:t xml:space="preserve"> </w:t>
            </w:r>
            <w:r w:rsidR="00805EB3">
              <w:t>sources such as fuel</w:t>
            </w:r>
            <w:r w:rsidR="00E46C89">
              <w:t>s (natural gas</w:t>
            </w:r>
            <w:r w:rsidR="00F314E9">
              <w:t xml:space="preserve"> and coal used in our boilers, or petrol in our fleet vehicles)</w:t>
            </w:r>
            <w:r w:rsidR="00805EB3">
              <w:t>, refrigerant</w:t>
            </w:r>
            <w:r w:rsidR="00F314E9">
              <w:t>s</w:t>
            </w:r>
            <w:r w:rsidRPr="003238B2">
              <w:t xml:space="preserve"> and </w:t>
            </w:r>
            <w:r w:rsidR="00805EB3">
              <w:t>medical gases</w:t>
            </w:r>
            <w:r w:rsidRPr="003238B2">
              <w:t>.</w:t>
            </w:r>
          </w:p>
        </w:tc>
      </w:tr>
      <w:tr w:rsidR="00B14A06" w:rsidRPr="00EF7F7A" w14:paraId="61A90830"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7DA076C3" w14:textId="436C6C0C" w:rsidR="00754CD5" w:rsidRPr="001D5E8D" w:rsidRDefault="00754CD5" w:rsidP="00C56A49">
            <w:r>
              <w:t>Category two emissions</w:t>
            </w:r>
          </w:p>
        </w:tc>
        <w:tc>
          <w:tcPr>
            <w:tcW w:w="7511" w:type="dxa"/>
          </w:tcPr>
          <w:p w14:paraId="0FF9013E" w14:textId="3C65CAB3" w:rsidR="00754CD5" w:rsidRPr="001D5E8D" w:rsidRDefault="00275F30" w:rsidP="00C56A49">
            <w:pPr>
              <w:cnfStyle w:val="000000000000" w:firstRow="0" w:lastRow="0" w:firstColumn="0" w:lastColumn="0" w:oddVBand="0" w:evenVBand="0" w:oddHBand="0" w:evenHBand="0" w:firstRowFirstColumn="0" w:firstRowLastColumn="0" w:lastRowFirstColumn="0" w:lastRowLastColumn="0"/>
            </w:pPr>
            <w:r>
              <w:t xml:space="preserve">Category two emissions are indirect greenhouse gas emissions </w:t>
            </w:r>
            <w:r w:rsidR="00820F70">
              <w:t xml:space="preserve">from </w:t>
            </w:r>
            <w:r w:rsidR="00561FB7">
              <w:t>purchased</w:t>
            </w:r>
            <w:r w:rsidR="00820F70">
              <w:t xml:space="preserve"> energy</w:t>
            </w:r>
            <w:r w:rsidR="00561FB7">
              <w:t xml:space="preserve"> such as all electricity and any heat or steam from boilers owned by others</w:t>
            </w:r>
            <w:r w:rsidR="00820F70">
              <w:t>.</w:t>
            </w:r>
          </w:p>
        </w:tc>
      </w:tr>
      <w:tr w:rsidR="00B14A06" w:rsidRPr="00EF7F7A" w14:paraId="49ED6EF0"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0F4D564B" w14:textId="121B787D" w:rsidR="00754CD5" w:rsidRPr="001D5E8D" w:rsidRDefault="00754CD5" w:rsidP="00C56A49">
            <w:r>
              <w:t>Category three emissions</w:t>
            </w:r>
          </w:p>
        </w:tc>
        <w:tc>
          <w:tcPr>
            <w:tcW w:w="7511" w:type="dxa"/>
          </w:tcPr>
          <w:p w14:paraId="24F42702" w14:textId="11AD7154" w:rsidR="00754CD5" w:rsidRPr="001D5E8D" w:rsidRDefault="00820F70" w:rsidP="00C56A49">
            <w:pPr>
              <w:cnfStyle w:val="000000000000" w:firstRow="0" w:lastRow="0" w:firstColumn="0" w:lastColumn="0" w:oddVBand="0" w:evenVBand="0" w:oddHBand="0" w:evenHBand="0" w:firstRowFirstColumn="0" w:firstRowLastColumn="0" w:lastRowFirstColumn="0" w:lastRowLastColumn="0"/>
            </w:pPr>
            <w:r>
              <w:t xml:space="preserve">Category three emissions are indirect greenhouse gas emissions from transportation. It includes sources such as business travel and </w:t>
            </w:r>
            <w:r w:rsidR="00561FB7">
              <w:t>accommodation</w:t>
            </w:r>
            <w:r>
              <w:t>.</w:t>
            </w:r>
          </w:p>
        </w:tc>
      </w:tr>
      <w:tr w:rsidR="00B14A06" w:rsidRPr="00EF7F7A" w14:paraId="485D5CE5"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4BC620B4" w14:textId="544A2E0C" w:rsidR="00754CD5" w:rsidRPr="001D5E8D" w:rsidRDefault="00754CD5" w:rsidP="00C56A49">
            <w:r>
              <w:t>Category four emissions</w:t>
            </w:r>
          </w:p>
        </w:tc>
        <w:tc>
          <w:tcPr>
            <w:tcW w:w="7511" w:type="dxa"/>
          </w:tcPr>
          <w:p w14:paraId="0AE165BF" w14:textId="77CD9706" w:rsidR="00754CD5" w:rsidRPr="001D5E8D" w:rsidRDefault="00820F70" w:rsidP="00C56A49">
            <w:pPr>
              <w:cnfStyle w:val="000000000000" w:firstRow="0" w:lastRow="0" w:firstColumn="0" w:lastColumn="0" w:oddVBand="0" w:evenVBand="0" w:oddHBand="0" w:evenHBand="0" w:firstRowFirstColumn="0" w:firstRowLastColumn="0" w:lastRowFirstColumn="0" w:lastRowLastColumn="0"/>
            </w:pPr>
            <w:r>
              <w:t xml:space="preserve">Category four emissions are indirect greenhouse gas emissions from products that an organisation uses. </w:t>
            </w:r>
            <w:r w:rsidR="00B4321D">
              <w:t>It includes sources such as transmission and distribution losses, water supply and wastewater, and waste</w:t>
            </w:r>
            <w:r w:rsidR="00561FB7">
              <w:t xml:space="preserve"> disposal</w:t>
            </w:r>
            <w:r w:rsidR="00B4321D">
              <w:t>.</w:t>
            </w:r>
          </w:p>
        </w:tc>
      </w:tr>
      <w:tr w:rsidR="00B14A06" w:rsidRPr="00EF7F7A" w14:paraId="69733FAF"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028CE630" w14:textId="23C17766" w:rsidR="0070218C" w:rsidRDefault="0070218C" w:rsidP="00C56A49">
            <w:r>
              <w:t>Commissioned services</w:t>
            </w:r>
          </w:p>
        </w:tc>
        <w:tc>
          <w:tcPr>
            <w:tcW w:w="7511" w:type="dxa"/>
          </w:tcPr>
          <w:p w14:paraId="7267730F" w14:textId="33578662" w:rsidR="0070218C" w:rsidRPr="001D5E8D" w:rsidRDefault="00BB4526" w:rsidP="00C56A49">
            <w:pPr>
              <w:cnfStyle w:val="000000000000" w:firstRow="0" w:lastRow="0" w:firstColumn="0" w:lastColumn="0" w:oddVBand="0" w:evenVBand="0" w:oddHBand="0" w:evenHBand="0" w:firstRowFirstColumn="0" w:firstRowLastColumn="0" w:lastRowFirstColumn="0" w:lastRowLastColumn="0"/>
            </w:pPr>
            <w:r>
              <w:t>R</w:t>
            </w:r>
            <w:r w:rsidRPr="00BB4526">
              <w:t>efer</w:t>
            </w:r>
            <w:r w:rsidR="00D64AE9">
              <w:t>s</w:t>
            </w:r>
            <w:r w:rsidRPr="00BB4526">
              <w:t xml:space="preserve"> to health services that are planned, funded, and monitored by </w:t>
            </w:r>
            <w:r>
              <w:t>Health NZ</w:t>
            </w:r>
            <w:r w:rsidR="004A4148">
              <w:t>.</w:t>
            </w:r>
            <w:r>
              <w:t xml:space="preserve"> </w:t>
            </w:r>
            <w:r w:rsidR="009512CB" w:rsidRPr="009512CB">
              <w:t>These services are often provided by various organi</w:t>
            </w:r>
            <w:r w:rsidR="009512CB">
              <w:t>s</w:t>
            </w:r>
            <w:r w:rsidR="009512CB" w:rsidRPr="009512CB">
              <w:t>ations, including public sector agencies, community groups, and private entities, to meet specific health needs and improve health outcomes for the population</w:t>
            </w:r>
            <w:r w:rsidR="00A8289F">
              <w:t xml:space="preserve">. </w:t>
            </w:r>
          </w:p>
        </w:tc>
      </w:tr>
      <w:tr w:rsidR="00B14A06" w:rsidRPr="00EF7F7A" w14:paraId="3556FEB9"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33785A0B" w14:textId="7E5DA99E" w:rsidR="00754CD5" w:rsidRDefault="00754CD5" w:rsidP="00C56A49">
            <w:r w:rsidRPr="001D5E8D">
              <w:t>Continuing Medical Education</w:t>
            </w:r>
            <w:r>
              <w:t xml:space="preserve"> (</w:t>
            </w:r>
            <w:r w:rsidRPr="001D5E8D">
              <w:rPr>
                <w:rFonts w:cstheme="minorHAnsi"/>
              </w:rPr>
              <w:t>CME</w:t>
            </w:r>
            <w:r>
              <w:rPr>
                <w:rFonts w:cstheme="minorHAnsi"/>
              </w:rPr>
              <w:t>)</w:t>
            </w:r>
          </w:p>
        </w:tc>
        <w:tc>
          <w:tcPr>
            <w:tcW w:w="7511" w:type="dxa"/>
          </w:tcPr>
          <w:p w14:paraId="2B232EB1" w14:textId="6A411359" w:rsidR="00754CD5" w:rsidRPr="001D5E8D" w:rsidRDefault="00754CD5" w:rsidP="00C56A49">
            <w:pPr>
              <w:cnfStyle w:val="000000000000" w:firstRow="0" w:lastRow="0" w:firstColumn="0" w:lastColumn="0" w:oddVBand="0" w:evenVBand="0" w:oddHBand="0" w:evenHBand="0" w:firstRowFirstColumn="0" w:firstRowLastColumn="0" w:lastRowFirstColumn="0" w:lastRowLastColumn="0"/>
            </w:pPr>
            <w:r w:rsidRPr="001D5E8D">
              <w:t>Continuing Medical Education</w:t>
            </w:r>
            <w:r>
              <w:t xml:space="preserve"> </w:t>
            </w:r>
            <w:r w:rsidRPr="00816287">
              <w:t>refers to educational activities that help medical professionals maintain, develop, or increase their knowledge, skills, and professional performance.</w:t>
            </w:r>
          </w:p>
        </w:tc>
      </w:tr>
      <w:tr w:rsidR="00617164" w:rsidRPr="00EF7F7A" w14:paraId="4CC52AEE"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074C8BCA" w14:textId="77777777" w:rsidR="00617164" w:rsidRPr="001D5E8D" w:rsidRDefault="00617164" w:rsidP="00C56A49">
            <w:hyperlink r:id="rId13" w:history="1">
              <w:r w:rsidRPr="001D5E8D">
                <w:t>Crown Entities Act 2004</w:t>
              </w:r>
            </w:hyperlink>
          </w:p>
        </w:tc>
        <w:tc>
          <w:tcPr>
            <w:tcW w:w="7511" w:type="dxa"/>
          </w:tcPr>
          <w:p w14:paraId="1E9B7430" w14:textId="54368F0E"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Clarifies the accountability relationships between </w:t>
            </w:r>
            <w:r w:rsidR="00754CD5">
              <w:t>C</w:t>
            </w:r>
            <w:r w:rsidRPr="001D5E8D">
              <w:t>rown entities, their board members, responsible Ministers and the House of Representatives.</w:t>
            </w:r>
          </w:p>
        </w:tc>
      </w:tr>
      <w:tr w:rsidR="00617164" w:rsidRPr="00EF7F7A" w14:paraId="73535252"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6EED3394" w14:textId="77777777" w:rsidR="00617164" w:rsidRPr="00C56A49" w:rsidRDefault="00617164" w:rsidP="00C56A49">
            <w:pPr>
              <w:rPr>
                <w:szCs w:val="24"/>
              </w:rPr>
            </w:pPr>
            <w:r w:rsidRPr="00C56A49">
              <w:rPr>
                <w:rStyle w:val="eop"/>
                <w:rFonts w:cstheme="minorHAnsi"/>
                <w:szCs w:val="24"/>
              </w:rPr>
              <w:t>Determinants of health</w:t>
            </w:r>
          </w:p>
        </w:tc>
        <w:tc>
          <w:tcPr>
            <w:tcW w:w="7511" w:type="dxa"/>
          </w:tcPr>
          <w:p w14:paraId="1CE0B382" w14:textId="2D1581E8"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rPr>
                <w:shd w:val="clear" w:color="auto" w:fill="FFFFFF"/>
              </w:rPr>
              <w:t xml:space="preserve">Factors that impact the health of individuals and communities, many of which have direct and indirect links to and impacts from climate change, such as paid employment, </w:t>
            </w:r>
            <w:r w:rsidR="00754CD5">
              <w:rPr>
                <w:shd w:val="clear" w:color="auto" w:fill="FFFFFF"/>
              </w:rPr>
              <w:t xml:space="preserve">and </w:t>
            </w:r>
            <w:r w:rsidRPr="001D5E8D">
              <w:rPr>
                <w:shd w:val="clear" w:color="auto" w:fill="FFFFFF"/>
              </w:rPr>
              <w:t>warm and dry housing.</w:t>
            </w:r>
          </w:p>
        </w:tc>
      </w:tr>
      <w:tr w:rsidR="00617164" w:rsidRPr="00EF7F7A" w14:paraId="669D159B"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165FF1C3" w14:textId="77777777" w:rsidR="00617164" w:rsidRPr="001D5E8D" w:rsidRDefault="00617164" w:rsidP="00C56A49">
            <w:r w:rsidRPr="001D5E8D">
              <w:lastRenderedPageBreak/>
              <w:t xml:space="preserve">End-of-trip facilities </w:t>
            </w:r>
          </w:p>
        </w:tc>
        <w:tc>
          <w:tcPr>
            <w:tcW w:w="7511" w:type="dxa"/>
          </w:tcPr>
          <w:p w14:paraId="79CA72A5" w14:textId="77777777"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Places or rooms that support people who actively travel to work by biking, scootering or walking. They include secure bike parking, lockers and showers and may also include other facilities such as bike repair kits, e-scooter charging, hairdryers and drying rooms. </w:t>
            </w:r>
          </w:p>
        </w:tc>
      </w:tr>
      <w:tr w:rsidR="000359A9" w:rsidRPr="00EF7F7A" w14:paraId="452DF8B0"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3646C5CC" w14:textId="15F54BF8" w:rsidR="000359A9" w:rsidRPr="001D5E8D" w:rsidRDefault="000359A9" w:rsidP="00C56A49">
            <w:r>
              <w:t>Energy Transition Programme</w:t>
            </w:r>
          </w:p>
        </w:tc>
        <w:tc>
          <w:tcPr>
            <w:tcW w:w="7511" w:type="dxa"/>
          </w:tcPr>
          <w:p w14:paraId="541F05CA" w14:textId="65143AED" w:rsidR="000359A9" w:rsidRPr="001D5E8D" w:rsidRDefault="000050C6" w:rsidP="00C56A49">
            <w:pPr>
              <w:cnfStyle w:val="000000000000" w:firstRow="0" w:lastRow="0" w:firstColumn="0" w:lastColumn="0" w:oddVBand="0" w:evenVBand="0" w:oddHBand="0" w:evenHBand="0" w:firstRowFirstColumn="0" w:firstRowLastColumn="0" w:lastRowFirstColumn="0" w:lastRowLastColumn="0"/>
            </w:pPr>
            <w:r>
              <w:t xml:space="preserve">The Energy Transition Programme is a co-funded programme with the Energy Efficiency and Conservation Agency (EECA) to transition and decarbonise </w:t>
            </w:r>
            <w:r w:rsidR="009E1ED1">
              <w:t>across</w:t>
            </w:r>
            <w:r>
              <w:t xml:space="preserve"> the Health NZ </w:t>
            </w:r>
            <w:r w:rsidR="009E1ED1">
              <w:t>facilities</w:t>
            </w:r>
            <w:r w:rsidR="00E44B10">
              <w:t>. It includes</w:t>
            </w:r>
            <w:r>
              <w:t xml:space="preserve"> transition</w:t>
            </w:r>
            <w:r w:rsidR="00E8573A">
              <w:t>ing</w:t>
            </w:r>
            <w:r>
              <w:t xml:space="preserve"> fossil fuel boilers to</w:t>
            </w:r>
            <w:r w:rsidR="009E1ED1">
              <w:t xml:space="preserve"> lowe</w:t>
            </w:r>
            <w:r w:rsidR="009E38B3">
              <w:t xml:space="preserve">r </w:t>
            </w:r>
            <w:r w:rsidR="00754CD5">
              <w:t>emission fuels and plant</w:t>
            </w:r>
            <w:r w:rsidR="009E38B3">
              <w:t xml:space="preserve"> such as</w:t>
            </w:r>
            <w:r>
              <w:t xml:space="preserve"> heat pumps, replac</w:t>
            </w:r>
            <w:r w:rsidR="00E8573A">
              <w:t>ing</w:t>
            </w:r>
            <w:r>
              <w:t xml:space="preserve"> </w:t>
            </w:r>
            <w:r w:rsidR="009E1ED1">
              <w:t>inefficient</w:t>
            </w:r>
            <w:r>
              <w:t xml:space="preserve"> lighting with LEDs and support</w:t>
            </w:r>
            <w:r w:rsidR="00E8573A">
              <w:t>ing</w:t>
            </w:r>
            <w:r>
              <w:t xml:space="preserve"> </w:t>
            </w:r>
            <w:r w:rsidR="009E1ED1">
              <w:t xml:space="preserve">onsite renewable energy generation. </w:t>
            </w:r>
          </w:p>
        </w:tc>
      </w:tr>
      <w:tr w:rsidR="00617164" w:rsidRPr="00EF7F7A" w14:paraId="3552F134"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7450965E" w14:textId="00EF9690" w:rsidR="00617164" w:rsidRPr="001D5E8D" w:rsidRDefault="00617164" w:rsidP="00C56A49">
            <w:r w:rsidRPr="001D5E8D">
              <w:t>GHG emissions</w:t>
            </w:r>
            <w:r w:rsidR="004F17BF" w:rsidRPr="001D5E8D">
              <w:t xml:space="preserve"> or Greenhouse gases</w:t>
            </w:r>
            <w:r w:rsidR="00754CD5">
              <w:t xml:space="preserve"> (referred to as emissions)</w:t>
            </w:r>
          </w:p>
        </w:tc>
        <w:tc>
          <w:tcPr>
            <w:tcW w:w="7511" w:type="dxa"/>
          </w:tcPr>
          <w:p w14:paraId="52A59506" w14:textId="46671CD4" w:rsidR="00617164" w:rsidRPr="001D5E8D" w:rsidRDefault="004F17BF" w:rsidP="00C56A49">
            <w:pPr>
              <w:cnfStyle w:val="000000000000" w:firstRow="0" w:lastRow="0" w:firstColumn="0" w:lastColumn="0" w:oddVBand="0" w:evenVBand="0" w:oddHBand="0" w:evenHBand="0" w:firstRowFirstColumn="0" w:firstRowLastColumn="0" w:lastRowFirstColumn="0" w:lastRowLastColumn="0"/>
            </w:pPr>
            <w:r w:rsidRPr="001D5E8D">
              <w:t xml:space="preserve">Gases such as carbon dioxide, methane, nitrous dioxide and fluorinated gases, when released into the Earth’s atmosphere through </w:t>
            </w:r>
            <w:r w:rsidR="008F4938" w:rsidRPr="001D5E8D">
              <w:t xml:space="preserve">combustion or direct release, which drives climate change and global warming. </w:t>
            </w:r>
          </w:p>
        </w:tc>
      </w:tr>
      <w:tr w:rsidR="00617164" w:rsidRPr="00EF7F7A" w14:paraId="1C1A347F"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49FC328E" w14:textId="77777777" w:rsidR="00617164" w:rsidRPr="001D5E8D" w:rsidRDefault="00617164" w:rsidP="00C56A49">
            <w:r w:rsidRPr="001D5E8D">
              <w:t>Government Policy Statement on Health 2024-2027 (GPS)</w:t>
            </w:r>
          </w:p>
        </w:tc>
        <w:tc>
          <w:tcPr>
            <w:tcW w:w="7511" w:type="dxa"/>
          </w:tcPr>
          <w:p w14:paraId="6B2C432E" w14:textId="77777777"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The public statement of what the Government expects the health system to deliver and achieve, and how success will be measured, monitored, and reported.</w:t>
            </w:r>
          </w:p>
        </w:tc>
      </w:tr>
      <w:tr w:rsidR="00617164" w:rsidRPr="00EF7F7A" w14:paraId="3C5AC312"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28874E16" w14:textId="2B1A711B" w:rsidR="00617164" w:rsidRPr="001D5E8D" w:rsidRDefault="007D07D9" w:rsidP="00C56A49">
            <w:r w:rsidRPr="001D5E8D">
              <w:t>Global Warming Potential (GWP)</w:t>
            </w:r>
          </w:p>
        </w:tc>
        <w:tc>
          <w:tcPr>
            <w:tcW w:w="7511" w:type="dxa"/>
          </w:tcPr>
          <w:p w14:paraId="69CB6E7E" w14:textId="3D4786B4"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Global warming potential is the potency of a greenhouse gas</w:t>
            </w:r>
            <w:r w:rsidR="00F23C0C">
              <w:t xml:space="preserve"> relative to carbon dioxide</w:t>
            </w:r>
            <w:r w:rsidR="00764318">
              <w:t>,</w:t>
            </w:r>
            <w:r w:rsidRPr="001D5E8D">
              <w:t xml:space="preserve"> taking into account how long it remains active in </w:t>
            </w:r>
            <w:r w:rsidR="00754CD5" w:rsidRPr="001D5E8D">
              <w:t>t</w:t>
            </w:r>
            <w:r w:rsidR="00754CD5">
              <w:t>h</w:t>
            </w:r>
            <w:r w:rsidR="00754CD5" w:rsidRPr="001D5E8D">
              <w:t>e</w:t>
            </w:r>
            <w:r w:rsidRPr="001D5E8D">
              <w:t xml:space="preserve"> atmosphere</w:t>
            </w:r>
            <w:r w:rsidR="00764318">
              <w:t>.</w:t>
            </w:r>
          </w:p>
        </w:tc>
      </w:tr>
      <w:tr w:rsidR="00617164" w:rsidRPr="00EF7F7A" w14:paraId="1F915AEA"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00FA6794" w14:textId="3071D294" w:rsidR="00617164" w:rsidRPr="00C56A49" w:rsidRDefault="00EF7F7A" w:rsidP="00C56A49">
            <w:pPr>
              <w:rPr>
                <w:szCs w:val="24"/>
              </w:rPr>
            </w:pPr>
            <w:r w:rsidRPr="00C56A49">
              <w:rPr>
                <w:rStyle w:val="eop"/>
                <w:rFonts w:cstheme="minorHAnsi"/>
                <w:szCs w:val="24"/>
              </w:rPr>
              <w:t>G</w:t>
            </w:r>
            <w:r w:rsidR="00617164" w:rsidRPr="00C56A49">
              <w:rPr>
                <w:rStyle w:val="eop"/>
                <w:rFonts w:cstheme="minorHAnsi"/>
                <w:szCs w:val="24"/>
              </w:rPr>
              <w:t>uaranteed ride home programmes</w:t>
            </w:r>
          </w:p>
        </w:tc>
        <w:tc>
          <w:tcPr>
            <w:tcW w:w="7511" w:type="dxa"/>
          </w:tcPr>
          <w:p w14:paraId="21644AAC" w14:textId="77777777"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A guaranteed ride home programme ensures that if one participant in a carpool is unable to go home using their carpool (because of an emergency or being asked to work overtime for example), they will receive a voucher or company car or other means of getting home. </w:t>
            </w:r>
          </w:p>
        </w:tc>
      </w:tr>
      <w:tr w:rsidR="00617164" w:rsidRPr="00EF7F7A" w14:paraId="1A3FC5A7"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1DAD3D46" w14:textId="77777777" w:rsidR="00617164" w:rsidRPr="00C56A49" w:rsidRDefault="00617164" w:rsidP="00C56A49">
            <w:pPr>
              <w:rPr>
                <w:rStyle w:val="eop"/>
                <w:rFonts w:cstheme="minorHAnsi"/>
                <w:szCs w:val="24"/>
              </w:rPr>
            </w:pPr>
            <w:r w:rsidRPr="00C56A49">
              <w:rPr>
                <w:rStyle w:val="eop"/>
                <w:rFonts w:cstheme="minorHAnsi"/>
                <w:szCs w:val="24"/>
              </w:rPr>
              <w:t>Models of care</w:t>
            </w:r>
          </w:p>
        </w:tc>
        <w:tc>
          <w:tcPr>
            <w:tcW w:w="7511" w:type="dxa"/>
          </w:tcPr>
          <w:p w14:paraId="1A145CFB" w14:textId="6CE7A4BA" w:rsidR="00617164" w:rsidRPr="001D5E8D" w:rsidRDefault="00EF7F7A" w:rsidP="00C56A49">
            <w:pPr>
              <w:cnfStyle w:val="000000000000" w:firstRow="0" w:lastRow="0" w:firstColumn="0" w:lastColumn="0" w:oddVBand="0" w:evenVBand="0" w:oddHBand="0" w:evenHBand="0" w:firstRowFirstColumn="0" w:firstRowLastColumn="0" w:lastRowFirstColumn="0" w:lastRowLastColumn="0"/>
            </w:pPr>
            <w:r w:rsidRPr="001D5E8D">
              <w:t>Outlines how health services are delivered to patients to reflect b</w:t>
            </w:r>
            <w:r w:rsidR="00617164" w:rsidRPr="001D5E8D">
              <w:t>est practice healthcare and service delivery</w:t>
            </w:r>
            <w:r w:rsidRPr="001D5E8D">
              <w:t xml:space="preserve"> and reduce unwarranted variation. </w:t>
            </w:r>
          </w:p>
        </w:tc>
      </w:tr>
      <w:tr w:rsidR="00617164" w:rsidRPr="00EF7F7A" w14:paraId="1BE08B3C"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1B8E618D" w14:textId="77777777" w:rsidR="00617164" w:rsidRPr="001D5E8D" w:rsidRDefault="00617164" w:rsidP="00C56A49">
            <w:pPr>
              <w:rPr>
                <w:rStyle w:val="eop"/>
                <w:rFonts w:cstheme="minorHAnsi"/>
                <w:sz w:val="20"/>
                <w:szCs w:val="20"/>
              </w:rPr>
            </w:pPr>
            <w:r w:rsidRPr="001D5E8D">
              <w:rPr>
                <w:rFonts w:eastAsia="Calibri"/>
              </w:rPr>
              <w:t xml:space="preserve">NABERSNZ </w:t>
            </w:r>
          </w:p>
        </w:tc>
        <w:tc>
          <w:tcPr>
            <w:tcW w:w="7511" w:type="dxa"/>
          </w:tcPr>
          <w:p w14:paraId="40411572" w14:textId="2B687D1E"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A collaboration between </w:t>
            </w:r>
            <w:r w:rsidR="00AF0ABE">
              <w:t xml:space="preserve">the </w:t>
            </w:r>
            <w:r w:rsidRPr="001D5E8D">
              <w:rPr>
                <w:rFonts w:eastAsia="Calibri"/>
              </w:rPr>
              <w:t xml:space="preserve">National Australian Built Environment Rating System and EECA that provides an energy rating </w:t>
            </w:r>
            <w:r w:rsidR="005902CA">
              <w:rPr>
                <w:rFonts w:eastAsia="Calibri"/>
              </w:rPr>
              <w:t xml:space="preserve">system </w:t>
            </w:r>
            <w:r w:rsidRPr="001D5E8D">
              <w:rPr>
                <w:rFonts w:eastAsia="Calibri"/>
              </w:rPr>
              <w:t>for public hospitals</w:t>
            </w:r>
            <w:r w:rsidR="008325B5">
              <w:rPr>
                <w:rFonts w:eastAsia="Calibri"/>
              </w:rPr>
              <w:t>.</w:t>
            </w:r>
            <w:r w:rsidRPr="001D5E8D">
              <w:rPr>
                <w:rFonts w:eastAsia="Calibri"/>
              </w:rPr>
              <w:t xml:space="preserve"> </w:t>
            </w:r>
          </w:p>
        </w:tc>
      </w:tr>
      <w:tr w:rsidR="00617164" w:rsidRPr="00EF7F7A" w14:paraId="66DCD748"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104A47F4" w14:textId="2ECDC370" w:rsidR="00617164" w:rsidRPr="00A46FAF" w:rsidRDefault="00617164" w:rsidP="00C56A49">
            <w:pPr>
              <w:rPr>
                <w:rStyle w:val="eop"/>
                <w:rFonts w:cstheme="minorHAnsi"/>
                <w:sz w:val="20"/>
                <w:szCs w:val="20"/>
              </w:rPr>
            </w:pPr>
            <w:r w:rsidRPr="00A46FAF">
              <w:t>New Zealand Health Plan</w:t>
            </w:r>
            <w:r w:rsidR="00AA7304" w:rsidRPr="00A46FAF">
              <w:t>s</w:t>
            </w:r>
            <w:r w:rsidRPr="00A46FAF">
              <w:t xml:space="preserve"> </w:t>
            </w:r>
          </w:p>
        </w:tc>
        <w:tc>
          <w:tcPr>
            <w:tcW w:w="7511" w:type="dxa"/>
          </w:tcPr>
          <w:p w14:paraId="0CB7163D" w14:textId="18812DFB" w:rsidR="00617164" w:rsidRPr="00A46FAF" w:rsidRDefault="00617164" w:rsidP="00C56A49">
            <w:pPr>
              <w:cnfStyle w:val="000000000000" w:firstRow="0" w:lastRow="0" w:firstColumn="0" w:lastColumn="0" w:oddVBand="0" w:evenVBand="0" w:oddHBand="0" w:evenHBand="0" w:firstRowFirstColumn="0" w:firstRowLastColumn="0" w:lastRowFirstColumn="0" w:lastRowLastColumn="0"/>
            </w:pPr>
            <w:r w:rsidRPr="00A46FAF">
              <w:t xml:space="preserve">Health NZ’s </w:t>
            </w:r>
            <w:r w:rsidR="00AA7304" w:rsidRPr="00A46FAF">
              <w:t>multiyear</w:t>
            </w:r>
            <w:r w:rsidRPr="00A46FAF">
              <w:t xml:space="preserve"> work plan</w:t>
            </w:r>
            <w:r w:rsidR="00AA7304" w:rsidRPr="00A46FAF">
              <w:t>s</w:t>
            </w:r>
            <w:r w:rsidR="00D2487E" w:rsidRPr="00A46FAF">
              <w:t xml:space="preserve"> to transform New Zealand’s health system to improve the health and wellbeing of all New Zealanders</w:t>
            </w:r>
            <w:r w:rsidR="0068242B" w:rsidRPr="00A46FAF">
              <w:t>.</w:t>
            </w:r>
          </w:p>
        </w:tc>
      </w:tr>
      <w:tr w:rsidR="00617164" w:rsidRPr="00EF7F7A" w14:paraId="614CA43E"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413BDD0B" w14:textId="655352EE" w:rsidR="00617164" w:rsidRPr="00C56A49" w:rsidRDefault="0068242B" w:rsidP="00C56A49">
            <w:pPr>
              <w:rPr>
                <w:rStyle w:val="eop"/>
                <w:rFonts w:cstheme="minorHAnsi"/>
                <w:szCs w:val="24"/>
              </w:rPr>
            </w:pPr>
            <w:r w:rsidRPr="00C56A49">
              <w:rPr>
                <w:rStyle w:val="eop"/>
                <w:rFonts w:cstheme="minorHAnsi"/>
                <w:szCs w:val="24"/>
              </w:rPr>
              <w:lastRenderedPageBreak/>
              <w:t>O</w:t>
            </w:r>
            <w:r w:rsidR="00617164" w:rsidRPr="00C56A49">
              <w:rPr>
                <w:rStyle w:val="eop"/>
                <w:rFonts w:cstheme="minorHAnsi"/>
                <w:szCs w:val="24"/>
              </w:rPr>
              <w:t>ffsets</w:t>
            </w:r>
            <w:r w:rsidR="00585321" w:rsidRPr="00C56A49">
              <w:rPr>
                <w:rStyle w:val="eop"/>
                <w:rFonts w:cstheme="minorHAnsi"/>
                <w:szCs w:val="24"/>
              </w:rPr>
              <w:t xml:space="preserve"> / offsetting</w:t>
            </w:r>
          </w:p>
        </w:tc>
        <w:tc>
          <w:tcPr>
            <w:tcW w:w="7511" w:type="dxa"/>
          </w:tcPr>
          <w:p w14:paraId="309BBA73" w14:textId="3C9E28A9"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Carbon offsetting is the investment in projects that remove carbon emissions, </w:t>
            </w:r>
            <w:r w:rsidR="00585321" w:rsidRPr="001D5E8D">
              <w:t>to</w:t>
            </w:r>
            <w:r w:rsidRPr="001D5E8D">
              <w:t xml:space="preserve"> balance out the emissions created. </w:t>
            </w:r>
            <w:r w:rsidR="00FB49C6">
              <w:t>An e</w:t>
            </w:r>
            <w:r w:rsidRPr="001D5E8D">
              <w:t>xample include</w:t>
            </w:r>
            <w:r w:rsidR="00FB49C6">
              <w:t>s</w:t>
            </w:r>
            <w:r w:rsidRPr="001D5E8D">
              <w:t xml:space="preserve"> paying another organisation to plant trees. </w:t>
            </w:r>
          </w:p>
        </w:tc>
      </w:tr>
      <w:tr w:rsidR="00617164" w:rsidRPr="00EF7F7A" w14:paraId="1A6FD890"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5445CFE4" w14:textId="5B924D8C" w:rsidR="00617164" w:rsidRPr="001D5E8D" w:rsidRDefault="00617164" w:rsidP="00C56A49">
            <w:pPr>
              <w:rPr>
                <w:rStyle w:val="eop"/>
                <w:rFonts w:cstheme="minorHAnsi"/>
                <w:sz w:val="20"/>
                <w:szCs w:val="20"/>
              </w:rPr>
            </w:pPr>
            <w:r w:rsidRPr="001D5E8D">
              <w:t>Pae Ora Act</w:t>
            </w:r>
            <w:r w:rsidR="00754CD5">
              <w:t xml:space="preserve"> </w:t>
            </w:r>
            <w:r w:rsidR="0030754D">
              <w:t>(2022)</w:t>
            </w:r>
          </w:p>
        </w:tc>
        <w:tc>
          <w:tcPr>
            <w:tcW w:w="7511" w:type="dxa"/>
          </w:tcPr>
          <w:p w14:paraId="154530DA" w14:textId="4C455D9F"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The </w:t>
            </w:r>
            <w:r w:rsidR="00754CD5">
              <w:t xml:space="preserve">Pae Ora (Healthy Futures) </w:t>
            </w:r>
            <w:r w:rsidR="00754CD5" w:rsidRPr="001D5E8D">
              <w:t xml:space="preserve">Act </w:t>
            </w:r>
            <w:r w:rsidR="00754CD5">
              <w:t>2022</w:t>
            </w:r>
            <w:r w:rsidRPr="001D5E8D">
              <w:t xml:space="preserve"> </w:t>
            </w:r>
            <w:r w:rsidR="003A5DD6" w:rsidRPr="003A5DD6">
              <w:t xml:space="preserve">establishes a set of health system principles </w:t>
            </w:r>
            <w:r w:rsidR="00665481">
              <w:t xml:space="preserve">and </w:t>
            </w:r>
            <w:r w:rsidRPr="001D5E8D">
              <w:t>provides for the public funding and provision of services for public healthcare in New Zealand</w:t>
            </w:r>
            <w:r w:rsidR="00727125">
              <w:t>.</w:t>
            </w:r>
          </w:p>
        </w:tc>
      </w:tr>
      <w:tr w:rsidR="00617164" w:rsidRPr="00EF7F7A" w14:paraId="4EEFFFB9"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4FD3DD16" w14:textId="7568BAEB" w:rsidR="00617164" w:rsidRPr="001D5E8D" w:rsidRDefault="00617164" w:rsidP="00C56A49">
            <w:r w:rsidRPr="001D5E8D">
              <w:t xml:space="preserve">Paris </w:t>
            </w:r>
            <w:r w:rsidR="0068242B">
              <w:t>Ag</w:t>
            </w:r>
            <w:r w:rsidRPr="001D5E8D">
              <w:t>reement</w:t>
            </w:r>
          </w:p>
        </w:tc>
        <w:tc>
          <w:tcPr>
            <w:tcW w:w="7511" w:type="dxa"/>
          </w:tcPr>
          <w:p w14:paraId="0DD5677E" w14:textId="2E8AB796"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The Paris Agreement is a legally binding international treaty on climate change that was adopted at the UN Climate Change Conference (COP21) in December 2015 and came into force on 4 November 2016. Its overarching goal is to keep the increase in the global average temperature to well below 2°C above pre-industrial levels and pursue efforts to limit the temperature increase to 1.5°</w:t>
            </w:r>
            <w:r w:rsidR="00632286">
              <w:t>C</w:t>
            </w:r>
            <w:r w:rsidRPr="001D5E8D">
              <w:t>.</w:t>
            </w:r>
          </w:p>
        </w:tc>
      </w:tr>
      <w:tr w:rsidR="00617164" w:rsidRPr="00EF7F7A" w14:paraId="0038F6E1"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27D8F24A" w14:textId="77777777" w:rsidR="00617164" w:rsidRPr="001D5E8D" w:rsidRDefault="00617164" w:rsidP="00C56A49">
            <w:r w:rsidRPr="001D5E8D">
              <w:t>RMOs</w:t>
            </w:r>
          </w:p>
        </w:tc>
        <w:tc>
          <w:tcPr>
            <w:tcW w:w="7511" w:type="dxa"/>
          </w:tcPr>
          <w:p w14:paraId="48D3CBA9" w14:textId="57C8E0CA"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Resident </w:t>
            </w:r>
            <w:r w:rsidR="00256468">
              <w:t>M</w:t>
            </w:r>
            <w:r w:rsidRPr="001D5E8D">
              <w:t xml:space="preserve">edical </w:t>
            </w:r>
            <w:r w:rsidR="00256468">
              <w:t>O</w:t>
            </w:r>
            <w:r w:rsidRPr="001D5E8D">
              <w:t>fficers</w:t>
            </w:r>
            <w:r w:rsidR="00727125">
              <w:t>.</w:t>
            </w:r>
          </w:p>
        </w:tc>
      </w:tr>
      <w:tr w:rsidR="00617164" w:rsidRPr="00EF7F7A" w14:paraId="29A143F4"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2463B91B" w14:textId="4939455A" w:rsidR="00617164" w:rsidRPr="001D5E8D" w:rsidRDefault="00617164" w:rsidP="00C56A49">
            <w:r w:rsidRPr="001D5E8D">
              <w:t>Science based target</w:t>
            </w:r>
          </w:p>
        </w:tc>
        <w:tc>
          <w:tcPr>
            <w:tcW w:w="7511" w:type="dxa"/>
          </w:tcPr>
          <w:p w14:paraId="20C11076" w14:textId="0AFBFF99"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Define</w:t>
            </w:r>
            <w:r w:rsidR="00EF1C9C">
              <w:t xml:space="preserve">s the level of emissions reduction </w:t>
            </w:r>
            <w:r w:rsidR="00491FCE">
              <w:t xml:space="preserve">required </w:t>
            </w:r>
            <w:r w:rsidR="00EF1C9C">
              <w:t xml:space="preserve">to provide a contribution to </w:t>
            </w:r>
            <w:r w:rsidR="00EF1C9C" w:rsidRPr="00EF1C9C">
              <w:t xml:space="preserve">limiting global warming to 1.5-degrees Celsius from pre-industrial </w:t>
            </w:r>
            <w:r w:rsidR="00491FCE">
              <w:t xml:space="preserve">levels </w:t>
            </w:r>
            <w:r w:rsidRPr="001D5E8D">
              <w:t>in line with the Paris Agreement goals.</w:t>
            </w:r>
          </w:p>
        </w:tc>
      </w:tr>
      <w:tr w:rsidR="00617164" w:rsidRPr="00EF7F7A" w14:paraId="3B3D96F8"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2AB8AD40" w14:textId="77777777" w:rsidR="00617164" w:rsidRPr="001D5E8D" w:rsidRDefault="00617164" w:rsidP="00C56A49">
            <w:r w:rsidRPr="001D5E8D">
              <w:t>SMOs</w:t>
            </w:r>
          </w:p>
        </w:tc>
        <w:tc>
          <w:tcPr>
            <w:tcW w:w="7511" w:type="dxa"/>
          </w:tcPr>
          <w:p w14:paraId="09DB4047" w14:textId="5A336FFD"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Senior </w:t>
            </w:r>
            <w:r w:rsidR="00256468">
              <w:t>M</w:t>
            </w:r>
            <w:r w:rsidRPr="001D5E8D">
              <w:t xml:space="preserve">edical </w:t>
            </w:r>
            <w:r w:rsidR="00256468">
              <w:t>O</w:t>
            </w:r>
            <w:r w:rsidRPr="001D5E8D">
              <w:t>fficers</w:t>
            </w:r>
            <w:r w:rsidR="00727125">
              <w:t>.</w:t>
            </w:r>
          </w:p>
        </w:tc>
      </w:tr>
      <w:tr w:rsidR="00617164" w:rsidRPr="00EF7F7A" w14:paraId="2647BD3D"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2E16338E" w14:textId="089F7473" w:rsidR="00332120" w:rsidRPr="001D5E8D" w:rsidRDefault="00617164" w:rsidP="00C56A49">
            <w:r w:rsidRPr="001D5E8D">
              <w:t>tCO</w:t>
            </w:r>
            <w:r w:rsidRPr="001D5E8D">
              <w:rPr>
                <w:vertAlign w:val="subscript"/>
              </w:rPr>
              <w:t>2</w:t>
            </w:r>
            <w:r w:rsidRPr="001D5E8D">
              <w:t>e</w:t>
            </w:r>
            <w:r w:rsidR="00332120">
              <w:t>, t</w:t>
            </w:r>
            <w:r w:rsidR="00332120" w:rsidRPr="001D5E8D">
              <w:t>onnes of carbon dioxide equivalent</w:t>
            </w:r>
          </w:p>
        </w:tc>
        <w:tc>
          <w:tcPr>
            <w:tcW w:w="7511" w:type="dxa"/>
          </w:tcPr>
          <w:p w14:paraId="24C4A056" w14:textId="378DB814"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Tonnes of carbon dioxide equivalent is used to convert all types of greenhouse gases to the same unit so their emissions potentials can be compared </w:t>
            </w:r>
            <w:r w:rsidR="007F116F">
              <w:t xml:space="preserve">more </w:t>
            </w:r>
            <w:r w:rsidRPr="001D5E8D">
              <w:t>easily</w:t>
            </w:r>
            <w:r w:rsidR="00727125">
              <w:t>.</w:t>
            </w:r>
          </w:p>
        </w:tc>
      </w:tr>
      <w:tr w:rsidR="00617164" w:rsidRPr="00EF7F7A" w14:paraId="74EACED5"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29339744" w14:textId="0FDCB410" w:rsidR="00617164" w:rsidRPr="001D5E8D" w:rsidRDefault="00634CDD" w:rsidP="00C56A49">
            <w:r>
              <w:t>T</w:t>
            </w:r>
            <w:r w:rsidR="00617164" w:rsidRPr="001D5E8D">
              <w:t>elehealth</w:t>
            </w:r>
          </w:p>
        </w:tc>
        <w:tc>
          <w:tcPr>
            <w:tcW w:w="7511" w:type="dxa"/>
          </w:tcPr>
          <w:p w14:paraId="3B3ED7D5" w14:textId="10283E2B"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The provision of healthcare remotely by means of phone or </w:t>
            </w:r>
            <w:r w:rsidR="00CF678D">
              <w:t xml:space="preserve">video conference and can include </w:t>
            </w:r>
            <w:r w:rsidR="00754CD5">
              <w:t>approaches</w:t>
            </w:r>
            <w:r w:rsidR="00CF678D">
              <w:t xml:space="preserve"> such as remote monitoring</w:t>
            </w:r>
            <w:r w:rsidR="00727125">
              <w:t>.</w:t>
            </w:r>
          </w:p>
        </w:tc>
      </w:tr>
      <w:tr w:rsidR="00617164" w:rsidRPr="00EF7F7A" w14:paraId="7E0EB2B5" w14:textId="77777777" w:rsidTr="008E7C4F">
        <w:tc>
          <w:tcPr>
            <w:cnfStyle w:val="001000000000" w:firstRow="0" w:lastRow="0" w:firstColumn="1" w:lastColumn="0" w:oddVBand="0" w:evenVBand="0" w:oddHBand="0" w:evenHBand="0" w:firstRowFirstColumn="0" w:firstRowLastColumn="0" w:lastRowFirstColumn="0" w:lastRowLastColumn="0"/>
            <w:tcW w:w="2127" w:type="dxa"/>
          </w:tcPr>
          <w:p w14:paraId="52186A89" w14:textId="77777777" w:rsidR="00617164" w:rsidRPr="001D5E8D" w:rsidRDefault="00617164" w:rsidP="00C56A49">
            <w:r w:rsidRPr="001D5E8D">
              <w:t>Whole-of-life approach</w:t>
            </w:r>
          </w:p>
        </w:tc>
        <w:tc>
          <w:tcPr>
            <w:tcW w:w="7511" w:type="dxa"/>
          </w:tcPr>
          <w:p w14:paraId="0DBBF0B9" w14:textId="13DA5864" w:rsidR="00617164" w:rsidRPr="001D5E8D" w:rsidRDefault="00617164" w:rsidP="00C56A49">
            <w:pPr>
              <w:cnfStyle w:val="000000000000" w:firstRow="0" w:lastRow="0" w:firstColumn="0" w:lastColumn="0" w:oddVBand="0" w:evenVBand="0" w:oddHBand="0" w:evenHBand="0" w:firstRowFirstColumn="0" w:firstRowLastColumn="0" w:lastRowFirstColumn="0" w:lastRowLastColumn="0"/>
            </w:pPr>
            <w:r w:rsidRPr="001D5E8D">
              <w:t xml:space="preserve">Rather than just considering the initial cost of a product, a whole-of-life approach includes </w:t>
            </w:r>
            <w:r w:rsidR="00754CD5">
              <w:t>considering</w:t>
            </w:r>
            <w:r w:rsidR="00754CD5" w:rsidRPr="001D5E8D">
              <w:t xml:space="preserve"> </w:t>
            </w:r>
            <w:r w:rsidRPr="001D5E8D">
              <w:t xml:space="preserve">the cost of a product over </w:t>
            </w:r>
            <w:r w:rsidR="00754CD5">
              <w:t>its</w:t>
            </w:r>
            <w:r w:rsidRPr="001D5E8D">
              <w:t xml:space="preserve"> lifetime including maintenance, repair and end-of-use disposal.</w:t>
            </w:r>
          </w:p>
        </w:tc>
      </w:tr>
    </w:tbl>
    <w:p w14:paraId="120D426C" w14:textId="5BAFC32B" w:rsidR="006E1AF8" w:rsidRDefault="006E1AF8">
      <w:pPr>
        <w:spacing w:before="0" w:after="160" w:line="259" w:lineRule="auto"/>
      </w:pPr>
    </w:p>
    <w:p w14:paraId="56B20747" w14:textId="77777777" w:rsidR="00A014AD" w:rsidRDefault="00A014AD">
      <w:pPr>
        <w:spacing w:before="0" w:after="160" w:line="259" w:lineRule="auto"/>
      </w:pPr>
    </w:p>
    <w:p w14:paraId="08EE9B6C" w14:textId="77777777" w:rsidR="00C56A49" w:rsidRDefault="00C56A49">
      <w:pPr>
        <w:spacing w:before="0" w:after="160" w:line="259" w:lineRule="auto"/>
      </w:pPr>
    </w:p>
    <w:p w14:paraId="0E0A4F87" w14:textId="77777777" w:rsidR="00C56A49" w:rsidRPr="00653A18" w:rsidRDefault="00C56A49">
      <w:pPr>
        <w:spacing w:before="0" w:after="160" w:line="259" w:lineRule="auto"/>
      </w:pPr>
    </w:p>
    <w:p w14:paraId="21B9F391" w14:textId="77777777" w:rsidR="006E1AF8" w:rsidRPr="00653A18" w:rsidRDefault="006E1AF8" w:rsidP="006E1AF8">
      <w:pPr>
        <w:pStyle w:val="Heading1"/>
      </w:pPr>
      <w:bookmarkStart w:id="6" w:name="_Toc204940754"/>
      <w:r w:rsidRPr="00653A18">
        <w:lastRenderedPageBreak/>
        <w:t>Executive summary</w:t>
      </w:r>
      <w:bookmarkEnd w:id="6"/>
    </w:p>
    <w:p w14:paraId="731D495D" w14:textId="6FD5629D" w:rsidR="00E6042E" w:rsidRPr="00E6042E" w:rsidRDefault="006421A3" w:rsidP="00E6042E">
      <w:pPr>
        <w:spacing w:before="0" w:after="160" w:line="259" w:lineRule="auto"/>
      </w:pPr>
      <w:r w:rsidRPr="00EB25BF">
        <w:t xml:space="preserve">Climate change is a significant threat to human health and wellbeing, as air pollution, rising temperatures, and extreme weather </w:t>
      </w:r>
      <w:r w:rsidR="006416B0">
        <w:t>all impact health</w:t>
      </w:r>
      <w:r w:rsidR="008B2005">
        <w:t xml:space="preserve">. </w:t>
      </w:r>
      <w:r w:rsidR="00E6042E" w:rsidRPr="00E6042E">
        <w:t>Reducing</w:t>
      </w:r>
      <w:r>
        <w:t xml:space="preserve"> our</w:t>
      </w:r>
      <w:r w:rsidR="00E6042E" w:rsidRPr="00E6042E">
        <w:t xml:space="preserve"> emissions</w:t>
      </w:r>
      <w:r>
        <w:t xml:space="preserve">, as part of domestic and global efforts, is </w:t>
      </w:r>
      <w:r w:rsidR="00E6042E" w:rsidRPr="00E6042E">
        <w:t xml:space="preserve">not only crucial for environmental sustainability but also for enhancing public health. Lower emissions lead to improved air quality, which directly benefits respiratory and cardiovascular health. This creates a virtuous cycle where healthier populations contribute to </w:t>
      </w:r>
      <w:r w:rsidR="00A6603E">
        <w:t>reducing our emissions</w:t>
      </w:r>
      <w:r w:rsidR="00E6042E" w:rsidRPr="00E6042E">
        <w:t>.</w:t>
      </w:r>
    </w:p>
    <w:p w14:paraId="67342F73" w14:textId="0DFF8476" w:rsidR="00E6042E" w:rsidRPr="00E6042E" w:rsidRDefault="00A6603E" w:rsidP="00E6042E">
      <w:pPr>
        <w:spacing w:before="0" w:after="160" w:line="259" w:lineRule="auto"/>
      </w:pPr>
      <w:r>
        <w:t>Action</w:t>
      </w:r>
      <w:r w:rsidR="00E755FD">
        <w:t>s</w:t>
      </w:r>
      <w:r>
        <w:t xml:space="preserve"> by </w:t>
      </w:r>
      <w:r w:rsidR="00E6042E" w:rsidRPr="00E6042E">
        <w:t xml:space="preserve">Health </w:t>
      </w:r>
      <w:r>
        <w:t xml:space="preserve">New Zealand </w:t>
      </w:r>
      <w:r w:rsidR="009A7572">
        <w:rPr>
          <w:rFonts w:cstheme="minorHAnsi"/>
        </w:rPr>
        <w:t>|</w:t>
      </w:r>
      <w:r w:rsidR="009A7572">
        <w:t xml:space="preserve"> Te Whatu Ora</w:t>
      </w:r>
      <w:r w:rsidR="0006127A">
        <w:t xml:space="preserve"> (Health NZ)</w:t>
      </w:r>
      <w:r w:rsidR="00E6042E" w:rsidRPr="00E6042E">
        <w:t xml:space="preserve"> to reduce emissions have yielded significant co-benefits for patient</w:t>
      </w:r>
      <w:r w:rsidR="00320468">
        <w:t>s</w:t>
      </w:r>
      <w:r w:rsidR="00E6042E" w:rsidRPr="00E6042E">
        <w:t xml:space="preserve">. By adopting sustainable practices, healthcare facilities have created healthier </w:t>
      </w:r>
      <w:r w:rsidR="009A7572">
        <w:t xml:space="preserve">and more comfortable </w:t>
      </w:r>
      <w:r w:rsidR="00E6042E" w:rsidRPr="00E6042E">
        <w:t>environments for patients and staff. These improvements have led to better patient experiences and outcomes, demonstrating that environmental sustainability and high-quality healthcare are mutually reinforcing goals.</w:t>
      </w:r>
    </w:p>
    <w:p w14:paraId="118D6581" w14:textId="486745C5" w:rsidR="00E6042E" w:rsidRPr="00E6042E" w:rsidRDefault="00E6042E" w:rsidP="00E6042E">
      <w:pPr>
        <w:spacing w:before="0" w:after="160" w:line="259" w:lineRule="auto"/>
      </w:pPr>
      <w:r w:rsidRPr="00E6042E">
        <w:t>Th</w:t>
      </w:r>
      <w:r w:rsidR="000922EA">
        <w:t>is</w:t>
      </w:r>
      <w:r w:rsidRPr="00E6042E">
        <w:t xml:space="preserve"> Emissions Reduction Plan (ERP) </w:t>
      </w:r>
      <w:r w:rsidR="000922EA">
        <w:t>(</w:t>
      </w:r>
      <w:r w:rsidR="00BA62B5">
        <w:t>FY24/25 – FY26/</w:t>
      </w:r>
      <w:r w:rsidR="000922EA">
        <w:t xml:space="preserve">27) </w:t>
      </w:r>
      <w:r w:rsidRPr="00E6042E">
        <w:t>aligns closely with the key principles outlined in the Pae Ora Act, the Government Policy Statement (GPS) on Health</w:t>
      </w:r>
      <w:r w:rsidR="00E740F9">
        <w:t xml:space="preserve"> (2024-27)</w:t>
      </w:r>
      <w:r w:rsidRPr="00E6042E">
        <w:t xml:space="preserve">, and </w:t>
      </w:r>
      <w:r w:rsidR="00E740F9">
        <w:t>key priorities such as timely access to quality care for all</w:t>
      </w:r>
      <w:r w:rsidRPr="00E6042E">
        <w:t xml:space="preserve">. </w:t>
      </w:r>
      <w:r w:rsidR="0006127A">
        <w:t xml:space="preserve">Through the synergies of </w:t>
      </w:r>
      <w:r w:rsidRPr="00E6042E">
        <w:t xml:space="preserve">these principles, emissions reduction </w:t>
      </w:r>
      <w:r w:rsidR="00830E3B" w:rsidRPr="00E6042E">
        <w:t>is</w:t>
      </w:r>
      <w:r w:rsidRPr="00E6042E">
        <w:t xml:space="preserve"> not only environmentally sound but also</w:t>
      </w:r>
      <w:r w:rsidR="0006127A">
        <w:t xml:space="preserve"> support</w:t>
      </w:r>
      <w:r w:rsidR="00830E3B">
        <w:t>s</w:t>
      </w:r>
      <w:r w:rsidR="0006127A">
        <w:t xml:space="preserve"> health and </w:t>
      </w:r>
      <w:r w:rsidR="00D90001">
        <w:t>is</w:t>
      </w:r>
      <w:r w:rsidR="0006127A">
        <w:t xml:space="preserve"> congruent with</w:t>
      </w:r>
      <w:r w:rsidRPr="00E6042E">
        <w:t xml:space="preserve"> equit</w:t>
      </w:r>
      <w:r w:rsidR="0006127A">
        <w:t>y of access and health outcomes</w:t>
      </w:r>
      <w:r w:rsidRPr="00E6042E">
        <w:t>.</w:t>
      </w:r>
    </w:p>
    <w:p w14:paraId="40874D7D" w14:textId="2570FADA" w:rsidR="00E6042E" w:rsidRPr="00E6042E" w:rsidRDefault="00E6042E" w:rsidP="00E6042E">
      <w:pPr>
        <w:spacing w:before="0" w:after="160" w:line="259" w:lineRule="auto"/>
      </w:pPr>
      <w:r w:rsidRPr="00E6042E">
        <w:t xml:space="preserve">Health NZ </w:t>
      </w:r>
      <w:r w:rsidR="0006127A">
        <w:t>h</w:t>
      </w:r>
      <w:r w:rsidRPr="00E6042E">
        <w:t xml:space="preserve">as </w:t>
      </w:r>
      <w:r w:rsidR="0006127A">
        <w:t xml:space="preserve">already </w:t>
      </w:r>
      <w:r w:rsidRPr="00E6042E">
        <w:t xml:space="preserve">made </w:t>
      </w:r>
      <w:r w:rsidR="0006127A">
        <w:t xml:space="preserve">significant </w:t>
      </w:r>
      <w:r w:rsidRPr="00E6042E">
        <w:t xml:space="preserve">progress, achieving a 14% reduction in emissions between FY22/23 and FY23/24. This milestone </w:t>
      </w:r>
      <w:r w:rsidR="00192D54">
        <w:t xml:space="preserve">has been achieved through partnership with </w:t>
      </w:r>
      <w:r w:rsidR="00F43A24">
        <w:t>the Energy Efficiency and Conservation Agency (</w:t>
      </w:r>
      <w:r w:rsidR="00192D54">
        <w:t>EECA</w:t>
      </w:r>
      <w:r w:rsidR="00F43A24">
        <w:t>)</w:t>
      </w:r>
      <w:r w:rsidR="00192D54">
        <w:t xml:space="preserve">, front line staff driving behaviour change and </w:t>
      </w:r>
      <w:r w:rsidR="006414C8">
        <w:t xml:space="preserve">through </w:t>
      </w:r>
      <w:r w:rsidR="00EB27C2">
        <w:t>“</w:t>
      </w:r>
      <w:r w:rsidR="006414C8">
        <w:t>spend to save</w:t>
      </w:r>
      <w:r w:rsidR="00EB27C2">
        <w:t>”</w:t>
      </w:r>
      <w:r w:rsidR="006414C8">
        <w:t xml:space="preserve"> activities. </w:t>
      </w:r>
      <w:r w:rsidR="009A756B">
        <w:t xml:space="preserve">Removing coal </w:t>
      </w:r>
      <w:r w:rsidR="00B555ED">
        <w:t xml:space="preserve">use </w:t>
      </w:r>
      <w:r w:rsidR="00FD6CE3">
        <w:t>from</w:t>
      </w:r>
      <w:r w:rsidR="009A756B">
        <w:t xml:space="preserve"> our sites, replacing ageing </w:t>
      </w:r>
      <w:r w:rsidR="00B555ED">
        <w:t xml:space="preserve">and </w:t>
      </w:r>
      <w:r w:rsidR="009A756B">
        <w:t>inefficient energy plant, evolving clinical practice to reduce reliance on the most emissions intensive</w:t>
      </w:r>
      <w:r w:rsidR="000F106B">
        <w:t xml:space="preserve"> gases and electrifying our fleet have all contributed to </w:t>
      </w:r>
      <w:r w:rsidR="0015238A">
        <w:t xml:space="preserve">this significant step change in our emissions profile. </w:t>
      </w:r>
      <w:r w:rsidR="006414C8">
        <w:t xml:space="preserve">It is also important to acknowledge the progress that was made through </w:t>
      </w:r>
      <w:r w:rsidRPr="00E6042E">
        <w:t xml:space="preserve">District Health Boards (DHBs) </w:t>
      </w:r>
      <w:r w:rsidR="006414C8">
        <w:t>that built a downward trajectory for emissions.</w:t>
      </w:r>
      <w:r w:rsidRPr="00E6042E">
        <w:t xml:space="preserve"> </w:t>
      </w:r>
      <w:r w:rsidR="006414C8">
        <w:t>I</w:t>
      </w:r>
      <w:r w:rsidRPr="00E6042E">
        <w:t xml:space="preserve">t is </w:t>
      </w:r>
      <w:r w:rsidR="006414C8">
        <w:t xml:space="preserve">also </w:t>
      </w:r>
      <w:r w:rsidRPr="00E6042E">
        <w:t>essential to recogni</w:t>
      </w:r>
      <w:r w:rsidR="006414C8">
        <w:t>s</w:t>
      </w:r>
      <w:r w:rsidRPr="00E6042E">
        <w:t xml:space="preserve">e the challenges that lie ahead. Continued efforts </w:t>
      </w:r>
      <w:r w:rsidR="005E0D3D">
        <w:t>supported with</w:t>
      </w:r>
      <w:r w:rsidRPr="00E6042E">
        <w:t xml:space="preserve"> innovative</w:t>
      </w:r>
      <w:r w:rsidR="00076AF6">
        <w:t xml:space="preserve"> </w:t>
      </w:r>
      <w:r w:rsidR="00FD6CE3">
        <w:t>and</w:t>
      </w:r>
      <w:r w:rsidR="00076AF6">
        <w:t xml:space="preserve"> transformative</w:t>
      </w:r>
      <w:r w:rsidRPr="00E6042E">
        <w:t xml:space="preserve"> solutions will be necessary to maintain this momentum.</w:t>
      </w:r>
    </w:p>
    <w:p w14:paraId="274BF8B7" w14:textId="2008F183" w:rsidR="00E6042E" w:rsidRPr="00E6042E" w:rsidRDefault="00E6042E" w:rsidP="00E6042E">
      <w:pPr>
        <w:spacing w:before="0" w:after="160" w:line="259" w:lineRule="auto"/>
      </w:pPr>
      <w:r w:rsidRPr="00E6042E">
        <w:t>Achieving significant emissions reductions requires a comprehensive, whole-of-organisation approach. This involves engaging all levels of the organi</w:t>
      </w:r>
      <w:r w:rsidR="00076AF6">
        <w:t>s</w:t>
      </w:r>
      <w:r w:rsidRPr="00E6042E">
        <w:t xml:space="preserve">ation, from leadership to frontline staff. By fostering a culture of environmental responsibility, Health NZ can </w:t>
      </w:r>
      <w:r w:rsidR="00076AF6">
        <w:t>empower</w:t>
      </w:r>
      <w:r w:rsidRPr="00E6042E">
        <w:t xml:space="preserve"> every department and individual</w:t>
      </w:r>
      <w:r w:rsidR="00076AF6">
        <w:t xml:space="preserve"> to</w:t>
      </w:r>
      <w:r w:rsidRPr="00E6042E">
        <w:t xml:space="preserve"> contribute</w:t>
      </w:r>
      <w:r w:rsidR="00076AF6">
        <w:t xml:space="preserve"> </w:t>
      </w:r>
      <w:r w:rsidRPr="00E6042E">
        <w:t>to the overarching goal of reducing emissions.</w:t>
      </w:r>
    </w:p>
    <w:p w14:paraId="676CB575" w14:textId="51AEDBC8" w:rsidR="00E909A1" w:rsidRDefault="00E6042E" w:rsidP="00E909A1">
      <w:pPr>
        <w:spacing w:before="0" w:after="160" w:line="259" w:lineRule="auto"/>
      </w:pPr>
      <w:r w:rsidRPr="00E6042E">
        <w:t>The actions and modelling undertaken by Health NZ provide</w:t>
      </w:r>
      <w:r w:rsidR="00E909A1">
        <w:t>s a</w:t>
      </w:r>
      <w:r w:rsidRPr="00E6042E">
        <w:t xml:space="preserve"> clear </w:t>
      </w:r>
      <w:r w:rsidR="00E909A1">
        <w:t>pathway to continue to reduce emissions. The pathway shows that it is feasible to reduce total measured emissions by ~30% by the end of FY29/30 and achieve our targets:</w:t>
      </w:r>
    </w:p>
    <w:p w14:paraId="25E12A83" w14:textId="23B4B94F" w:rsidR="00E909A1" w:rsidRDefault="00E909A1" w:rsidP="003E7E00">
      <w:pPr>
        <w:pStyle w:val="ListParagraph"/>
        <w:numPr>
          <w:ilvl w:val="0"/>
          <w:numId w:val="15"/>
        </w:numPr>
        <w:spacing w:before="0" w:after="160" w:line="259" w:lineRule="auto"/>
      </w:pPr>
      <w:r>
        <w:t xml:space="preserve">25% reduction in Category 1 and 2 </w:t>
      </w:r>
      <w:r w:rsidR="000922EA">
        <w:t>emissions</w:t>
      </w:r>
      <w:r>
        <w:t xml:space="preserve"> between FY22/23 and FY24/25</w:t>
      </w:r>
    </w:p>
    <w:p w14:paraId="40792FDC" w14:textId="1EC18809" w:rsidR="00E909A1" w:rsidRDefault="00E909A1" w:rsidP="003E7E00">
      <w:pPr>
        <w:pStyle w:val="ListParagraph"/>
        <w:numPr>
          <w:ilvl w:val="0"/>
          <w:numId w:val="15"/>
        </w:numPr>
        <w:spacing w:before="0" w:after="160" w:line="259" w:lineRule="auto"/>
      </w:pPr>
      <w:r>
        <w:t>A science based 24% reduction in total measured emissions between FY22/23 and F</w:t>
      </w:r>
      <w:r w:rsidR="000922EA">
        <w:t>Y</w:t>
      </w:r>
      <w:r>
        <w:t xml:space="preserve">26/27 </w:t>
      </w:r>
    </w:p>
    <w:p w14:paraId="6AE50C95" w14:textId="6B1C1FB6" w:rsidR="00E6042E" w:rsidRPr="00E6042E" w:rsidRDefault="00E909A1" w:rsidP="00E909A1">
      <w:pPr>
        <w:spacing w:before="0" w:after="160" w:line="259" w:lineRule="auto"/>
      </w:pPr>
      <w:r>
        <w:t>This is based on currently funded activity, behaviour change</w:t>
      </w:r>
      <w:r w:rsidR="00267C23">
        <w:t>,</w:t>
      </w:r>
      <w:r>
        <w:t xml:space="preserve"> the ability to secure more funding</w:t>
      </w:r>
      <w:r w:rsidR="00267C23">
        <w:t>,</w:t>
      </w:r>
      <w:r>
        <w:t xml:space="preserve"> and prudent financial allocation </w:t>
      </w:r>
      <w:r w:rsidR="00BD6D8C">
        <w:t>to support more</w:t>
      </w:r>
      <w:r>
        <w:t xml:space="preserve"> spend to save projects. </w:t>
      </w:r>
      <w:r w:rsidR="00E6042E" w:rsidRPr="00E6042E">
        <w:t xml:space="preserve">The </w:t>
      </w:r>
      <w:r w:rsidR="00E6042E" w:rsidRPr="00E6042E">
        <w:lastRenderedPageBreak/>
        <w:t>model</w:t>
      </w:r>
      <w:r>
        <w:t xml:space="preserve">ling </w:t>
      </w:r>
      <w:r w:rsidR="00E6042E" w:rsidRPr="00E6042E">
        <w:t>highlight</w:t>
      </w:r>
      <w:r w:rsidR="00BD6D8C">
        <w:t>s</w:t>
      </w:r>
      <w:r w:rsidR="00E6042E" w:rsidRPr="00E6042E">
        <w:t xml:space="preserve"> the effectiveness of specific strategies and guide</w:t>
      </w:r>
      <w:r w:rsidR="00BD6D8C">
        <w:t>s</w:t>
      </w:r>
      <w:r w:rsidR="00E6042E" w:rsidRPr="00E6042E">
        <w:t xml:space="preserve"> decision-making processes, ensuring that efforts are targeted</w:t>
      </w:r>
      <w:r w:rsidR="00BD6D8C">
        <w:t>, effective</w:t>
      </w:r>
      <w:r w:rsidR="00E6042E" w:rsidRPr="00E6042E">
        <w:t xml:space="preserve"> and efficient.</w:t>
      </w:r>
      <w:r w:rsidR="00791D5B">
        <w:t xml:space="preserve"> </w:t>
      </w:r>
      <w:r w:rsidR="006D70AE">
        <w:t>It is est</w:t>
      </w:r>
      <w:r w:rsidR="00CD2479">
        <w:t xml:space="preserve">imated that </w:t>
      </w:r>
      <w:r w:rsidR="004D68C7">
        <w:t xml:space="preserve">associated annual costs savings </w:t>
      </w:r>
      <w:r w:rsidR="004D68C7" w:rsidRPr="004D68C7">
        <w:t>of at least $16 million</w:t>
      </w:r>
      <w:r w:rsidR="00164A29">
        <w:t xml:space="preserve"> </w:t>
      </w:r>
      <w:r w:rsidR="00D362E2">
        <w:t xml:space="preserve">can be derived from </w:t>
      </w:r>
      <w:r w:rsidR="004B45EA">
        <w:t>implementing the actions in this</w:t>
      </w:r>
      <w:r w:rsidR="00B576BB">
        <w:t xml:space="preserve"> Plan.</w:t>
      </w:r>
    </w:p>
    <w:p w14:paraId="2CA731D7" w14:textId="12FD1634" w:rsidR="00E6042E" w:rsidRPr="00E6042E" w:rsidRDefault="00E6042E" w:rsidP="00E6042E">
      <w:pPr>
        <w:spacing w:before="0" w:after="160" w:line="259" w:lineRule="auto"/>
      </w:pPr>
      <w:r w:rsidRPr="00E6042E">
        <w:t xml:space="preserve">While significant progress has been made, further work is required to map out the long-term direction of emissions reduction efforts </w:t>
      </w:r>
      <w:r w:rsidR="006C7231">
        <w:t>out</w:t>
      </w:r>
      <w:r w:rsidRPr="00E6042E">
        <w:t xml:space="preserve"> to 2030. This involves setting </w:t>
      </w:r>
      <w:r w:rsidR="00923314">
        <w:t>a FY29/30</w:t>
      </w:r>
      <w:r w:rsidR="00E909A1">
        <w:t xml:space="preserve"> target</w:t>
      </w:r>
      <w:r w:rsidRPr="00E6042E">
        <w:t xml:space="preserve">, identifying potential </w:t>
      </w:r>
      <w:r w:rsidR="00320468">
        <w:t xml:space="preserve">future opportunities and solutions to further reduce emissions. </w:t>
      </w:r>
      <w:r w:rsidRPr="00E6042E">
        <w:t>By planning for the future, Health NZ can ensure sustained progress and continued alignment with national and international sustainability goals.</w:t>
      </w:r>
    </w:p>
    <w:p w14:paraId="71863CC0" w14:textId="77777777" w:rsidR="008D5DCE" w:rsidRDefault="008D5DCE">
      <w:pPr>
        <w:spacing w:before="0" w:after="160" w:line="259" w:lineRule="auto"/>
      </w:pPr>
    </w:p>
    <w:p w14:paraId="10577702" w14:textId="77777777" w:rsidR="00FE4520" w:rsidRDefault="00FE4520" w:rsidP="00CC3CC5">
      <w:bookmarkStart w:id="7" w:name="_Toc174956799"/>
    </w:p>
    <w:p w14:paraId="6DCFFC43" w14:textId="77777777" w:rsidR="00CC3CC5" w:rsidRDefault="00CC3CC5" w:rsidP="00CC3CC5"/>
    <w:p w14:paraId="5C894D98" w14:textId="77777777" w:rsidR="00CC3CC5" w:rsidRDefault="00CC3CC5" w:rsidP="00CC3CC5"/>
    <w:p w14:paraId="755DA5AC" w14:textId="77777777" w:rsidR="00FE4520" w:rsidRDefault="00FE4520" w:rsidP="00CC3CC5"/>
    <w:p w14:paraId="18A18525" w14:textId="77777777" w:rsidR="00CC3CC5" w:rsidRDefault="00CC3CC5" w:rsidP="00CC3CC5"/>
    <w:p w14:paraId="321C4F8C" w14:textId="77777777" w:rsidR="00CC3CC5" w:rsidRDefault="00CC3CC5" w:rsidP="00CC3CC5"/>
    <w:p w14:paraId="3BE4B5D0" w14:textId="77777777" w:rsidR="00ED7C2E" w:rsidRDefault="00ED7C2E">
      <w:pPr>
        <w:spacing w:before="0" w:after="160" w:line="259" w:lineRule="auto"/>
        <w:rPr>
          <w:rFonts w:asciiTheme="majorHAnsi" w:eastAsiaTheme="majorEastAsia" w:hAnsiTheme="majorHAnsi" w:cstheme="majorBidi"/>
          <w:b/>
          <w:color w:val="15284C" w:themeColor="text2"/>
          <w:sz w:val="52"/>
          <w:szCs w:val="32"/>
        </w:rPr>
      </w:pPr>
      <w:r>
        <w:br w:type="page"/>
      </w:r>
    </w:p>
    <w:p w14:paraId="383A1B47" w14:textId="4B7E0077" w:rsidR="006E1AF8" w:rsidRPr="00653A18" w:rsidRDefault="006E1AF8" w:rsidP="006E1AF8">
      <w:pPr>
        <w:pStyle w:val="Heading1"/>
      </w:pPr>
      <w:bookmarkStart w:id="8" w:name="_Toc204940755"/>
      <w:r w:rsidRPr="00653A18">
        <w:lastRenderedPageBreak/>
        <w:t>Related reports</w:t>
      </w:r>
      <w:bookmarkEnd w:id="7"/>
      <w:bookmarkEnd w:id="8"/>
    </w:p>
    <w:p w14:paraId="4E0B9BB2" w14:textId="49D8CC7F" w:rsidR="008E2E90" w:rsidRDefault="008E2E90" w:rsidP="006E1AF8">
      <w:r>
        <w:t>This Emissions Reduction Plan should be read in conjunction with the two previous years Greenhouse Gas Emissions Inventory Report</w:t>
      </w:r>
      <w:r w:rsidR="005727C7">
        <w:t>s</w:t>
      </w:r>
      <w:r>
        <w:t xml:space="preserve">, which provide detailed assumptions and </w:t>
      </w:r>
      <w:r w:rsidR="00036E67">
        <w:t xml:space="preserve">estimations related to the underlying emissions data. </w:t>
      </w:r>
    </w:p>
    <w:p w14:paraId="70395E87" w14:textId="77777777" w:rsidR="00B454DD" w:rsidRDefault="00CD182C" w:rsidP="007151AB">
      <w:pPr>
        <w:spacing w:after="120"/>
      </w:pPr>
      <w:r>
        <w:t>FY22/23</w:t>
      </w:r>
      <w:r w:rsidR="008E2E90">
        <w:t xml:space="preserve"> Health New Zealand</w:t>
      </w:r>
      <w:r w:rsidR="003D1FCD">
        <w:t xml:space="preserve"> </w:t>
      </w:r>
      <w:r w:rsidR="003D1FCD">
        <w:rPr>
          <w:rFonts w:cstheme="minorHAnsi"/>
        </w:rPr>
        <w:t>|</w:t>
      </w:r>
      <w:r w:rsidR="008E2E90">
        <w:t xml:space="preserve"> Te Whatu </w:t>
      </w:r>
      <w:r w:rsidR="003D1FCD">
        <w:t>O</w:t>
      </w:r>
      <w:r w:rsidR="008E2E90">
        <w:t xml:space="preserve">ra </w:t>
      </w:r>
      <w:r>
        <w:t xml:space="preserve">Greenhouse Gas Emissions Inventory Report </w:t>
      </w:r>
      <w:r w:rsidR="008E2E90">
        <w:t>(Baseline year)</w:t>
      </w:r>
      <w:r w:rsidR="00B454DD">
        <w:t>:</w:t>
      </w:r>
    </w:p>
    <w:p w14:paraId="6054C269" w14:textId="63EC6704" w:rsidR="00CD182C" w:rsidRDefault="002723D5" w:rsidP="006E1AF8">
      <w:hyperlink r:id="rId14" w:history="1">
        <w:r w:rsidRPr="005717B5">
          <w:rPr>
            <w:rStyle w:val="Hyperlink"/>
          </w:rPr>
          <w:t>https://www.tewhatuora.govt.nz/publications/greenhouse-gas-inventory-report-2022-23</w:t>
        </w:r>
      </w:hyperlink>
      <w:r>
        <w:t xml:space="preserve"> </w:t>
      </w:r>
      <w:r w:rsidR="00906404" w:rsidRPr="00906404">
        <w:t xml:space="preserve"> </w:t>
      </w:r>
    </w:p>
    <w:p w14:paraId="0AA66918" w14:textId="68643AF1" w:rsidR="006E1AF8" w:rsidRPr="00653A18" w:rsidRDefault="00CD182C" w:rsidP="007151AB">
      <w:pPr>
        <w:spacing w:before="360" w:after="120"/>
      </w:pPr>
      <w:r>
        <w:t xml:space="preserve">FY23/24 </w:t>
      </w:r>
      <w:r w:rsidR="003D1FCD">
        <w:t xml:space="preserve">Health New Zealand </w:t>
      </w:r>
      <w:r w:rsidR="003D1FCD">
        <w:rPr>
          <w:rFonts w:cstheme="minorHAnsi"/>
        </w:rPr>
        <w:t>|</w:t>
      </w:r>
      <w:r w:rsidR="003D1FCD">
        <w:t xml:space="preserve"> Te Whatu Ora </w:t>
      </w:r>
      <w:r>
        <w:t>Greenhouse Gas Emissions Inventory Report</w:t>
      </w:r>
      <w:r w:rsidR="00B454DD">
        <w:t>:</w:t>
      </w:r>
      <w:r>
        <w:t xml:space="preserve"> </w:t>
      </w:r>
    </w:p>
    <w:p w14:paraId="78874C46" w14:textId="78E38699" w:rsidR="00C9678F" w:rsidRPr="00653A18" w:rsidRDefault="00354C1F" w:rsidP="006E1AF8">
      <w:hyperlink r:id="rId15" w:history="1">
        <w:r w:rsidRPr="005717B5">
          <w:rPr>
            <w:rStyle w:val="Hyperlink"/>
          </w:rPr>
          <w:t>https://www.tewhatuora.govt.nz/publications/greenhouse-gas-emissions-inventory-report-fy202324</w:t>
        </w:r>
      </w:hyperlink>
      <w:r>
        <w:t xml:space="preserve"> </w:t>
      </w:r>
    </w:p>
    <w:p w14:paraId="159F832A" w14:textId="2E310523" w:rsidR="006E1AF8" w:rsidRPr="00653A18" w:rsidRDefault="00630DE1" w:rsidP="008229B1">
      <w:pPr>
        <w:pStyle w:val="Dividerheading"/>
        <w:ind w:left="0"/>
      </w:pPr>
      <w:r w:rsidRPr="00653A18">
        <w:br w:type="page"/>
      </w:r>
      <w:bookmarkStart w:id="9" w:name="_Toc174956800"/>
      <w:r w:rsidR="00363B9E" w:rsidRPr="00653A18">
        <w:rPr>
          <w:noProof/>
        </w:rPr>
        <w:lastRenderedPageBreak/>
        <w:drawing>
          <wp:anchor distT="0" distB="0" distL="114300" distR="114300" simplePos="0" relativeHeight="251658243" behindDoc="1" locked="0" layoutInCell="1" allowOverlap="1" wp14:anchorId="5C3C4D00" wp14:editId="1062DB02">
            <wp:simplePos x="0" y="0"/>
            <wp:positionH relativeFrom="margin">
              <wp:posOffset>-721360</wp:posOffset>
            </wp:positionH>
            <wp:positionV relativeFrom="margin">
              <wp:posOffset>-1075690</wp:posOffset>
            </wp:positionV>
            <wp:extent cx="7560000" cy="9598548"/>
            <wp:effectExtent l="0" t="0" r="3175" b="3175"/>
            <wp:wrapNone/>
            <wp:docPr id="180400695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06956" name="Picture 1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598548"/>
                    </a:xfrm>
                    <a:prstGeom prst="rect">
                      <a:avLst/>
                    </a:prstGeom>
                  </pic:spPr>
                </pic:pic>
              </a:graphicData>
            </a:graphic>
            <wp14:sizeRelH relativeFrom="page">
              <wp14:pctWidth>0</wp14:pctWidth>
            </wp14:sizeRelH>
            <wp14:sizeRelV relativeFrom="page">
              <wp14:pctHeight>0</wp14:pctHeight>
            </wp14:sizeRelV>
          </wp:anchor>
        </w:drawing>
      </w:r>
      <w:r w:rsidR="00AA67A3" w:rsidRPr="00653A18">
        <w:rPr>
          <w:noProof/>
        </w:rPr>
        <w:t>Introduction</w:t>
      </w:r>
      <w:bookmarkEnd w:id="9"/>
      <w:r w:rsidR="006E1AF8" w:rsidRPr="00653A18">
        <w:br w:type="page"/>
      </w:r>
    </w:p>
    <w:p w14:paraId="2377A52C" w14:textId="6F3326D7" w:rsidR="006E1AF8" w:rsidRPr="00653A18" w:rsidRDefault="00282E82" w:rsidP="006E1AF8">
      <w:pPr>
        <w:pStyle w:val="Heading1"/>
      </w:pPr>
      <w:bookmarkStart w:id="10" w:name="_Toc204940756"/>
      <w:r w:rsidRPr="00653A18">
        <w:lastRenderedPageBreak/>
        <w:t>Introduction</w:t>
      </w:r>
      <w:bookmarkEnd w:id="10"/>
      <w:r w:rsidRPr="00653A18">
        <w:t xml:space="preserve"> </w:t>
      </w:r>
    </w:p>
    <w:p w14:paraId="52FA1612" w14:textId="2F81EA17" w:rsidR="00F656AE" w:rsidRDefault="00F656AE" w:rsidP="0085335F">
      <w:r w:rsidRPr="00653A18">
        <w:t>Climate change is and will continue to impact health</w:t>
      </w:r>
      <w:r w:rsidR="00BF75D0">
        <w:t xml:space="preserve"> and wellbeing</w:t>
      </w:r>
      <w:r w:rsidR="00F95AF7">
        <w:rPr>
          <w:rStyle w:val="EndnoteReference"/>
        </w:rPr>
        <w:endnoteReference w:id="2"/>
      </w:r>
      <w:r w:rsidRPr="00653A18">
        <w:t xml:space="preserve">. </w:t>
      </w:r>
      <w:r w:rsidR="00874396">
        <w:t xml:space="preserve">Reducing emissions </w:t>
      </w:r>
      <w:r w:rsidR="00AA4066" w:rsidRPr="00AA4066">
        <w:t>is essential to avoid the most severe impacts of climate change.</w:t>
      </w:r>
      <w:r w:rsidR="005868AD">
        <w:t xml:space="preserve"> </w:t>
      </w:r>
      <w:r w:rsidR="00691DA9">
        <w:t>With national coverage and focus on providing quality care and support to New Zealanders</w:t>
      </w:r>
      <w:r w:rsidR="005868AD" w:rsidRPr="005868AD">
        <w:t>,</w:t>
      </w:r>
      <w:r w:rsidR="00556752">
        <w:t xml:space="preserve"> </w:t>
      </w:r>
      <w:r w:rsidR="00B664C3" w:rsidRPr="00653A18">
        <w:t xml:space="preserve">Health </w:t>
      </w:r>
      <w:r w:rsidRPr="00653A18">
        <w:t xml:space="preserve">NZ </w:t>
      </w:r>
      <w:r w:rsidR="00E56A1B" w:rsidRPr="00E56A1B">
        <w:t xml:space="preserve">has the </w:t>
      </w:r>
      <w:r w:rsidR="00E56A1B">
        <w:t>opportunity</w:t>
      </w:r>
      <w:r w:rsidR="00E56A1B" w:rsidRPr="00E56A1B">
        <w:t xml:space="preserve"> to support and facilitate emissions reduction efforts</w:t>
      </w:r>
      <w:r w:rsidR="00E56A1B">
        <w:t xml:space="preserve"> directly and indirectly</w:t>
      </w:r>
      <w:r w:rsidR="002D7516">
        <w:t xml:space="preserve">. </w:t>
      </w:r>
      <w:r w:rsidR="00DE2071">
        <w:t>I</w:t>
      </w:r>
      <w:r w:rsidR="00E508E8" w:rsidRPr="00E508E8">
        <w:t xml:space="preserve">t is important to acknowledge that the challenges ahead are </w:t>
      </w:r>
      <w:r w:rsidR="00CB39DA">
        <w:t>significant</w:t>
      </w:r>
      <w:r w:rsidR="00711DB9">
        <w:t xml:space="preserve"> as Health NZ </w:t>
      </w:r>
      <w:r w:rsidR="004C3E1D">
        <w:t>undergoes</w:t>
      </w:r>
      <w:r w:rsidR="00FD6BFD">
        <w:t xml:space="preserve"> a financial reset, </w:t>
      </w:r>
      <w:r w:rsidR="00642E09">
        <w:t xml:space="preserve">so </w:t>
      </w:r>
      <w:r w:rsidR="00FD6BFD">
        <w:t xml:space="preserve">focusing on actions that reduce </w:t>
      </w:r>
      <w:r w:rsidR="00754CD5">
        <w:t xml:space="preserve">climate </w:t>
      </w:r>
      <w:r w:rsidR="00FD6BFD">
        <w:t xml:space="preserve">impact, costs and improve patient outcomes and experience is vital. </w:t>
      </w:r>
      <w:r w:rsidR="00140DA5">
        <w:t>Globally healthcare is at least 4% of all emissions</w:t>
      </w:r>
      <w:r w:rsidR="00140DA5">
        <w:rPr>
          <w:rStyle w:val="EndnoteReference"/>
        </w:rPr>
        <w:endnoteReference w:id="3"/>
      </w:r>
      <w:r w:rsidR="00140DA5">
        <w:t xml:space="preserve">, demonstrating the opportunity to show leadership and tackle climate change domestically to have a global impact. </w:t>
      </w:r>
    </w:p>
    <w:p w14:paraId="213433AD" w14:textId="2D79E846" w:rsidR="005C4E6B" w:rsidRPr="00653A18" w:rsidRDefault="005C4E6B" w:rsidP="0085335F">
      <w:r w:rsidRPr="00653A18">
        <w:t>This is</w:t>
      </w:r>
      <w:r w:rsidR="005E149A">
        <w:t xml:space="preserve"> </w:t>
      </w:r>
      <w:r w:rsidR="00B664C3">
        <w:t>Health NZ’s</w:t>
      </w:r>
      <w:r w:rsidRPr="00653A18">
        <w:t xml:space="preserve"> first national Emissions Reduction Plan </w:t>
      </w:r>
      <w:r w:rsidR="001F6F5C">
        <w:t>FY24/25 – FY26/27</w:t>
      </w:r>
      <w:r w:rsidRPr="00653A18">
        <w:t xml:space="preserve"> (ERP). </w:t>
      </w:r>
      <w:r w:rsidR="001E4120" w:rsidRPr="00653A18">
        <w:t>Developing an ERP</w:t>
      </w:r>
      <w:r w:rsidRPr="00653A18">
        <w:t xml:space="preserve"> is a mandatory requirement of the Carbon Neutral Government Programme (CNGP). </w:t>
      </w:r>
    </w:p>
    <w:p w14:paraId="62643A6F" w14:textId="7FAFB32B" w:rsidR="00810C6D" w:rsidRPr="00653A18" w:rsidRDefault="00810C6D" w:rsidP="0085335F">
      <w:r w:rsidRPr="00653A18">
        <w:t>This ERP sets out:</w:t>
      </w:r>
    </w:p>
    <w:p w14:paraId="6DD330F4" w14:textId="1A52F9B7" w:rsidR="001275DF" w:rsidRPr="00653A18" w:rsidRDefault="001275DF" w:rsidP="008B7B89">
      <w:pPr>
        <w:pStyle w:val="Bulletpoint"/>
      </w:pPr>
      <w:r w:rsidRPr="00653A18">
        <w:t>the scope of the plan</w:t>
      </w:r>
      <w:r w:rsidR="006D5E4E">
        <w:t>,</w:t>
      </w:r>
      <w:r w:rsidRPr="00653A18">
        <w:t xml:space="preserve"> </w:t>
      </w:r>
    </w:p>
    <w:p w14:paraId="575C9C93" w14:textId="7C429973" w:rsidR="00810C6D" w:rsidRPr="00653A18" w:rsidRDefault="00810C6D" w:rsidP="008B7B89">
      <w:pPr>
        <w:pStyle w:val="Bulletpoint"/>
      </w:pPr>
      <w:r w:rsidRPr="00653A18">
        <w:t xml:space="preserve">Health NZ’s </w:t>
      </w:r>
      <w:r w:rsidR="00426C93" w:rsidRPr="00653A18">
        <w:t>baseline emissions and progress since the baseline</w:t>
      </w:r>
      <w:r w:rsidR="006D5E4E">
        <w:t>,</w:t>
      </w:r>
      <w:r w:rsidR="00426C93" w:rsidRPr="00653A18">
        <w:t xml:space="preserve"> </w:t>
      </w:r>
    </w:p>
    <w:p w14:paraId="4711DBEA" w14:textId="2205C4EB" w:rsidR="00426C93" w:rsidRPr="00653A18" w:rsidRDefault="00066C37" w:rsidP="008B7B89">
      <w:pPr>
        <w:pStyle w:val="Bulletpoint"/>
      </w:pPr>
      <w:r w:rsidRPr="00653A18">
        <w:t>t</w:t>
      </w:r>
      <w:r w:rsidR="00426C93" w:rsidRPr="00653A18">
        <w:t xml:space="preserve">he emissions reduction </w:t>
      </w:r>
      <w:r w:rsidR="00426C93" w:rsidRPr="003D4CEA">
        <w:t>target</w:t>
      </w:r>
      <w:r w:rsidR="00426C93" w:rsidRPr="009134B4">
        <w:t>s</w:t>
      </w:r>
      <w:r w:rsidR="00426C93" w:rsidRPr="00653A18">
        <w:t xml:space="preserve"> for the organi</w:t>
      </w:r>
      <w:r w:rsidR="00571B5C" w:rsidRPr="00653A18">
        <w:t>s</w:t>
      </w:r>
      <w:r w:rsidR="00426C93" w:rsidRPr="00653A18">
        <w:t>ation</w:t>
      </w:r>
      <w:r w:rsidR="006D5E4E">
        <w:t>,</w:t>
      </w:r>
      <w:r w:rsidR="00426C93" w:rsidRPr="00653A18">
        <w:t xml:space="preserve"> </w:t>
      </w:r>
    </w:p>
    <w:p w14:paraId="54B8DB16" w14:textId="5FB7AC7C" w:rsidR="00426C93" w:rsidRPr="00653A18" w:rsidRDefault="00066C37" w:rsidP="008B7B89">
      <w:pPr>
        <w:pStyle w:val="Bulletpoint"/>
      </w:pPr>
      <w:r w:rsidRPr="00653A18">
        <w:t xml:space="preserve">the </w:t>
      </w:r>
      <w:r w:rsidR="004A6592">
        <w:t>actions and p</w:t>
      </w:r>
      <w:r w:rsidRPr="00653A18">
        <w:t>athway</w:t>
      </w:r>
      <w:r w:rsidR="004A6592">
        <w:t xml:space="preserve"> </w:t>
      </w:r>
      <w:r w:rsidRPr="00653A18">
        <w:t xml:space="preserve">to progress Health NZ towards achieving </w:t>
      </w:r>
      <w:r w:rsidR="004A6592">
        <w:t xml:space="preserve">the </w:t>
      </w:r>
      <w:r w:rsidR="00E80D89" w:rsidRPr="00653A18">
        <w:t xml:space="preserve">set targets and </w:t>
      </w:r>
      <w:r w:rsidRPr="00653A18">
        <w:t>the CNGP level of ambition.</w:t>
      </w:r>
    </w:p>
    <w:p w14:paraId="1EE479DA" w14:textId="40172E3A" w:rsidR="00B465C3" w:rsidRPr="00653A18" w:rsidRDefault="00B465C3" w:rsidP="00A36AB1">
      <w:r w:rsidRPr="00653A18">
        <w:t xml:space="preserve">Health NZ’s </w:t>
      </w:r>
      <w:r w:rsidR="000A60E7">
        <w:t xml:space="preserve">ERP </w:t>
      </w:r>
      <w:r w:rsidRPr="00653A18">
        <w:t>covers the period 1</w:t>
      </w:r>
      <w:r w:rsidR="00DC235A">
        <w:rPr>
          <w:vertAlign w:val="superscript"/>
        </w:rPr>
        <w:t xml:space="preserve"> </w:t>
      </w:r>
      <w:r w:rsidRPr="00653A18">
        <w:t>July 2024 – 30</w:t>
      </w:r>
      <w:r w:rsidR="00DC235A">
        <w:rPr>
          <w:vertAlign w:val="superscript"/>
        </w:rPr>
        <w:t xml:space="preserve"> </w:t>
      </w:r>
      <w:r w:rsidRPr="00653A18">
        <w:t>June 2027</w:t>
      </w:r>
      <w:r w:rsidR="000A60E7">
        <w:t xml:space="preserve"> (</w:t>
      </w:r>
      <w:r w:rsidR="00D77D90">
        <w:t>FY24/25 – FY26/27</w:t>
      </w:r>
      <w:r w:rsidR="000A60E7" w:rsidRPr="00E36321">
        <w:t>)</w:t>
      </w:r>
      <w:r w:rsidR="00BB2FC1" w:rsidRPr="00E36321">
        <w:t xml:space="preserve">. </w:t>
      </w:r>
      <w:r w:rsidR="00431026">
        <w:t>It</w:t>
      </w:r>
      <w:r w:rsidR="00DC235A">
        <w:t xml:space="preserve"> builds </w:t>
      </w:r>
      <w:r w:rsidR="00440B5E">
        <w:t>on</w:t>
      </w:r>
      <w:r w:rsidR="00DC235A">
        <w:t xml:space="preserve"> the </w:t>
      </w:r>
      <w:r w:rsidR="00755D8D">
        <w:t>14</w:t>
      </w:r>
      <w:r w:rsidR="00DC235A">
        <w:t>% emission</w:t>
      </w:r>
      <w:r w:rsidR="00182F24">
        <w:t>s</w:t>
      </w:r>
      <w:r w:rsidR="00DC235A">
        <w:t xml:space="preserve"> reduction already achieved between FY22/23 and FY23/24</w:t>
      </w:r>
      <w:r w:rsidR="00B63721">
        <w:t>, which is a significant ach</w:t>
      </w:r>
      <w:r w:rsidR="00D04C67">
        <w:t xml:space="preserve">ievement for an organisation of this size and complexity. This has been achieved through a number of actions such as </w:t>
      </w:r>
      <w:r w:rsidR="009C33E1">
        <w:t xml:space="preserve">removing a number of coal boilers, electrifying the fleet and continued good practice in relation to </w:t>
      </w:r>
      <w:r w:rsidR="00A96C3B">
        <w:t xml:space="preserve">reduction in use of </w:t>
      </w:r>
      <w:r w:rsidR="00630557">
        <w:t xml:space="preserve">emissions intensive </w:t>
      </w:r>
      <w:r w:rsidR="009C33E1">
        <w:t xml:space="preserve">medical gases and anaesthetic vapours. </w:t>
      </w:r>
      <w:r w:rsidR="0029390B" w:rsidRPr="00F56B8E">
        <w:t xml:space="preserve">The modelled actions </w:t>
      </w:r>
      <w:r w:rsidR="00245723">
        <w:t>in this ERP</w:t>
      </w:r>
      <w:r w:rsidR="0029390B" w:rsidRPr="00F56B8E">
        <w:t xml:space="preserve"> demonstrate a potential pathway to reduce the total measured emissions from Financial Year 2024/25</w:t>
      </w:r>
      <w:r w:rsidR="0029390B" w:rsidRPr="00F56B8E">
        <w:rPr>
          <w:rStyle w:val="FootnoteReference"/>
        </w:rPr>
        <w:footnoteReference w:id="2"/>
      </w:r>
      <w:r w:rsidR="0029390B" w:rsidRPr="00F56B8E">
        <w:t xml:space="preserve"> (FY24/25) by a further </w:t>
      </w:r>
      <w:r w:rsidR="0029390B" w:rsidRPr="0069284C">
        <w:t>estimated 46,350 tCO</w:t>
      </w:r>
      <w:r w:rsidR="0029390B" w:rsidRPr="0069284C">
        <w:rPr>
          <w:vertAlign w:val="subscript"/>
        </w:rPr>
        <w:t>2</w:t>
      </w:r>
      <w:r w:rsidR="0029390B" w:rsidRPr="0069284C">
        <w:t xml:space="preserve">e </w:t>
      </w:r>
      <w:r w:rsidR="0029390B">
        <w:t>(</w:t>
      </w:r>
      <w:r w:rsidR="00BC7D66">
        <w:t xml:space="preserve">a combined reduction of </w:t>
      </w:r>
      <w:r w:rsidR="0029390B">
        <w:t>~</w:t>
      </w:r>
      <w:r w:rsidR="0029390B" w:rsidRPr="0069284C">
        <w:t xml:space="preserve">30% </w:t>
      </w:r>
      <w:r w:rsidR="0029390B">
        <w:t xml:space="preserve">of the baseline emissions) </w:t>
      </w:r>
      <w:r w:rsidR="0029390B" w:rsidRPr="0069284C">
        <w:t>by the end of FY26/27.</w:t>
      </w:r>
    </w:p>
    <w:p w14:paraId="4B11F92D" w14:textId="6C1A0111" w:rsidR="005005AE" w:rsidRPr="00653A18" w:rsidRDefault="005005AE" w:rsidP="0085335F">
      <w:r w:rsidRPr="00653A18">
        <w:t xml:space="preserve">This </w:t>
      </w:r>
      <w:r w:rsidR="005D4DC2">
        <w:t>plan</w:t>
      </w:r>
      <w:r w:rsidRPr="00653A18">
        <w:t xml:space="preserve"> outlines how Health NZ </w:t>
      </w:r>
      <w:r w:rsidR="00755D8D">
        <w:t>will</w:t>
      </w:r>
      <w:r w:rsidR="00755D8D" w:rsidRPr="00653A18">
        <w:t xml:space="preserve"> </w:t>
      </w:r>
      <w:r w:rsidR="00755D8D">
        <w:t>provide</w:t>
      </w:r>
      <w:r w:rsidR="00755D8D" w:rsidRPr="00653A18">
        <w:t xml:space="preserve"> </w:t>
      </w:r>
      <w:r w:rsidRPr="00653A18">
        <w:t>leadership</w:t>
      </w:r>
      <w:r w:rsidR="002872B4">
        <w:t xml:space="preserve">, </w:t>
      </w:r>
      <w:r w:rsidRPr="00653A18">
        <w:t>as part of its wider commitment to embed sustainability across the organisation and contribute towards a low emission, climate resilient future</w:t>
      </w:r>
      <w:r w:rsidR="00EC4F9D" w:rsidRPr="00653A18">
        <w:t xml:space="preserve">. </w:t>
      </w:r>
    </w:p>
    <w:p w14:paraId="2D1212BD" w14:textId="77777777" w:rsidR="008625E9" w:rsidRDefault="008625E9" w:rsidP="008625E9">
      <w:pPr>
        <w:pStyle w:val="Heading2"/>
      </w:pPr>
      <w:bookmarkStart w:id="11" w:name="_Toc204940757"/>
      <w:r>
        <w:lastRenderedPageBreak/>
        <w:t>Scope</w:t>
      </w:r>
      <w:bookmarkEnd w:id="11"/>
      <w:r>
        <w:t xml:space="preserve"> </w:t>
      </w:r>
    </w:p>
    <w:p w14:paraId="2965B574" w14:textId="1F37C220" w:rsidR="008625E9" w:rsidRPr="00F503B2" w:rsidRDefault="008625E9" w:rsidP="008625E9">
      <w:r>
        <w:t xml:space="preserve">This plan has been developed for and by Health NZ to show how emissions will be reduced over the next three financial years. </w:t>
      </w:r>
    </w:p>
    <w:p w14:paraId="20223245" w14:textId="51A559E3" w:rsidR="0085335F" w:rsidRPr="00653A18" w:rsidRDefault="0085335F" w:rsidP="0085335F">
      <w:r w:rsidRPr="00653A18">
        <w:t>This ERP re</w:t>
      </w:r>
      <w:r w:rsidR="003814EC" w:rsidRPr="00653A18">
        <w:t>flect</w:t>
      </w:r>
      <w:r w:rsidR="00334F8E">
        <w:t>s</w:t>
      </w:r>
      <w:r w:rsidR="003814EC" w:rsidRPr="00653A18">
        <w:t xml:space="preserve"> the breadth of Health NZ’s emissions</w:t>
      </w:r>
      <w:r w:rsidR="00156523">
        <w:t xml:space="preserve"> </w:t>
      </w:r>
      <w:r w:rsidR="00E85665">
        <w:t xml:space="preserve">- </w:t>
      </w:r>
      <w:r w:rsidR="00622122">
        <w:t>both the</w:t>
      </w:r>
      <w:r w:rsidR="00156523">
        <w:t xml:space="preserve"> ‘Footprint’ and ‘Footprint Plus’</w:t>
      </w:r>
      <w:r w:rsidR="00814829">
        <w:t xml:space="preserve"> components</w:t>
      </w:r>
      <w:r w:rsidR="00156523">
        <w:t xml:space="preserve">. ‘Footprint’ </w:t>
      </w:r>
      <w:r w:rsidR="00C23710">
        <w:t xml:space="preserve">emissions </w:t>
      </w:r>
      <w:r w:rsidR="00156523">
        <w:t xml:space="preserve">are </w:t>
      </w:r>
      <w:r w:rsidR="0096625D">
        <w:t xml:space="preserve">emission sources </w:t>
      </w:r>
      <w:r w:rsidR="003814EC" w:rsidRPr="00653A18">
        <w:t xml:space="preserve">mandated to be measured </w:t>
      </w:r>
      <w:r w:rsidR="00A568C2" w:rsidRPr="00653A18">
        <w:t>unde</w:t>
      </w:r>
      <w:r w:rsidR="00A61093" w:rsidRPr="00653A18">
        <w:t>r</w:t>
      </w:r>
      <w:r w:rsidR="00A568C2" w:rsidRPr="00653A18">
        <w:t xml:space="preserve"> the CNGP</w:t>
      </w:r>
      <w:r w:rsidR="00C23710">
        <w:t xml:space="preserve">. </w:t>
      </w:r>
      <w:r w:rsidR="008E6AF6">
        <w:t>‘</w:t>
      </w:r>
      <w:r w:rsidR="00C23710">
        <w:t>Footprint Plus’ emission</w:t>
      </w:r>
      <w:r w:rsidR="003814EC" w:rsidRPr="00653A18">
        <w:t xml:space="preserve"> sources are harder to measure</w:t>
      </w:r>
      <w:r w:rsidR="00FD0426" w:rsidRPr="00653A18">
        <w:t xml:space="preserve">, have </w:t>
      </w:r>
      <w:r w:rsidR="00E55922" w:rsidRPr="00653A18">
        <w:t>lower</w:t>
      </w:r>
      <w:r w:rsidR="00FD0426" w:rsidRPr="00653A18">
        <w:t xml:space="preserve"> quality or </w:t>
      </w:r>
      <w:r w:rsidR="00A75C3B" w:rsidRPr="00653A18">
        <w:t>availability of consistent data</w:t>
      </w:r>
      <w:r w:rsidR="003814EC" w:rsidRPr="00653A18">
        <w:t xml:space="preserve"> but</w:t>
      </w:r>
      <w:r w:rsidR="00967D8A" w:rsidRPr="00653A18">
        <w:t xml:space="preserve"> </w:t>
      </w:r>
      <w:r w:rsidR="00A75C3B" w:rsidRPr="00653A18">
        <w:t>are import</w:t>
      </w:r>
      <w:r w:rsidR="00D0345B" w:rsidRPr="00653A18">
        <w:t xml:space="preserve">ant </w:t>
      </w:r>
      <w:r w:rsidR="00E55922" w:rsidRPr="00653A18">
        <w:t xml:space="preserve">due to leakage (movement of emissions) between the ‘Footprint’ and ‘Footprint Plus’ and to demonstrate </w:t>
      </w:r>
      <w:r w:rsidR="00967D8A" w:rsidRPr="00653A18">
        <w:t>the actions</w:t>
      </w:r>
      <w:r w:rsidR="00E55922" w:rsidRPr="00653A18">
        <w:t xml:space="preserve"> already</w:t>
      </w:r>
      <w:r w:rsidR="00967D8A" w:rsidRPr="00653A18">
        <w:t xml:space="preserve"> in place to reduce them</w:t>
      </w:r>
      <w:r w:rsidR="000C5255">
        <w:t xml:space="preserve"> (Table 1)</w:t>
      </w:r>
      <w:r w:rsidR="00A30C96" w:rsidRPr="00653A18">
        <w:t>.</w:t>
      </w:r>
      <w:r w:rsidR="00A61093" w:rsidRPr="00653A18">
        <w:t xml:space="preserve"> </w:t>
      </w:r>
    </w:p>
    <w:p w14:paraId="56C15C3F" w14:textId="2615CEBE" w:rsidR="00467514" w:rsidRPr="00653A18" w:rsidRDefault="00467514" w:rsidP="0085335F">
      <w:r w:rsidRPr="00653A18">
        <w:t>The focus of this ERP is on material</w:t>
      </w:r>
      <w:r w:rsidR="00F479D5" w:rsidRPr="00653A18">
        <w:t xml:space="preserve"> or significant emissions reduction opportunities within the </w:t>
      </w:r>
      <w:r w:rsidRPr="00653A18">
        <w:t xml:space="preserve">‘Footprint’ </w:t>
      </w:r>
      <w:r w:rsidR="00F479D5" w:rsidRPr="00653A18">
        <w:t xml:space="preserve">emissions. </w:t>
      </w:r>
    </w:p>
    <w:p w14:paraId="3E288391" w14:textId="2E7CC0A5" w:rsidR="00CF4857" w:rsidRPr="00653A18" w:rsidRDefault="008F6E00" w:rsidP="00DC4EE7">
      <w:pPr>
        <w:pStyle w:val="Figure"/>
      </w:pPr>
      <w:bookmarkStart w:id="12" w:name="_Toc198286783"/>
      <w:r>
        <w:t xml:space="preserve">Table </w:t>
      </w:r>
      <w:r>
        <w:fldChar w:fldCharType="begin"/>
      </w:r>
      <w:r>
        <w:instrText xml:space="preserve"> SEQ Table \* ARABIC </w:instrText>
      </w:r>
      <w:r>
        <w:fldChar w:fldCharType="separate"/>
      </w:r>
      <w:r w:rsidR="008B20C4">
        <w:rPr>
          <w:noProof/>
        </w:rPr>
        <w:t>1</w:t>
      </w:r>
      <w:r>
        <w:fldChar w:fldCharType="end"/>
      </w:r>
      <w:r>
        <w:t xml:space="preserve"> Description of Footprint and Footprint Plus emission sources</w:t>
      </w:r>
      <w:bookmarkEnd w:id="12"/>
    </w:p>
    <w:tbl>
      <w:tblPr>
        <w:tblStyle w:val="TeWhatuOra"/>
        <w:tblW w:w="5000" w:type="pct"/>
        <w:tblLook w:val="04A0" w:firstRow="1" w:lastRow="0" w:firstColumn="1" w:lastColumn="0" w:noHBand="0" w:noVBand="1"/>
      </w:tblPr>
      <w:tblGrid>
        <w:gridCol w:w="2083"/>
        <w:gridCol w:w="1886"/>
        <w:gridCol w:w="5669"/>
      </w:tblGrid>
      <w:tr w:rsidR="008049D4" w:rsidRPr="00653A18" w14:paraId="7C8F8C87" w14:textId="77777777" w:rsidTr="008B7B8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83" w:type="dxa"/>
          </w:tcPr>
          <w:p w14:paraId="319D0644" w14:textId="1FD4659C" w:rsidR="00A30C96" w:rsidRPr="00653A18" w:rsidRDefault="00A30C96">
            <w:pPr>
              <w:spacing w:before="0" w:after="160" w:line="259" w:lineRule="auto"/>
            </w:pPr>
            <w:r w:rsidRPr="00653A18">
              <w:t>Theme</w:t>
            </w:r>
          </w:p>
        </w:tc>
        <w:tc>
          <w:tcPr>
            <w:tcW w:w="1886" w:type="dxa"/>
          </w:tcPr>
          <w:p w14:paraId="700630BF" w14:textId="62309031" w:rsidR="00A30C96" w:rsidRPr="00653A18" w:rsidRDefault="00397F98">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653A18">
              <w:t>Emissions group</w:t>
            </w:r>
          </w:p>
        </w:tc>
        <w:tc>
          <w:tcPr>
            <w:tcW w:w="5669" w:type="dxa"/>
          </w:tcPr>
          <w:p w14:paraId="38890B9E" w14:textId="605EBF5E" w:rsidR="00A30C96" w:rsidRPr="00653A18" w:rsidRDefault="005D6CB8">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653A18">
              <w:t>Description</w:t>
            </w:r>
            <w:r w:rsidR="001E6829">
              <w:t xml:space="preserve"> / emissions category </w:t>
            </w:r>
          </w:p>
        </w:tc>
      </w:tr>
      <w:tr w:rsidR="00397F98" w:rsidRPr="00653A18" w14:paraId="37F6F047" w14:textId="77777777" w:rsidTr="008B7B89">
        <w:trPr>
          <w:trHeight w:val="471"/>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312BC45B" w14:textId="77777777" w:rsidR="00397F98" w:rsidRPr="00653A18" w:rsidRDefault="00397F98">
            <w:pPr>
              <w:spacing w:before="0" w:after="160" w:line="259" w:lineRule="auto"/>
              <w:rPr>
                <w:b w:val="0"/>
              </w:rPr>
            </w:pPr>
            <w:r w:rsidRPr="00653A18">
              <w:t>Footprint</w:t>
            </w:r>
          </w:p>
          <w:p w14:paraId="2A0F18F8" w14:textId="2F2867B0" w:rsidR="00397F98" w:rsidRPr="00653A18" w:rsidRDefault="00397F98">
            <w:pPr>
              <w:spacing w:before="0" w:after="160" w:line="259" w:lineRule="auto"/>
              <w:rPr>
                <w:b w:val="0"/>
                <w:bCs/>
              </w:rPr>
            </w:pPr>
            <w:r w:rsidRPr="00653A18">
              <w:rPr>
                <w:b w:val="0"/>
                <w:bCs/>
              </w:rPr>
              <w:t xml:space="preserve">Mandated emissions sources that must be reported </w:t>
            </w:r>
            <w:r w:rsidR="005D6CB8" w:rsidRPr="00653A18">
              <w:rPr>
                <w:b w:val="0"/>
                <w:bCs/>
              </w:rPr>
              <w:t xml:space="preserve">annually </w:t>
            </w:r>
            <w:r w:rsidR="007E4225">
              <w:rPr>
                <w:b w:val="0"/>
                <w:bCs/>
              </w:rPr>
              <w:t>(C</w:t>
            </w:r>
            <w:r w:rsidRPr="00653A18">
              <w:rPr>
                <w:b w:val="0"/>
                <w:bCs/>
              </w:rPr>
              <w:t>NGP</w:t>
            </w:r>
            <w:r w:rsidR="007E4225">
              <w:rPr>
                <w:b w:val="0"/>
                <w:bCs/>
              </w:rPr>
              <w:t>)</w:t>
            </w:r>
            <w:r w:rsidR="005D6CB8" w:rsidRPr="00653A18">
              <w:rPr>
                <w:b w:val="0"/>
                <w:bCs/>
              </w:rPr>
              <w:t xml:space="preserve">. </w:t>
            </w:r>
            <w:r w:rsidR="000225C1">
              <w:rPr>
                <w:b w:val="0"/>
                <w:bCs/>
              </w:rPr>
              <w:t xml:space="preserve">Health NZ is required to set </w:t>
            </w:r>
            <w:r w:rsidR="008206B6">
              <w:rPr>
                <w:b w:val="0"/>
                <w:bCs/>
              </w:rPr>
              <w:t>science-based</w:t>
            </w:r>
            <w:r w:rsidR="000225C1">
              <w:rPr>
                <w:b w:val="0"/>
                <w:bCs/>
              </w:rPr>
              <w:t xml:space="preserve"> targets against these sources. </w:t>
            </w:r>
          </w:p>
        </w:tc>
        <w:tc>
          <w:tcPr>
            <w:tcW w:w="1886" w:type="dxa"/>
          </w:tcPr>
          <w:p w14:paraId="6216D588" w14:textId="2CFED681" w:rsidR="00397F98" w:rsidRPr="00653A18" w:rsidRDefault="00397F9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 xml:space="preserve">Energy, </w:t>
            </w:r>
            <w:r w:rsidR="00EC4F9D" w:rsidRPr="00653A18">
              <w:t>water,</w:t>
            </w:r>
            <w:r w:rsidRPr="00653A18">
              <w:t xml:space="preserve"> and waste</w:t>
            </w:r>
          </w:p>
        </w:tc>
        <w:tc>
          <w:tcPr>
            <w:tcW w:w="5669" w:type="dxa"/>
          </w:tcPr>
          <w:p w14:paraId="7B319390" w14:textId="6F3A3EF9" w:rsidR="00285BAF" w:rsidRPr="00653A18" w:rsidRDefault="005D6CB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 xml:space="preserve">Day to day </w:t>
            </w:r>
            <w:r w:rsidR="00866D42" w:rsidRPr="00653A18">
              <w:t xml:space="preserve">emissions from operating </w:t>
            </w:r>
            <w:r w:rsidR="00285BAF" w:rsidRPr="00653A18">
              <w:t>hospitals</w:t>
            </w:r>
            <w:r w:rsidR="00866D42" w:rsidRPr="00653A18">
              <w:t xml:space="preserve"> and offices; </w:t>
            </w:r>
            <w:r w:rsidR="00CB3DFB">
              <w:t>C</w:t>
            </w:r>
            <w:r w:rsidR="00866D42" w:rsidRPr="00653A18">
              <w:t xml:space="preserve">ategory 1 </w:t>
            </w:r>
            <w:r w:rsidR="00285BAF" w:rsidRPr="00653A18">
              <w:t>emissions</w:t>
            </w:r>
            <w:r w:rsidR="00866D42" w:rsidRPr="00653A18">
              <w:t xml:space="preserve"> </w:t>
            </w:r>
            <w:r w:rsidR="00C21EEC">
              <w:t>from</w:t>
            </w:r>
            <w:r w:rsidR="00866D42" w:rsidRPr="00653A18">
              <w:t xml:space="preserve"> gas, </w:t>
            </w:r>
            <w:r w:rsidR="00EC4F9D" w:rsidRPr="00653A18">
              <w:t>coal,</w:t>
            </w:r>
            <w:r w:rsidR="00866D42" w:rsidRPr="00653A18">
              <w:t xml:space="preserve"> and diesel </w:t>
            </w:r>
            <w:r w:rsidR="00285BAF" w:rsidRPr="00653A18">
              <w:t xml:space="preserve">for heating and hot water. </w:t>
            </w:r>
            <w:r w:rsidR="00906981">
              <w:t>This also include</w:t>
            </w:r>
            <w:r w:rsidR="00561E52">
              <w:t>s</w:t>
            </w:r>
            <w:r w:rsidR="00906981">
              <w:t xml:space="preserve"> refrigerants in heating and cooling plant. </w:t>
            </w:r>
            <w:r w:rsidR="00285BAF" w:rsidRPr="00653A18">
              <w:t>Category 2 emissions from any purchased energy such as electricity. Category 4 emissions from waste management</w:t>
            </w:r>
            <w:r w:rsidR="00906981">
              <w:t xml:space="preserve">, </w:t>
            </w:r>
            <w:r w:rsidR="00285BAF" w:rsidRPr="00653A18">
              <w:t xml:space="preserve">water and wastewater. </w:t>
            </w:r>
          </w:p>
        </w:tc>
      </w:tr>
      <w:tr w:rsidR="00397F98" w:rsidRPr="00653A18" w14:paraId="78FA5C06" w14:textId="77777777" w:rsidTr="008B7B89">
        <w:trPr>
          <w:trHeight w:val="468"/>
        </w:trPr>
        <w:tc>
          <w:tcPr>
            <w:cnfStyle w:val="001000000000" w:firstRow="0" w:lastRow="0" w:firstColumn="1" w:lastColumn="0" w:oddVBand="0" w:evenVBand="0" w:oddHBand="0" w:evenHBand="0" w:firstRowFirstColumn="0" w:firstRowLastColumn="0" w:lastRowFirstColumn="0" w:lastRowLastColumn="0"/>
            <w:tcW w:w="2083" w:type="dxa"/>
            <w:vMerge/>
          </w:tcPr>
          <w:p w14:paraId="7CB0B62B" w14:textId="77777777" w:rsidR="00397F98" w:rsidRPr="00653A18" w:rsidRDefault="00397F98">
            <w:pPr>
              <w:spacing w:before="0" w:after="160" w:line="259" w:lineRule="auto"/>
            </w:pPr>
          </w:p>
        </w:tc>
        <w:tc>
          <w:tcPr>
            <w:tcW w:w="1886" w:type="dxa"/>
          </w:tcPr>
          <w:p w14:paraId="749CF3FA" w14:textId="169132E5" w:rsidR="00397F98" w:rsidRPr="00653A18" w:rsidRDefault="00B4467F">
            <w:pPr>
              <w:spacing w:before="0" w:after="160" w:line="259" w:lineRule="auto"/>
              <w:cnfStyle w:val="000000000000" w:firstRow="0" w:lastRow="0" w:firstColumn="0" w:lastColumn="0" w:oddVBand="0" w:evenVBand="0" w:oddHBand="0" w:evenHBand="0" w:firstRowFirstColumn="0" w:firstRowLastColumn="0" w:lastRowFirstColumn="0" w:lastRowLastColumn="0"/>
            </w:pPr>
            <w:r>
              <w:t>B</w:t>
            </w:r>
            <w:r w:rsidRPr="00653A18">
              <w:t>usiness travel</w:t>
            </w:r>
            <w:r>
              <w:t xml:space="preserve">, </w:t>
            </w:r>
            <w:r w:rsidR="00EC4F9D">
              <w:t>fleet,</w:t>
            </w:r>
            <w:r>
              <w:t xml:space="preserve"> and f</w:t>
            </w:r>
            <w:r w:rsidR="00397F98" w:rsidRPr="00653A18">
              <w:t xml:space="preserve">unded patient transport </w:t>
            </w:r>
          </w:p>
        </w:tc>
        <w:tc>
          <w:tcPr>
            <w:tcW w:w="5669" w:type="dxa"/>
          </w:tcPr>
          <w:p w14:paraId="22498184" w14:textId="662002FF" w:rsidR="00397F98" w:rsidRPr="00653A18" w:rsidRDefault="008E3685">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 xml:space="preserve">The movement of staff and patients is an important </w:t>
            </w:r>
            <w:r w:rsidR="00CB4930">
              <w:t xml:space="preserve">aspect </w:t>
            </w:r>
            <w:r w:rsidR="00014EFC" w:rsidRPr="00653A18">
              <w:t xml:space="preserve">to </w:t>
            </w:r>
            <w:r w:rsidR="00944D3D" w:rsidRPr="00653A18">
              <w:t xml:space="preserve">access </w:t>
            </w:r>
            <w:r w:rsidRPr="00653A18">
              <w:t xml:space="preserve">healthcare support. </w:t>
            </w:r>
            <w:r w:rsidR="00014EFC" w:rsidRPr="00653A18">
              <w:t>E</w:t>
            </w:r>
            <w:r w:rsidRPr="00653A18">
              <w:t xml:space="preserve">missions </w:t>
            </w:r>
            <w:r w:rsidR="00F67BA3">
              <w:t xml:space="preserve">sources </w:t>
            </w:r>
            <w:r w:rsidRPr="00653A18">
              <w:t xml:space="preserve">include </w:t>
            </w:r>
            <w:r w:rsidR="006709AF" w:rsidRPr="00653A18">
              <w:t>petrol for fleet vehicles</w:t>
            </w:r>
            <w:r w:rsidR="00014EFC" w:rsidRPr="00653A18">
              <w:t xml:space="preserve"> (</w:t>
            </w:r>
            <w:r w:rsidR="00CB3DFB">
              <w:t>C</w:t>
            </w:r>
            <w:r w:rsidR="00014EFC" w:rsidRPr="00653A18">
              <w:t xml:space="preserve">ategory 1) and </w:t>
            </w:r>
            <w:r w:rsidR="006709AF" w:rsidRPr="00653A18">
              <w:t>funded patient travel,</w:t>
            </w:r>
            <w:r w:rsidR="00014EFC" w:rsidRPr="00653A18">
              <w:t xml:space="preserve"> ambulance and air</w:t>
            </w:r>
            <w:r w:rsidR="006709AF" w:rsidRPr="00653A18">
              <w:t xml:space="preserve"> transfers between sites, and business travel for </w:t>
            </w:r>
            <w:r w:rsidR="00014EFC" w:rsidRPr="00653A18">
              <w:t>staff (</w:t>
            </w:r>
            <w:r w:rsidR="00CB3DFB">
              <w:t>C</w:t>
            </w:r>
            <w:r w:rsidR="00014EFC" w:rsidRPr="00653A18">
              <w:t>ategory 4)</w:t>
            </w:r>
          </w:p>
        </w:tc>
      </w:tr>
      <w:tr w:rsidR="00397F98" w:rsidRPr="00653A18" w14:paraId="7125AF38" w14:textId="77777777" w:rsidTr="008B7B89">
        <w:trPr>
          <w:trHeight w:val="468"/>
        </w:trPr>
        <w:tc>
          <w:tcPr>
            <w:cnfStyle w:val="001000000000" w:firstRow="0" w:lastRow="0" w:firstColumn="1" w:lastColumn="0" w:oddVBand="0" w:evenVBand="0" w:oddHBand="0" w:evenHBand="0" w:firstRowFirstColumn="0" w:firstRowLastColumn="0" w:lastRowFirstColumn="0" w:lastRowLastColumn="0"/>
            <w:tcW w:w="2083" w:type="dxa"/>
            <w:vMerge/>
          </w:tcPr>
          <w:p w14:paraId="37A93F6D" w14:textId="77777777" w:rsidR="00397F98" w:rsidRPr="00653A18" w:rsidRDefault="00397F98">
            <w:pPr>
              <w:spacing w:before="0" w:after="160" w:line="259" w:lineRule="auto"/>
            </w:pPr>
          </w:p>
        </w:tc>
        <w:tc>
          <w:tcPr>
            <w:tcW w:w="1886" w:type="dxa"/>
          </w:tcPr>
          <w:p w14:paraId="3FD1D153" w14:textId="3AEED019" w:rsidR="00397F98" w:rsidRPr="00653A18" w:rsidRDefault="005D6CB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Medical gases and vapours</w:t>
            </w:r>
          </w:p>
        </w:tc>
        <w:tc>
          <w:tcPr>
            <w:tcW w:w="5669" w:type="dxa"/>
          </w:tcPr>
          <w:p w14:paraId="72F30C24" w14:textId="0ADF9977" w:rsidR="00397F98" w:rsidRPr="00653A18" w:rsidRDefault="00CF3D6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Mainly within surgical and midwifery settings</w:t>
            </w:r>
            <w:r w:rsidR="009C4443">
              <w:t>,</w:t>
            </w:r>
            <w:r w:rsidRPr="00653A18">
              <w:t xml:space="preserve"> medical gases and vapours are an essential part of provid</w:t>
            </w:r>
            <w:r w:rsidR="006A037D" w:rsidRPr="00653A18">
              <w:t>ing</w:t>
            </w:r>
            <w:r w:rsidRPr="00653A18">
              <w:t xml:space="preserve"> care</w:t>
            </w:r>
            <w:r w:rsidR="0055742B">
              <w:t>. T</w:t>
            </w:r>
            <w:r w:rsidR="006A037D" w:rsidRPr="00653A18">
              <w:t xml:space="preserve">hese are </w:t>
            </w:r>
            <w:r w:rsidR="00CB3DFB">
              <w:t>C</w:t>
            </w:r>
            <w:r w:rsidRPr="00653A18">
              <w:t xml:space="preserve">ategory 1 emissions. </w:t>
            </w:r>
          </w:p>
        </w:tc>
      </w:tr>
      <w:tr w:rsidR="005D6CB8" w:rsidRPr="00653A18" w14:paraId="63B7E051" w14:textId="77777777" w:rsidTr="008B7B89">
        <w:trPr>
          <w:trHeight w:val="403"/>
        </w:trPr>
        <w:tc>
          <w:tcPr>
            <w:cnfStyle w:val="001000000000" w:firstRow="0" w:lastRow="0" w:firstColumn="1" w:lastColumn="0" w:oddVBand="0" w:evenVBand="0" w:oddHBand="0" w:evenHBand="0" w:firstRowFirstColumn="0" w:firstRowLastColumn="0" w:lastRowFirstColumn="0" w:lastRowLastColumn="0"/>
            <w:tcW w:w="2083" w:type="dxa"/>
            <w:vMerge w:val="restart"/>
          </w:tcPr>
          <w:p w14:paraId="55EE5A5E" w14:textId="77777777" w:rsidR="005D6CB8" w:rsidRPr="00653A18" w:rsidRDefault="005D6CB8">
            <w:pPr>
              <w:spacing w:before="0" w:after="160" w:line="259" w:lineRule="auto"/>
              <w:rPr>
                <w:b w:val="0"/>
              </w:rPr>
            </w:pPr>
            <w:r w:rsidRPr="00653A18">
              <w:t>Footprint Plus</w:t>
            </w:r>
          </w:p>
          <w:p w14:paraId="176C9C1A" w14:textId="1B19D1E1" w:rsidR="005D6CB8" w:rsidRPr="00653A18" w:rsidRDefault="005D6CB8">
            <w:pPr>
              <w:spacing w:before="0" w:after="160" w:line="259" w:lineRule="auto"/>
              <w:rPr>
                <w:b w:val="0"/>
                <w:bCs/>
              </w:rPr>
            </w:pPr>
            <w:r w:rsidRPr="00653A18">
              <w:rPr>
                <w:b w:val="0"/>
                <w:bCs/>
              </w:rPr>
              <w:t xml:space="preserve">Emissions sources that </w:t>
            </w:r>
            <w:r w:rsidR="001D28FF">
              <w:rPr>
                <w:b w:val="0"/>
                <w:bCs/>
              </w:rPr>
              <w:t>are not</w:t>
            </w:r>
            <w:r w:rsidRPr="00653A18">
              <w:rPr>
                <w:b w:val="0"/>
                <w:bCs/>
              </w:rPr>
              <w:t xml:space="preserve"> current</w:t>
            </w:r>
            <w:r w:rsidR="001D28FF">
              <w:rPr>
                <w:b w:val="0"/>
                <w:bCs/>
              </w:rPr>
              <w:t>ly</w:t>
            </w:r>
            <w:r w:rsidRPr="00653A18">
              <w:rPr>
                <w:b w:val="0"/>
                <w:bCs/>
              </w:rPr>
              <w:t xml:space="preserve"> quantified but are </w:t>
            </w:r>
            <w:r w:rsidRPr="00653A18">
              <w:rPr>
                <w:b w:val="0"/>
                <w:bCs/>
              </w:rPr>
              <w:lastRenderedPageBreak/>
              <w:t xml:space="preserve">likely to be significant. </w:t>
            </w:r>
            <w:r w:rsidR="00D364F4" w:rsidRPr="00653A18">
              <w:rPr>
                <w:b w:val="0"/>
                <w:bCs/>
              </w:rPr>
              <w:t xml:space="preserve">In many cases Health NZ has much less control over these </w:t>
            </w:r>
            <w:r w:rsidR="00635BC1" w:rsidRPr="00653A18">
              <w:rPr>
                <w:b w:val="0"/>
                <w:bCs/>
              </w:rPr>
              <w:t>emissions but</w:t>
            </w:r>
            <w:r w:rsidR="00D364F4" w:rsidRPr="00653A18">
              <w:rPr>
                <w:b w:val="0"/>
                <w:bCs/>
              </w:rPr>
              <w:t xml:space="preserve"> has an influence role.</w:t>
            </w:r>
            <w:r w:rsidR="008049D4" w:rsidRPr="00653A18">
              <w:rPr>
                <w:b w:val="0"/>
                <w:bCs/>
              </w:rPr>
              <w:t xml:space="preserve"> Health NZ is not required to set a reduction target</w:t>
            </w:r>
            <w:r w:rsidR="000225C1">
              <w:rPr>
                <w:b w:val="0"/>
                <w:bCs/>
              </w:rPr>
              <w:t xml:space="preserve"> against these sources</w:t>
            </w:r>
            <w:r w:rsidR="008049D4" w:rsidRPr="00653A18">
              <w:rPr>
                <w:b w:val="0"/>
                <w:bCs/>
              </w:rPr>
              <w:t>.</w:t>
            </w:r>
          </w:p>
        </w:tc>
        <w:tc>
          <w:tcPr>
            <w:tcW w:w="1886" w:type="dxa"/>
          </w:tcPr>
          <w:p w14:paraId="631FAC0E" w14:textId="03824B15" w:rsidR="005D6CB8" w:rsidRPr="00653A18" w:rsidRDefault="005D6CB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lastRenderedPageBreak/>
              <w:t>Patient and visitor private travel</w:t>
            </w:r>
          </w:p>
        </w:tc>
        <w:tc>
          <w:tcPr>
            <w:tcW w:w="5669" w:type="dxa"/>
          </w:tcPr>
          <w:p w14:paraId="5FDAB0A7" w14:textId="10E7BD44" w:rsidR="005D6CB8" w:rsidRPr="00653A18" w:rsidRDefault="00745C57">
            <w:pPr>
              <w:spacing w:before="0" w:after="160" w:line="259" w:lineRule="auto"/>
              <w:cnfStyle w:val="000000000000" w:firstRow="0" w:lastRow="0" w:firstColumn="0" w:lastColumn="0" w:oddVBand="0" w:evenVBand="0" w:oddHBand="0" w:evenHBand="0" w:firstRowFirstColumn="0" w:firstRowLastColumn="0" w:lastRowFirstColumn="0" w:lastRowLastColumn="0"/>
            </w:pPr>
            <w:r>
              <w:t>Travel to access</w:t>
            </w:r>
            <w:r w:rsidRPr="00653A18">
              <w:t xml:space="preserve"> </w:t>
            </w:r>
            <w:r w:rsidR="00624E83" w:rsidRPr="00653A18">
              <w:t>health care is essential to provide New Zealanders with quality care</w:t>
            </w:r>
            <w:r w:rsidR="00C020DB" w:rsidRPr="00653A18">
              <w:t xml:space="preserve">. </w:t>
            </w:r>
            <w:r w:rsidR="0040662E" w:rsidRPr="00653A18">
              <w:t xml:space="preserve">Most patient travel </w:t>
            </w:r>
            <w:r w:rsidR="00390281" w:rsidRPr="00653A18">
              <w:t xml:space="preserve">falls under this group and is travel by their own means. </w:t>
            </w:r>
          </w:p>
        </w:tc>
      </w:tr>
      <w:tr w:rsidR="005D6CB8" w:rsidRPr="00653A18" w14:paraId="680D97BB" w14:textId="77777777" w:rsidTr="008B7B89">
        <w:trPr>
          <w:trHeight w:val="400"/>
        </w:trPr>
        <w:tc>
          <w:tcPr>
            <w:cnfStyle w:val="001000000000" w:firstRow="0" w:lastRow="0" w:firstColumn="1" w:lastColumn="0" w:oddVBand="0" w:evenVBand="0" w:oddHBand="0" w:evenHBand="0" w:firstRowFirstColumn="0" w:firstRowLastColumn="0" w:lastRowFirstColumn="0" w:lastRowLastColumn="0"/>
            <w:tcW w:w="2083" w:type="dxa"/>
            <w:vMerge/>
          </w:tcPr>
          <w:p w14:paraId="1AA63512" w14:textId="77777777" w:rsidR="005D6CB8" w:rsidRPr="00653A18" w:rsidRDefault="005D6CB8">
            <w:pPr>
              <w:spacing w:before="0" w:after="160" w:line="259" w:lineRule="auto"/>
            </w:pPr>
          </w:p>
        </w:tc>
        <w:tc>
          <w:tcPr>
            <w:tcW w:w="1886" w:type="dxa"/>
          </w:tcPr>
          <w:p w14:paraId="643FB884" w14:textId="57876FE1" w:rsidR="005D6CB8" w:rsidRPr="00653A18" w:rsidRDefault="005D6CB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Staff commute</w:t>
            </w:r>
          </w:p>
        </w:tc>
        <w:tc>
          <w:tcPr>
            <w:tcW w:w="5669" w:type="dxa"/>
          </w:tcPr>
          <w:p w14:paraId="754EB89F" w14:textId="21A53BDF" w:rsidR="005D6CB8" w:rsidRPr="00653A18" w:rsidRDefault="00944D3D">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 xml:space="preserve">Staff travelling </w:t>
            </w:r>
            <w:r w:rsidR="00FC4CBF" w:rsidRPr="00653A18">
              <w:t>to and from</w:t>
            </w:r>
            <w:r w:rsidRPr="00653A18">
              <w:t xml:space="preserve"> home </w:t>
            </w:r>
            <w:r w:rsidR="00FC4CBF" w:rsidRPr="00653A18">
              <w:t>and</w:t>
            </w:r>
            <w:r w:rsidRPr="00653A18">
              <w:t xml:space="preserve"> work by car, public and active transport. </w:t>
            </w:r>
          </w:p>
        </w:tc>
      </w:tr>
      <w:tr w:rsidR="005D6CB8" w:rsidRPr="00653A18" w14:paraId="51296291" w14:textId="77777777" w:rsidTr="008B7B89">
        <w:trPr>
          <w:trHeight w:val="400"/>
        </w:trPr>
        <w:tc>
          <w:tcPr>
            <w:cnfStyle w:val="001000000000" w:firstRow="0" w:lastRow="0" w:firstColumn="1" w:lastColumn="0" w:oddVBand="0" w:evenVBand="0" w:oddHBand="0" w:evenHBand="0" w:firstRowFirstColumn="0" w:firstRowLastColumn="0" w:lastRowFirstColumn="0" w:lastRowLastColumn="0"/>
            <w:tcW w:w="2083" w:type="dxa"/>
            <w:vMerge/>
          </w:tcPr>
          <w:p w14:paraId="6C82D765" w14:textId="77777777" w:rsidR="005D6CB8" w:rsidRPr="00653A18" w:rsidRDefault="005D6CB8">
            <w:pPr>
              <w:spacing w:before="0" w:after="160" w:line="259" w:lineRule="auto"/>
            </w:pPr>
          </w:p>
        </w:tc>
        <w:tc>
          <w:tcPr>
            <w:tcW w:w="1886" w:type="dxa"/>
          </w:tcPr>
          <w:p w14:paraId="41720319" w14:textId="628B37CE" w:rsidR="005D6CB8" w:rsidRPr="00653A18" w:rsidRDefault="005D6CB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Supply chain and commissioned services</w:t>
            </w:r>
          </w:p>
        </w:tc>
        <w:tc>
          <w:tcPr>
            <w:tcW w:w="5669" w:type="dxa"/>
          </w:tcPr>
          <w:p w14:paraId="728E1E32" w14:textId="48F6ACE5" w:rsidR="005D6CB8" w:rsidRPr="00653A18" w:rsidRDefault="00374EE2">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 xml:space="preserve">Supply chain emissions arise from the extraction, processing, </w:t>
            </w:r>
            <w:r w:rsidR="00EC4F9D" w:rsidRPr="00653A18">
              <w:t>transport,</w:t>
            </w:r>
            <w:r w:rsidRPr="00653A18">
              <w:t xml:space="preserve"> and manufacture of goods that Health NZ purchases</w:t>
            </w:r>
            <w:r w:rsidR="00C119EC" w:rsidRPr="00653A18">
              <w:t xml:space="preserve"> such as </w:t>
            </w:r>
            <w:r w:rsidR="006D74B5">
              <w:t>medical supplie</w:t>
            </w:r>
            <w:r w:rsidR="005600AD">
              <w:t>s</w:t>
            </w:r>
            <w:r w:rsidR="00DC5631">
              <w:t>,</w:t>
            </w:r>
            <w:r w:rsidR="006D74B5">
              <w:t xml:space="preserve"> </w:t>
            </w:r>
            <w:r w:rsidR="00C119EC" w:rsidRPr="00653A18">
              <w:t xml:space="preserve">laptops, cloud </w:t>
            </w:r>
            <w:r w:rsidR="002D0B5F">
              <w:t xml:space="preserve">computing </w:t>
            </w:r>
            <w:r w:rsidR="00C119EC" w:rsidRPr="00653A18">
              <w:t xml:space="preserve">services and </w:t>
            </w:r>
            <w:r w:rsidR="006537B6" w:rsidRPr="00653A18">
              <w:t>pharmaceuticals</w:t>
            </w:r>
            <w:r w:rsidRPr="00653A18">
              <w:t xml:space="preserve">. Emissions also arise through the </w:t>
            </w:r>
            <w:r w:rsidR="0058673D" w:rsidRPr="00653A18">
              <w:t xml:space="preserve">health </w:t>
            </w:r>
            <w:r w:rsidRPr="00653A18">
              <w:t xml:space="preserve">services </w:t>
            </w:r>
            <w:r w:rsidR="008B5F33">
              <w:t xml:space="preserve">funded by Health NZ </w:t>
            </w:r>
            <w:r w:rsidR="00574C04">
              <w:t>that are</w:t>
            </w:r>
            <w:r w:rsidR="008B5F33">
              <w:t xml:space="preserve"> </w:t>
            </w:r>
            <w:r w:rsidR="00DC5631">
              <w:t>provided by third parties (such a</w:t>
            </w:r>
            <w:r w:rsidR="009C4FF4">
              <w:t>s General Practitioners)</w:t>
            </w:r>
            <w:r w:rsidRPr="00653A18">
              <w:t xml:space="preserve"> to </w:t>
            </w:r>
            <w:r w:rsidR="0058673D" w:rsidRPr="00653A18">
              <w:t>further support health outcomes</w:t>
            </w:r>
            <w:r w:rsidR="008B5F33">
              <w:t xml:space="preserve">. </w:t>
            </w:r>
          </w:p>
        </w:tc>
      </w:tr>
      <w:tr w:rsidR="005D6CB8" w:rsidRPr="00653A18" w14:paraId="02FE8677" w14:textId="77777777" w:rsidTr="008B7B89">
        <w:trPr>
          <w:trHeight w:val="400"/>
        </w:trPr>
        <w:tc>
          <w:tcPr>
            <w:cnfStyle w:val="001000000000" w:firstRow="0" w:lastRow="0" w:firstColumn="1" w:lastColumn="0" w:oddVBand="0" w:evenVBand="0" w:oddHBand="0" w:evenHBand="0" w:firstRowFirstColumn="0" w:firstRowLastColumn="0" w:lastRowFirstColumn="0" w:lastRowLastColumn="0"/>
            <w:tcW w:w="2083" w:type="dxa"/>
            <w:vMerge/>
          </w:tcPr>
          <w:p w14:paraId="3BB73F00" w14:textId="77777777" w:rsidR="005D6CB8" w:rsidRPr="00653A18" w:rsidRDefault="005D6CB8">
            <w:pPr>
              <w:spacing w:before="0" w:after="160" w:line="259" w:lineRule="auto"/>
            </w:pPr>
          </w:p>
        </w:tc>
        <w:tc>
          <w:tcPr>
            <w:tcW w:w="1886" w:type="dxa"/>
          </w:tcPr>
          <w:p w14:paraId="3354E1B7" w14:textId="11EDF77F" w:rsidR="005D6CB8" w:rsidRPr="00653A18" w:rsidRDefault="005D6CB8">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 xml:space="preserve">Infrastructure </w:t>
            </w:r>
          </w:p>
        </w:tc>
        <w:tc>
          <w:tcPr>
            <w:tcW w:w="5669" w:type="dxa"/>
          </w:tcPr>
          <w:p w14:paraId="7FF8B32B" w14:textId="5F0C4A6F" w:rsidR="005D6CB8" w:rsidRPr="00653A18" w:rsidRDefault="007E53E1">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 xml:space="preserve">Also known as embodied emissions these arise from the manufacture and </w:t>
            </w:r>
            <w:r w:rsidR="00294F80" w:rsidRPr="00653A18">
              <w:t xml:space="preserve">transport of building materials to build new or repair and refurbish existing health care sites. </w:t>
            </w:r>
          </w:p>
        </w:tc>
      </w:tr>
    </w:tbl>
    <w:p w14:paraId="2CF7851B" w14:textId="0AFDB23F" w:rsidR="00A30C96" w:rsidRPr="00653A18" w:rsidRDefault="0033209B" w:rsidP="0085335F">
      <w:r w:rsidRPr="00653A18">
        <w:t xml:space="preserve">The potential value </w:t>
      </w:r>
      <w:r w:rsidR="00CB78CC" w:rsidRPr="00653A18">
        <w:t xml:space="preserve">and feasibility </w:t>
      </w:r>
      <w:r w:rsidRPr="00653A18">
        <w:t xml:space="preserve">of </w:t>
      </w:r>
      <w:r w:rsidR="00CB78CC" w:rsidRPr="00653A18">
        <w:t xml:space="preserve">robustly </w:t>
      </w:r>
      <w:r w:rsidRPr="00653A18">
        <w:t>including ‘Footprint Plus</w:t>
      </w:r>
      <w:r w:rsidR="00F114B8">
        <w:t>’</w:t>
      </w:r>
      <w:r w:rsidRPr="00653A18">
        <w:t xml:space="preserve"> emissions sources in </w:t>
      </w:r>
      <w:r w:rsidR="00F114B8">
        <w:t>’</w:t>
      </w:r>
      <w:r w:rsidRPr="00653A18">
        <w:t>Footprint’ reporting will be periodically reviewed aligned to Health NZ’s Emissions Reporting Framework</w:t>
      </w:r>
      <w:r w:rsidRPr="00653A18">
        <w:rPr>
          <w:rStyle w:val="EndnoteReference"/>
        </w:rPr>
        <w:endnoteReference w:id="4"/>
      </w:r>
      <w:r w:rsidRPr="00653A18">
        <w:t>.</w:t>
      </w:r>
    </w:p>
    <w:p w14:paraId="5F2FB349" w14:textId="0040CABB" w:rsidR="002B73A9" w:rsidRPr="00653A18" w:rsidRDefault="001E4270" w:rsidP="00F56B8E">
      <w:pPr>
        <w:pStyle w:val="Heading1"/>
      </w:pPr>
      <w:bookmarkStart w:id="13" w:name="_Toc204940758"/>
      <w:r>
        <w:t>Targets</w:t>
      </w:r>
      <w:bookmarkEnd w:id="13"/>
    </w:p>
    <w:p w14:paraId="639CBDF0" w14:textId="4560ED93" w:rsidR="00D613C0" w:rsidRDefault="00D613C0" w:rsidP="00D613C0">
      <w:r>
        <w:t xml:space="preserve">In response to the requirements under the </w:t>
      </w:r>
      <w:r w:rsidRPr="00DD1F93">
        <w:t>CNGP</w:t>
      </w:r>
      <w:r>
        <w:rPr>
          <w:rStyle w:val="EndnoteReference"/>
        </w:rPr>
        <w:endnoteReference w:id="5"/>
      </w:r>
      <w:r>
        <w:t xml:space="preserve">, </w:t>
      </w:r>
      <w:r w:rsidRPr="00DD1F93">
        <w:t xml:space="preserve">Health </w:t>
      </w:r>
      <w:r>
        <w:t>NZ</w:t>
      </w:r>
      <w:r w:rsidRPr="00DD1F93">
        <w:t xml:space="preserve"> set a gross emissions reduction target</w:t>
      </w:r>
      <w:r>
        <w:t xml:space="preserve"> in the New Zealand Health Plan</w:t>
      </w:r>
      <w:r w:rsidRPr="00DD1F93">
        <w:t xml:space="preserve">, aiming to reduce measured </w:t>
      </w:r>
      <w:r>
        <w:t>C</w:t>
      </w:r>
      <w:r w:rsidRPr="00DD1F93">
        <w:t xml:space="preserve">ategory 1 and 2 emissions by 25% between the baseline year FY22/23 and FY24/25. </w:t>
      </w:r>
      <w:r w:rsidR="00581974" w:rsidRPr="00DD1F93">
        <w:t xml:space="preserve">This is equivalent to avoiding </w:t>
      </w:r>
      <w:r w:rsidR="00581974">
        <w:t xml:space="preserve">36,000 </w:t>
      </w:r>
      <w:r w:rsidR="00581974" w:rsidRPr="00DD1F93">
        <w:t>tCO</w:t>
      </w:r>
      <w:r w:rsidR="00581974" w:rsidRPr="00F56B8E">
        <w:rPr>
          <w:vertAlign w:val="subscript"/>
        </w:rPr>
        <w:t>2</w:t>
      </w:r>
      <w:r w:rsidR="00581974" w:rsidRPr="00DD1F93">
        <w:t xml:space="preserve">e compared to the baseline by </w:t>
      </w:r>
      <w:r w:rsidR="00DF3E68">
        <w:t xml:space="preserve">the </w:t>
      </w:r>
      <w:r w:rsidR="00581974">
        <w:t>end of FY24/25.</w:t>
      </w:r>
    </w:p>
    <w:p w14:paraId="0F2F87D1" w14:textId="0C4BA6CC" w:rsidR="00D613C0" w:rsidRDefault="00D613C0" w:rsidP="00D613C0">
      <w:r>
        <w:t xml:space="preserve">This ERP also sets a midpoint science based aligned target to reduce total measured emissions by 24% by end of FY26/27. </w:t>
      </w:r>
      <w:r w:rsidRPr="00DD1F93">
        <w:t xml:space="preserve">This is equivalent to avoiding </w:t>
      </w:r>
      <w:r w:rsidR="00D8020A">
        <w:t>57</w:t>
      </w:r>
      <w:r w:rsidR="009E2CD3">
        <w:t>,</w:t>
      </w:r>
      <w:r w:rsidR="00D8020A">
        <w:t>1</w:t>
      </w:r>
      <w:r w:rsidR="009E2CD3">
        <w:t>00</w:t>
      </w:r>
      <w:r w:rsidRPr="00DD1F93">
        <w:t xml:space="preserve"> tCO</w:t>
      </w:r>
      <w:r w:rsidRPr="00F56B8E">
        <w:rPr>
          <w:vertAlign w:val="subscript"/>
        </w:rPr>
        <w:t>2</w:t>
      </w:r>
      <w:r w:rsidRPr="00DD1F93">
        <w:t xml:space="preserve">e compared to the baseline by </w:t>
      </w:r>
      <w:r w:rsidR="00766AC2">
        <w:t xml:space="preserve">the </w:t>
      </w:r>
      <w:r>
        <w:t>end of FY26/27.</w:t>
      </w:r>
    </w:p>
    <w:p w14:paraId="0092BFA9" w14:textId="6015DD0A" w:rsidR="00AD20F3" w:rsidRDefault="00581974" w:rsidP="00D613C0">
      <w:r w:rsidRPr="00DD1F93">
        <w:t>Th</w:t>
      </w:r>
      <w:r>
        <w:t>ese targets</w:t>
      </w:r>
      <w:r w:rsidR="00AD20F3">
        <w:t xml:space="preserve"> are</w:t>
      </w:r>
      <w:r w:rsidR="00AD20F3" w:rsidRPr="00DD1F93">
        <w:t xml:space="preserve"> ambitious and cannot be </w:t>
      </w:r>
      <w:r w:rsidR="00F03CD4">
        <w:t>achieved</w:t>
      </w:r>
      <w:r w:rsidR="00AD20F3" w:rsidRPr="00DD1F93">
        <w:t xml:space="preserve"> through the purchase of offsets.</w:t>
      </w:r>
    </w:p>
    <w:p w14:paraId="3B424D79" w14:textId="5762C7AE" w:rsidR="00FE4520" w:rsidRDefault="00FE4520" w:rsidP="00FE4520">
      <w:r w:rsidRPr="00DD1F93">
        <w:t xml:space="preserve">The CNGP guidance also sets a level of ambition for </w:t>
      </w:r>
      <w:r>
        <w:t xml:space="preserve">all tranche one and two entities, </w:t>
      </w:r>
      <w:r w:rsidR="00766AC2">
        <w:t>such as</w:t>
      </w:r>
      <w:r>
        <w:t xml:space="preserve"> Health NZ, </w:t>
      </w:r>
      <w:r w:rsidRPr="00DD1F93">
        <w:t xml:space="preserve">to reduce emissions by 42% by </w:t>
      </w:r>
      <w:r>
        <w:t>end of FY29/30</w:t>
      </w:r>
      <w:r w:rsidRPr="00DD1F93">
        <w:t xml:space="preserve"> across all mandatory emission sources. This is equivalent to avoiding 99,</w:t>
      </w:r>
      <w:r>
        <w:t>9</w:t>
      </w:r>
      <w:r w:rsidRPr="00DD1F93">
        <w:t>00 tCO</w:t>
      </w:r>
      <w:r w:rsidRPr="00F56B8E">
        <w:rPr>
          <w:vertAlign w:val="subscript"/>
        </w:rPr>
        <w:t>2</w:t>
      </w:r>
      <w:r w:rsidRPr="00DD1F93">
        <w:t xml:space="preserve">e compared to the baseline by 2030. </w:t>
      </w:r>
    </w:p>
    <w:p w14:paraId="282AFC20" w14:textId="1CB700AF" w:rsidR="00FE4520" w:rsidRDefault="00FE4520" w:rsidP="00D613C0"/>
    <w:p w14:paraId="124E13E9" w14:textId="55DB324A" w:rsidR="008B5F33" w:rsidRDefault="008B5F33" w:rsidP="00D613C0"/>
    <w:p w14:paraId="20027C68" w14:textId="77777777" w:rsidR="00FE4520" w:rsidRDefault="00FE4520" w:rsidP="00D613C0"/>
    <w:p w14:paraId="2D7A186C" w14:textId="77777777" w:rsidR="00D613C0" w:rsidRPr="00653A18" w:rsidRDefault="00D613C0" w:rsidP="00D613C0">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Pr>
          <w:b/>
          <w:bCs/>
          <w:noProof/>
        </w:rPr>
        <w:lastRenderedPageBreak/>
        <w:drawing>
          <wp:anchor distT="0" distB="0" distL="114300" distR="114300" simplePos="0" relativeHeight="251658246" behindDoc="0" locked="0" layoutInCell="1" allowOverlap="1" wp14:anchorId="574CCB4B" wp14:editId="54F0B631">
            <wp:simplePos x="0" y="0"/>
            <wp:positionH relativeFrom="column">
              <wp:posOffset>5166360</wp:posOffset>
            </wp:positionH>
            <wp:positionV relativeFrom="paragraph">
              <wp:posOffset>48895</wp:posOffset>
            </wp:positionV>
            <wp:extent cx="914400" cy="914400"/>
            <wp:effectExtent l="0" t="0" r="0" b="0"/>
            <wp:wrapNone/>
            <wp:docPr id="1692708121" name="Graphic 1" descr="Bulls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08121" name="Graphic 1692708121" descr="Bullsey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anchor>
        </w:drawing>
      </w:r>
    </w:p>
    <w:p w14:paraId="4007A341" w14:textId="77777777" w:rsidR="00D613C0" w:rsidRPr="00653A18" w:rsidRDefault="00D613C0" w:rsidP="00D613C0">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Pr>
          <w:b/>
          <w:bCs/>
        </w:rPr>
        <w:t>Targets</w:t>
      </w:r>
    </w:p>
    <w:p w14:paraId="3732B326" w14:textId="133CEC11" w:rsidR="008879EB" w:rsidRDefault="00D613C0" w:rsidP="00D8020A">
      <w:pPr>
        <w:pStyle w:val="BoxBullet"/>
        <w:numPr>
          <w:ilvl w:val="0"/>
          <w:numId w:val="0"/>
        </w:numPr>
        <w:pBdr>
          <w:top w:val="single" w:sz="18" w:space="8" w:color="15284C" w:themeColor="text2"/>
          <w:left w:val="single" w:sz="18" w:space="8" w:color="15284C" w:themeColor="text2"/>
          <w:bottom w:val="single" w:sz="18" w:space="8" w:color="15284C" w:themeColor="text2"/>
          <w:right w:val="single" w:sz="18" w:space="8" w:color="15284C" w:themeColor="text2"/>
        </w:pBdr>
        <w:ind w:left="527" w:hanging="357"/>
      </w:pPr>
      <w:r w:rsidRPr="00653A18">
        <w:t xml:space="preserve">Health NZ has set </w:t>
      </w:r>
      <w:r w:rsidR="008879EB">
        <w:t xml:space="preserve">two </w:t>
      </w:r>
      <w:r w:rsidRPr="00653A18">
        <w:t>target</w:t>
      </w:r>
      <w:r w:rsidR="008879EB">
        <w:t>s</w:t>
      </w:r>
      <w:r w:rsidRPr="00653A18">
        <w:t xml:space="preserve"> to reduce</w:t>
      </w:r>
      <w:r w:rsidR="008879EB">
        <w:t>:</w:t>
      </w:r>
    </w:p>
    <w:p w14:paraId="000EBB0D" w14:textId="0FA9C5DA" w:rsidR="00D613C0" w:rsidRDefault="00D613C0" w:rsidP="00D613C0">
      <w:pPr>
        <w:pStyle w:val="BoxBullet"/>
        <w:pBdr>
          <w:top w:val="single" w:sz="18" w:space="8" w:color="15284C" w:themeColor="text2"/>
          <w:left w:val="single" w:sz="18" w:space="8" w:color="15284C" w:themeColor="text2"/>
          <w:bottom w:val="single" w:sz="18" w:space="8" w:color="15284C" w:themeColor="text2"/>
          <w:right w:val="single" w:sz="18" w:space="8" w:color="15284C" w:themeColor="text2"/>
        </w:pBdr>
      </w:pPr>
      <w:r>
        <w:t>C</w:t>
      </w:r>
      <w:r w:rsidRPr="00653A18">
        <w:t>ategory 1 and 2 emissions by 25% between baseline (FY22/23) and end of FY24/25</w:t>
      </w:r>
      <w:r w:rsidR="003F4132">
        <w:t>.</w:t>
      </w:r>
    </w:p>
    <w:p w14:paraId="502A8B4F" w14:textId="1FDB8852" w:rsidR="00D613C0" w:rsidRDefault="00913F37" w:rsidP="00D613C0">
      <w:pPr>
        <w:pStyle w:val="BoxBullet"/>
        <w:pBdr>
          <w:top w:val="single" w:sz="18" w:space="8" w:color="15284C" w:themeColor="text2"/>
          <w:left w:val="single" w:sz="18" w:space="8" w:color="15284C" w:themeColor="text2"/>
          <w:bottom w:val="single" w:sz="18" w:space="8" w:color="15284C" w:themeColor="text2"/>
          <w:right w:val="single" w:sz="18" w:space="8" w:color="15284C" w:themeColor="text2"/>
        </w:pBdr>
      </w:pPr>
      <w:r>
        <w:t xml:space="preserve">Total </w:t>
      </w:r>
      <w:r w:rsidR="00D613C0">
        <w:t xml:space="preserve">measured emissions by 24% </w:t>
      </w:r>
      <w:r w:rsidR="00D613C0" w:rsidRPr="00653A18">
        <w:t xml:space="preserve">between baseline (FY22/23) and end of </w:t>
      </w:r>
      <w:r w:rsidR="00D613C0">
        <w:t>FY26/27</w:t>
      </w:r>
      <w:r w:rsidR="00DB0121">
        <w:t xml:space="preserve">, which is aligned to the CNGP </w:t>
      </w:r>
      <w:r w:rsidR="00AF1FE2">
        <w:t>science-based</w:t>
      </w:r>
      <w:r w:rsidR="00DB0121">
        <w:t xml:space="preserve"> methodology. </w:t>
      </w:r>
    </w:p>
    <w:p w14:paraId="201A11CF" w14:textId="77777777" w:rsidR="00C50B30" w:rsidRPr="00653A18" w:rsidRDefault="00C50B30" w:rsidP="00C50B30">
      <w:pPr>
        <w:pStyle w:val="Heading1"/>
      </w:pPr>
      <w:bookmarkStart w:id="14" w:name="_Toc204940759"/>
      <w:r w:rsidRPr="00653A18">
        <w:t>Health New Zealand’s baseline emissions</w:t>
      </w:r>
      <w:bookmarkEnd w:id="14"/>
      <w:r w:rsidRPr="00653A18">
        <w:t xml:space="preserve"> </w:t>
      </w:r>
    </w:p>
    <w:p w14:paraId="063FF310" w14:textId="77777777" w:rsidR="005159AC" w:rsidRPr="00653A18" w:rsidRDefault="005159AC" w:rsidP="005159AC">
      <w:r w:rsidRPr="00653A18">
        <w:t xml:space="preserve">Establishing an emissions baseline provides a basis for identifying emissions reduction priorities and developing impactful reduction actions that align with Health NZ’s strategic priorities. The baseline also provides the basis for measuring success. </w:t>
      </w:r>
    </w:p>
    <w:p w14:paraId="241BE05D" w14:textId="022641C9" w:rsidR="00993FE3" w:rsidRPr="00653A18" w:rsidRDefault="00993FE3" w:rsidP="00993FE3">
      <w:r w:rsidRPr="00653A18">
        <w:t>For the purposes of emissions reduction planning, and to ensure alignment with CNGP obligations, FY22/23 has been set as Health NZ’s baseline</w:t>
      </w:r>
      <w:r w:rsidR="006259E1" w:rsidRPr="00653A18">
        <w:t>, the first full year since Health NZ’s establishment</w:t>
      </w:r>
      <w:r w:rsidR="004946BA" w:rsidRPr="00653A18">
        <w:t xml:space="preserve">. </w:t>
      </w:r>
      <w:r w:rsidR="004946BA" w:rsidRPr="00653A18">
        <w:rPr>
          <w:rFonts w:eastAsia="Arial"/>
        </w:rPr>
        <w:t>Health NZ’s baseline emissions</w:t>
      </w:r>
      <w:r w:rsidR="002647EB">
        <w:rPr>
          <w:rFonts w:eastAsia="Arial"/>
        </w:rPr>
        <w:t xml:space="preserve"> for</w:t>
      </w:r>
      <w:r w:rsidR="004946BA" w:rsidRPr="00653A18">
        <w:rPr>
          <w:rFonts w:eastAsia="Arial"/>
        </w:rPr>
        <w:t xml:space="preserve"> the ‘Footprint’ totalled 237,8</w:t>
      </w:r>
      <w:r w:rsidR="00E30023">
        <w:rPr>
          <w:rFonts w:eastAsia="Arial"/>
        </w:rPr>
        <w:t>22</w:t>
      </w:r>
      <w:r w:rsidR="004946BA" w:rsidRPr="00653A18">
        <w:rPr>
          <w:rFonts w:eastAsia="Arial"/>
        </w:rPr>
        <w:t xml:space="preserve"> tCO</w:t>
      </w:r>
      <w:r w:rsidR="004946BA" w:rsidRPr="00653A18">
        <w:rPr>
          <w:rFonts w:eastAsia="Arial"/>
          <w:vertAlign w:val="subscript"/>
        </w:rPr>
        <w:t>2</w:t>
      </w:r>
      <w:r w:rsidR="004946BA" w:rsidRPr="00653A18">
        <w:rPr>
          <w:rFonts w:eastAsia="Arial"/>
        </w:rPr>
        <w:t>e</w:t>
      </w:r>
      <w:r w:rsidR="004946BA" w:rsidRPr="00653A18">
        <w:rPr>
          <w:rStyle w:val="EndnoteReference"/>
          <w:rFonts w:eastAsia="Arial"/>
        </w:rPr>
        <w:endnoteReference w:id="6"/>
      </w:r>
      <w:r w:rsidR="004946BA" w:rsidRPr="00653A18">
        <w:rPr>
          <w:rFonts w:eastAsia="Arial"/>
        </w:rPr>
        <w:t xml:space="preserve">. </w:t>
      </w:r>
      <w:r w:rsidR="00840512" w:rsidRPr="00653A18">
        <w:t>The</w:t>
      </w:r>
      <w:r w:rsidRPr="00653A18">
        <w:t xml:space="preserve"> second inventory year, FY23/24</w:t>
      </w:r>
      <w:r w:rsidR="005F5903" w:rsidRPr="00653A18">
        <w:rPr>
          <w:rStyle w:val="EndnoteReference"/>
        </w:rPr>
        <w:endnoteReference w:id="7"/>
      </w:r>
      <w:r w:rsidR="00E30023">
        <w:t xml:space="preserve"> </w:t>
      </w:r>
      <w:r w:rsidR="00F34173">
        <w:t xml:space="preserve">in which emissions </w:t>
      </w:r>
      <w:r w:rsidR="00E30023" w:rsidRPr="00C50B30">
        <w:t xml:space="preserve">totalled </w:t>
      </w:r>
      <w:r w:rsidR="00C50B30" w:rsidRPr="00E41CA2">
        <w:t>205,275</w:t>
      </w:r>
      <w:r w:rsidR="00C50B30" w:rsidRPr="00D8020A">
        <w:t xml:space="preserve"> </w:t>
      </w:r>
      <w:r w:rsidR="00E30023" w:rsidRPr="00C50B30">
        <w:t>tCO</w:t>
      </w:r>
      <w:r w:rsidR="00E30023" w:rsidRPr="00C50B30">
        <w:rPr>
          <w:vertAlign w:val="subscript"/>
        </w:rPr>
        <w:t>2</w:t>
      </w:r>
      <w:r w:rsidR="00E30023" w:rsidRPr="00C50B30">
        <w:t>e</w:t>
      </w:r>
      <w:r w:rsidR="007E0343">
        <w:t xml:space="preserve"> (Table 2 and Figure 1)</w:t>
      </w:r>
      <w:r w:rsidRPr="00C50B30">
        <w:t>, serves</w:t>
      </w:r>
      <w:r w:rsidRPr="00653A18">
        <w:t xml:space="preserve"> to mark progress in achieving CNGP aligned decarbonisation activities, such as the removal of coal as an energy source, and signal priorities for this ERP. </w:t>
      </w:r>
    </w:p>
    <w:p w14:paraId="775E4A04" w14:textId="43ED55F0" w:rsidR="00CF4857" w:rsidRPr="00653A18" w:rsidRDefault="00876FAE" w:rsidP="00DD1ED7">
      <w:pPr>
        <w:pStyle w:val="Figure"/>
      </w:pPr>
      <w:bookmarkStart w:id="15" w:name="_Toc198286784"/>
      <w:r>
        <w:t xml:space="preserve">Table </w:t>
      </w:r>
      <w:r>
        <w:fldChar w:fldCharType="begin"/>
      </w:r>
      <w:r>
        <w:instrText xml:space="preserve"> SEQ Table \* ARABIC </w:instrText>
      </w:r>
      <w:r>
        <w:fldChar w:fldCharType="separate"/>
      </w:r>
      <w:r w:rsidR="008B20C4">
        <w:rPr>
          <w:noProof/>
        </w:rPr>
        <w:t>2</w:t>
      </w:r>
      <w:r>
        <w:fldChar w:fldCharType="end"/>
      </w:r>
      <w:r>
        <w:t xml:space="preserve"> Emissions reduction progress since baseline by emissions group</w:t>
      </w:r>
      <w:bookmarkEnd w:id="15"/>
    </w:p>
    <w:tbl>
      <w:tblPr>
        <w:tblStyle w:val="TeWhatuOra"/>
        <w:tblW w:w="5000" w:type="pct"/>
        <w:tblLayout w:type="fixed"/>
        <w:tblLook w:val="04A0" w:firstRow="1" w:lastRow="0" w:firstColumn="1" w:lastColumn="0" w:noHBand="0" w:noVBand="1"/>
      </w:tblPr>
      <w:tblGrid>
        <w:gridCol w:w="1429"/>
        <w:gridCol w:w="2257"/>
        <w:gridCol w:w="2268"/>
        <w:gridCol w:w="2268"/>
        <w:gridCol w:w="1416"/>
      </w:tblGrid>
      <w:tr w:rsidR="00F66973" w14:paraId="0DDED554" w14:textId="77777777" w:rsidTr="00555EF1">
        <w:trPr>
          <w:cnfStyle w:val="100000000000" w:firstRow="1" w:lastRow="0" w:firstColumn="0" w:lastColumn="0" w:oddVBand="0" w:evenVBand="0" w:oddHBand="0" w:evenHBand="0" w:firstRowFirstColumn="0" w:firstRowLastColumn="0" w:lastRowFirstColumn="0" w:lastRowLastColumn="0"/>
          <w:cantSplit/>
          <w:trHeight w:val="738"/>
          <w:tblHeader/>
        </w:trPr>
        <w:tc>
          <w:tcPr>
            <w:cnfStyle w:val="001000000000" w:firstRow="0" w:lastRow="0" w:firstColumn="1" w:lastColumn="0" w:oddVBand="0" w:evenVBand="0" w:oddHBand="0" w:evenHBand="0" w:firstRowFirstColumn="0" w:firstRowLastColumn="0" w:lastRowFirstColumn="0" w:lastRowLastColumn="0"/>
            <w:tcW w:w="1429" w:type="dxa"/>
          </w:tcPr>
          <w:p w14:paraId="634C80AD" w14:textId="06776995" w:rsidR="5928CA26" w:rsidRDefault="5928CA26">
            <w:pPr>
              <w:rPr>
                <w:rFonts w:eastAsia="Arial" w:cs="Arial"/>
                <w:b w:val="0"/>
                <w:bCs/>
                <w:szCs w:val="24"/>
              </w:rPr>
            </w:pPr>
            <w:r w:rsidRPr="5928CA26">
              <w:rPr>
                <w:rFonts w:eastAsia="Arial" w:cs="Arial"/>
                <w:bCs/>
                <w:szCs w:val="24"/>
              </w:rPr>
              <w:t xml:space="preserve">Emissions </w:t>
            </w:r>
            <w:r w:rsidR="00876FAE">
              <w:rPr>
                <w:rFonts w:eastAsia="Arial" w:cs="Arial"/>
                <w:bCs/>
                <w:szCs w:val="24"/>
              </w:rPr>
              <w:t>g</w:t>
            </w:r>
            <w:r w:rsidRPr="5928CA26">
              <w:rPr>
                <w:rFonts w:eastAsia="Arial" w:cs="Arial"/>
                <w:bCs/>
                <w:szCs w:val="24"/>
              </w:rPr>
              <w:t xml:space="preserve">roup </w:t>
            </w:r>
          </w:p>
        </w:tc>
        <w:tc>
          <w:tcPr>
            <w:tcW w:w="2257" w:type="dxa"/>
          </w:tcPr>
          <w:p w14:paraId="23249105" w14:textId="30884801" w:rsidR="5928CA26" w:rsidRDefault="5928CA26">
            <w:pPr>
              <w:cnfStyle w:val="100000000000" w:firstRow="1" w:lastRow="0" w:firstColumn="0" w:lastColumn="0" w:oddVBand="0" w:evenVBand="0" w:oddHBand="0" w:evenHBand="0" w:firstRowFirstColumn="0" w:firstRowLastColumn="0" w:lastRowFirstColumn="0" w:lastRowLastColumn="0"/>
              <w:rPr>
                <w:rFonts w:eastAsia="Arial" w:cs="Arial"/>
                <w:b w:val="0"/>
                <w:bCs/>
                <w:szCs w:val="24"/>
              </w:rPr>
            </w:pPr>
            <w:r w:rsidRPr="5928CA26">
              <w:rPr>
                <w:rFonts w:eastAsia="Arial" w:cs="Arial"/>
                <w:bCs/>
                <w:szCs w:val="24"/>
              </w:rPr>
              <w:t>Emissions</w:t>
            </w:r>
            <w:r w:rsidRPr="5928CA26">
              <w:rPr>
                <w:rFonts w:eastAsia="Arial" w:cs="Arial"/>
                <w:b w:val="0"/>
                <w:bCs/>
                <w:szCs w:val="24"/>
              </w:rPr>
              <w:t xml:space="preserve"> </w:t>
            </w:r>
            <w:r w:rsidRPr="00876FAE">
              <w:rPr>
                <w:rFonts w:eastAsia="Arial" w:cs="Arial"/>
                <w:szCs w:val="24"/>
              </w:rPr>
              <w:t>source</w:t>
            </w:r>
            <w:r w:rsidR="0065362B" w:rsidRPr="00876FAE">
              <w:rPr>
                <w:rFonts w:eastAsia="Arial" w:cs="Arial"/>
                <w:szCs w:val="24"/>
              </w:rPr>
              <w:t xml:space="preserve"> (Category)</w:t>
            </w:r>
          </w:p>
        </w:tc>
        <w:tc>
          <w:tcPr>
            <w:tcW w:w="2268" w:type="dxa"/>
          </w:tcPr>
          <w:p w14:paraId="5BA465D2" w14:textId="3020491E" w:rsidR="5928CA26" w:rsidRPr="0028775C" w:rsidRDefault="5928CA26">
            <w:pPr>
              <w:cnfStyle w:val="100000000000" w:firstRow="1" w:lastRow="0" w:firstColumn="0" w:lastColumn="0" w:oddVBand="0" w:evenVBand="0" w:oddHBand="0" w:evenHBand="0" w:firstRowFirstColumn="0" w:firstRowLastColumn="0" w:lastRowFirstColumn="0" w:lastRowLastColumn="0"/>
              <w:rPr>
                <w:b w:val="0"/>
              </w:rPr>
            </w:pPr>
            <w:r w:rsidRPr="0028775C">
              <w:t>FY2022/23 GHG emissions (tCO</w:t>
            </w:r>
            <w:r w:rsidRPr="0028775C">
              <w:rPr>
                <w:vertAlign w:val="subscript"/>
              </w:rPr>
              <w:t>2</w:t>
            </w:r>
            <w:r w:rsidRPr="0028775C">
              <w:t>e)</w:t>
            </w:r>
          </w:p>
        </w:tc>
        <w:tc>
          <w:tcPr>
            <w:tcW w:w="2268" w:type="dxa"/>
          </w:tcPr>
          <w:p w14:paraId="4C83AF20" w14:textId="7982AE66" w:rsidR="5928CA26" w:rsidRPr="0028775C" w:rsidRDefault="5928CA26" w:rsidP="1F8052C9">
            <w:pPr>
              <w:cnfStyle w:val="100000000000" w:firstRow="1" w:lastRow="0" w:firstColumn="0" w:lastColumn="0" w:oddVBand="0" w:evenVBand="0" w:oddHBand="0" w:evenHBand="0" w:firstRowFirstColumn="0" w:firstRowLastColumn="0" w:lastRowFirstColumn="0" w:lastRowLastColumn="0"/>
              <w:rPr>
                <w:b w:val="0"/>
              </w:rPr>
            </w:pPr>
            <w:r w:rsidRPr="0028775C">
              <w:t>FY2023/24 GHG emissions (tCO</w:t>
            </w:r>
            <w:r w:rsidRPr="0028775C">
              <w:rPr>
                <w:vertAlign w:val="subscript"/>
              </w:rPr>
              <w:t>2</w:t>
            </w:r>
            <w:r w:rsidRPr="0028775C">
              <w:t>e)</w:t>
            </w:r>
          </w:p>
        </w:tc>
        <w:tc>
          <w:tcPr>
            <w:tcW w:w="1416" w:type="dxa"/>
          </w:tcPr>
          <w:p w14:paraId="2CDE3691" w14:textId="28E27B1E" w:rsidR="5928CA26" w:rsidRPr="0028775C" w:rsidRDefault="5928CA26">
            <w:pPr>
              <w:cnfStyle w:val="100000000000" w:firstRow="1" w:lastRow="0" w:firstColumn="0" w:lastColumn="0" w:oddVBand="0" w:evenVBand="0" w:oddHBand="0" w:evenHBand="0" w:firstRowFirstColumn="0" w:firstRowLastColumn="0" w:lastRowFirstColumn="0" w:lastRowLastColumn="0"/>
              <w:rPr>
                <w:b w:val="0"/>
              </w:rPr>
            </w:pPr>
            <w:r w:rsidRPr="0028775C">
              <w:t>%</w:t>
            </w:r>
            <w:r w:rsidR="00752762" w:rsidRPr="0028775C">
              <w:t xml:space="preserve"> </w:t>
            </w:r>
            <w:r w:rsidRPr="0028775C">
              <w:t>Change</w:t>
            </w:r>
            <w:r w:rsidR="00CC5D9C" w:rsidRPr="0028775C">
              <w:t xml:space="preserve"> (</w:t>
            </w:r>
            <w:r w:rsidR="00E3669A" w:rsidRPr="0028775C">
              <w:t>+/-)</w:t>
            </w:r>
          </w:p>
        </w:tc>
      </w:tr>
      <w:tr w:rsidR="00E72636" w14:paraId="64E177C2" w14:textId="77777777" w:rsidTr="00555EF1">
        <w:trPr>
          <w:trHeight w:val="581"/>
        </w:trPr>
        <w:tc>
          <w:tcPr>
            <w:cnfStyle w:val="001000000000" w:firstRow="0" w:lastRow="0" w:firstColumn="1" w:lastColumn="0" w:oddVBand="0" w:evenVBand="0" w:oddHBand="0" w:evenHBand="0" w:firstRowFirstColumn="0" w:firstRowLastColumn="0" w:lastRowFirstColumn="0" w:lastRowLastColumn="0"/>
            <w:tcW w:w="1429" w:type="dxa"/>
            <w:vMerge w:val="restart"/>
          </w:tcPr>
          <w:p w14:paraId="70F0FEC2" w14:textId="4A6ACA37" w:rsidR="00E72636" w:rsidRDefault="00E72636">
            <w:pPr>
              <w:rPr>
                <w:rFonts w:eastAsia="Arial" w:cs="Arial"/>
                <w:szCs w:val="24"/>
              </w:rPr>
            </w:pPr>
            <w:r w:rsidRPr="5928CA26">
              <w:rPr>
                <w:rFonts w:eastAsia="Arial" w:cs="Arial"/>
                <w:bCs/>
                <w:szCs w:val="24"/>
              </w:rPr>
              <w:t>Energy</w:t>
            </w:r>
            <w:r>
              <w:rPr>
                <w:rFonts w:eastAsia="Arial" w:cs="Arial"/>
                <w:bCs/>
                <w:szCs w:val="24"/>
              </w:rPr>
              <w:t>,</w:t>
            </w:r>
            <w:r w:rsidRPr="5928CA26">
              <w:rPr>
                <w:rFonts w:eastAsia="Arial" w:cs="Arial"/>
                <w:bCs/>
                <w:szCs w:val="24"/>
              </w:rPr>
              <w:t xml:space="preserve"> Water and Waste</w:t>
            </w:r>
          </w:p>
        </w:tc>
        <w:tc>
          <w:tcPr>
            <w:tcW w:w="2257" w:type="dxa"/>
          </w:tcPr>
          <w:p w14:paraId="069AFB44" w14:textId="22AD35DF" w:rsidR="00E72636" w:rsidRDefault="00E7263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Natural gas</w:t>
            </w:r>
            <w:r>
              <w:rPr>
                <w:rFonts w:eastAsia="Arial" w:cs="Arial"/>
                <w:szCs w:val="24"/>
              </w:rPr>
              <w:t xml:space="preserve"> (1)</w:t>
            </w:r>
          </w:p>
        </w:tc>
        <w:tc>
          <w:tcPr>
            <w:tcW w:w="2268" w:type="dxa"/>
            <w:vAlign w:val="center"/>
          </w:tcPr>
          <w:p w14:paraId="20C78B47" w14:textId="71FB1C63" w:rsidR="00E72636" w:rsidRPr="003E4115" w:rsidRDefault="00E72636" w:rsidP="00170985">
            <w:pPr>
              <w:jc w:val="right"/>
              <w:cnfStyle w:val="000000000000" w:firstRow="0" w:lastRow="0" w:firstColumn="0" w:lastColumn="0" w:oddVBand="0" w:evenVBand="0" w:oddHBand="0" w:evenHBand="0" w:firstRowFirstColumn="0" w:firstRowLastColumn="0" w:lastRowFirstColumn="0" w:lastRowLastColumn="0"/>
            </w:pPr>
            <w:r w:rsidRPr="003E4115">
              <w:t xml:space="preserve">52,909 </w:t>
            </w:r>
          </w:p>
        </w:tc>
        <w:tc>
          <w:tcPr>
            <w:tcW w:w="2268" w:type="dxa"/>
            <w:vAlign w:val="center"/>
          </w:tcPr>
          <w:p w14:paraId="694D6497" w14:textId="6A7931E4" w:rsidR="00E72636" w:rsidRPr="003E4115" w:rsidRDefault="00E72636" w:rsidP="00170985">
            <w:pPr>
              <w:jc w:val="right"/>
              <w:cnfStyle w:val="000000000000" w:firstRow="0" w:lastRow="0" w:firstColumn="0" w:lastColumn="0" w:oddVBand="0" w:evenVBand="0" w:oddHBand="0" w:evenHBand="0" w:firstRowFirstColumn="0" w:firstRowLastColumn="0" w:lastRowFirstColumn="0" w:lastRowLastColumn="0"/>
              <w:rPr>
                <w:highlight w:val="cyan"/>
              </w:rPr>
            </w:pPr>
            <w:r w:rsidRPr="004E0F79">
              <w:rPr>
                <w:rFonts w:eastAsia="Arial" w:cs="Arial"/>
              </w:rPr>
              <w:t>48,</w:t>
            </w:r>
            <w:r w:rsidR="037ED405" w:rsidRPr="396290AE">
              <w:rPr>
                <w:rFonts w:eastAsia="Arial" w:cs="Arial"/>
              </w:rPr>
              <w:t>972</w:t>
            </w:r>
          </w:p>
        </w:tc>
        <w:tc>
          <w:tcPr>
            <w:tcW w:w="1416" w:type="dxa"/>
            <w:vAlign w:val="center"/>
          </w:tcPr>
          <w:p w14:paraId="0E2E214B" w14:textId="5D7B28B2" w:rsidR="00E72636" w:rsidRPr="00FE5DCC" w:rsidRDefault="00E72636" w:rsidP="0048C9DC">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w:t>
            </w:r>
            <w:r w:rsidR="48E6239D" w:rsidRPr="1B2F8F68">
              <w:rPr>
                <w:rFonts w:eastAsia="Arial" w:cs="Arial"/>
              </w:rPr>
              <w:t>7</w:t>
            </w:r>
          </w:p>
        </w:tc>
      </w:tr>
      <w:tr w:rsidR="00E72636" w14:paraId="1A5291E7"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1DFE5204" w14:textId="77777777" w:rsidR="00E72636" w:rsidRDefault="00E72636"/>
        </w:tc>
        <w:tc>
          <w:tcPr>
            <w:tcW w:w="2257" w:type="dxa"/>
          </w:tcPr>
          <w:p w14:paraId="604C764E" w14:textId="41D088B1" w:rsidR="00E72636" w:rsidRDefault="00E7263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Coal</w:t>
            </w:r>
            <w:r>
              <w:rPr>
                <w:rFonts w:eastAsia="Arial" w:cs="Arial"/>
                <w:szCs w:val="24"/>
              </w:rPr>
              <w:t xml:space="preserve"> (1</w:t>
            </w:r>
            <w:r w:rsidR="00496114">
              <w:rPr>
                <w:rFonts w:eastAsia="Arial" w:cs="Arial"/>
                <w:szCs w:val="24"/>
              </w:rPr>
              <w:t xml:space="preserve"> &amp; 2</w:t>
            </w:r>
            <w:r>
              <w:rPr>
                <w:rFonts w:eastAsia="Arial" w:cs="Arial"/>
                <w:szCs w:val="24"/>
              </w:rPr>
              <w:t>)</w:t>
            </w:r>
          </w:p>
        </w:tc>
        <w:tc>
          <w:tcPr>
            <w:tcW w:w="2268" w:type="dxa"/>
            <w:vAlign w:val="center"/>
          </w:tcPr>
          <w:p w14:paraId="574DFE67" w14:textId="3FE60CD7" w:rsidR="00E72636" w:rsidRPr="003E4115" w:rsidRDefault="00E72636" w:rsidP="00170985">
            <w:pPr>
              <w:jc w:val="right"/>
              <w:cnfStyle w:val="000000000000" w:firstRow="0" w:lastRow="0" w:firstColumn="0" w:lastColumn="0" w:oddVBand="0" w:evenVBand="0" w:oddHBand="0" w:evenHBand="0" w:firstRowFirstColumn="0" w:firstRowLastColumn="0" w:lastRowFirstColumn="0" w:lastRowLastColumn="0"/>
            </w:pPr>
            <w:r w:rsidRPr="003E4115">
              <w:t xml:space="preserve">34,828 </w:t>
            </w:r>
          </w:p>
        </w:tc>
        <w:tc>
          <w:tcPr>
            <w:tcW w:w="2268" w:type="dxa"/>
            <w:vAlign w:val="center"/>
          </w:tcPr>
          <w:p w14:paraId="675C8E57" w14:textId="796DE7DC" w:rsidR="00E72636" w:rsidRPr="003E4115" w:rsidRDefault="7EDE716C" w:rsidP="0048C9DC">
            <w:pPr>
              <w:jc w:val="right"/>
              <w:cnfStyle w:val="000000000000" w:firstRow="0" w:lastRow="0" w:firstColumn="0" w:lastColumn="0" w:oddVBand="0" w:evenVBand="0" w:oddHBand="0" w:evenHBand="0" w:firstRowFirstColumn="0" w:firstRowLastColumn="0" w:lastRowFirstColumn="0" w:lastRowLastColumn="0"/>
            </w:pPr>
            <w:r w:rsidRPr="16BFD7A7">
              <w:rPr>
                <w:rFonts w:eastAsia="Arial" w:cs="Arial"/>
              </w:rPr>
              <w:t>8,304</w:t>
            </w:r>
            <w:r w:rsidR="09CBBB1C">
              <w:t xml:space="preserve"> </w:t>
            </w:r>
          </w:p>
        </w:tc>
        <w:tc>
          <w:tcPr>
            <w:tcW w:w="1416" w:type="dxa"/>
            <w:vAlign w:val="center"/>
          </w:tcPr>
          <w:p w14:paraId="55454463" w14:textId="56B42AEE" w:rsidR="00E72636" w:rsidRPr="00FE5DCC" w:rsidRDefault="09CBBB1C" w:rsidP="0048C9DC">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16BFD7A7">
              <w:rPr>
                <w:rFonts w:eastAsia="Arial" w:cs="Arial"/>
              </w:rPr>
              <w:t>-7</w:t>
            </w:r>
            <w:r w:rsidR="03F5058C" w:rsidRPr="16BFD7A7">
              <w:rPr>
                <w:rFonts w:eastAsia="Arial" w:cs="Arial"/>
              </w:rPr>
              <w:t>6</w:t>
            </w:r>
          </w:p>
        </w:tc>
      </w:tr>
      <w:tr w:rsidR="00E72636" w14:paraId="7DC0E006"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6596C9D1" w14:textId="77777777" w:rsidR="00E72636" w:rsidRDefault="00E72636"/>
        </w:tc>
        <w:tc>
          <w:tcPr>
            <w:tcW w:w="2257" w:type="dxa"/>
          </w:tcPr>
          <w:p w14:paraId="1322095D" w14:textId="09082BCF" w:rsidR="00E72636" w:rsidRDefault="00E7263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Electricity</w:t>
            </w:r>
            <w:r>
              <w:rPr>
                <w:rFonts w:eastAsia="Arial" w:cs="Arial"/>
                <w:szCs w:val="24"/>
              </w:rPr>
              <w:t xml:space="preserve"> (2)</w:t>
            </w:r>
          </w:p>
        </w:tc>
        <w:tc>
          <w:tcPr>
            <w:tcW w:w="2268" w:type="dxa"/>
            <w:vAlign w:val="center"/>
          </w:tcPr>
          <w:p w14:paraId="63BE3381" w14:textId="2404B583" w:rsidR="00E72636" w:rsidRPr="003E4115" w:rsidRDefault="00E72636" w:rsidP="00170985">
            <w:pPr>
              <w:jc w:val="right"/>
              <w:cnfStyle w:val="000000000000" w:firstRow="0" w:lastRow="0" w:firstColumn="0" w:lastColumn="0" w:oddVBand="0" w:evenVBand="0" w:oddHBand="0" w:evenHBand="0" w:firstRowFirstColumn="0" w:firstRowLastColumn="0" w:lastRowFirstColumn="0" w:lastRowLastColumn="0"/>
            </w:pPr>
            <w:r w:rsidRPr="003E4115">
              <w:t xml:space="preserve">27,367 </w:t>
            </w:r>
          </w:p>
        </w:tc>
        <w:tc>
          <w:tcPr>
            <w:tcW w:w="2268" w:type="dxa"/>
            <w:vAlign w:val="center"/>
          </w:tcPr>
          <w:p w14:paraId="59635E45" w14:textId="1798CE34" w:rsidR="00E72636" w:rsidRPr="00FE5DCC" w:rsidRDefault="00E72636" w:rsidP="0048C9DC">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26,</w:t>
            </w:r>
            <w:r w:rsidRPr="03D407A8">
              <w:rPr>
                <w:rFonts w:eastAsia="Arial" w:cs="Arial"/>
              </w:rPr>
              <w:t>4</w:t>
            </w:r>
            <w:r w:rsidR="5FB9F2ED" w:rsidRPr="03D407A8">
              <w:rPr>
                <w:rFonts w:eastAsia="Arial" w:cs="Arial"/>
              </w:rPr>
              <w:t>18</w:t>
            </w:r>
            <w:r w:rsidRPr="0048C9DC">
              <w:rPr>
                <w:rFonts w:eastAsia="Arial" w:cs="Arial"/>
              </w:rPr>
              <w:t xml:space="preserve"> </w:t>
            </w:r>
          </w:p>
        </w:tc>
        <w:tc>
          <w:tcPr>
            <w:tcW w:w="1416" w:type="dxa"/>
            <w:vAlign w:val="center"/>
          </w:tcPr>
          <w:p w14:paraId="22C15EFC" w14:textId="421913A2" w:rsidR="00E72636" w:rsidRPr="00FE5DCC" w:rsidRDefault="00E72636" w:rsidP="0048C9DC">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-3</w:t>
            </w:r>
          </w:p>
        </w:tc>
      </w:tr>
      <w:tr w:rsidR="00E72636" w14:paraId="77334D21"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64BED8CA" w14:textId="77777777" w:rsidR="00E72636" w:rsidRDefault="00E72636"/>
        </w:tc>
        <w:tc>
          <w:tcPr>
            <w:tcW w:w="2257" w:type="dxa"/>
          </w:tcPr>
          <w:p w14:paraId="2FC1B2CF" w14:textId="58246208" w:rsidR="00E72636" w:rsidRDefault="00E7263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Waste</w:t>
            </w:r>
            <w:r>
              <w:rPr>
                <w:rFonts w:eastAsia="Arial" w:cs="Arial"/>
                <w:szCs w:val="24"/>
              </w:rPr>
              <w:t xml:space="preserve"> (4)</w:t>
            </w:r>
          </w:p>
        </w:tc>
        <w:tc>
          <w:tcPr>
            <w:tcW w:w="2268" w:type="dxa"/>
            <w:vAlign w:val="center"/>
          </w:tcPr>
          <w:p w14:paraId="4B482DB0" w14:textId="48E1023D" w:rsidR="00E72636" w:rsidRPr="003E4115" w:rsidRDefault="00E72636" w:rsidP="00170985">
            <w:pPr>
              <w:jc w:val="right"/>
              <w:cnfStyle w:val="000000000000" w:firstRow="0" w:lastRow="0" w:firstColumn="0" w:lastColumn="0" w:oddVBand="0" w:evenVBand="0" w:oddHBand="0" w:evenHBand="0" w:firstRowFirstColumn="0" w:firstRowLastColumn="0" w:lastRowFirstColumn="0" w:lastRowLastColumn="0"/>
            </w:pPr>
            <w:r w:rsidRPr="003E4115">
              <w:t xml:space="preserve">6,294 </w:t>
            </w:r>
          </w:p>
        </w:tc>
        <w:tc>
          <w:tcPr>
            <w:tcW w:w="2268" w:type="dxa"/>
            <w:vAlign w:val="center"/>
          </w:tcPr>
          <w:p w14:paraId="238774D3" w14:textId="2DD28385" w:rsidR="00E72636" w:rsidRPr="00FE5DCC" w:rsidRDefault="77CABD5C" w:rsidP="0048C9DC">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23E50C81">
              <w:rPr>
                <w:rFonts w:eastAsia="Arial" w:cs="Arial"/>
              </w:rPr>
              <w:t>6,370</w:t>
            </w:r>
          </w:p>
        </w:tc>
        <w:tc>
          <w:tcPr>
            <w:tcW w:w="1416" w:type="dxa"/>
            <w:vAlign w:val="center"/>
          </w:tcPr>
          <w:p w14:paraId="6F2EB15F" w14:textId="72C7ADB1" w:rsidR="00E72636" w:rsidRPr="003E4115" w:rsidRDefault="00E72636" w:rsidP="00170985">
            <w:pPr>
              <w:jc w:val="right"/>
              <w:cnfStyle w:val="000000000000" w:firstRow="0" w:lastRow="0" w:firstColumn="0" w:lastColumn="0" w:oddVBand="0" w:evenVBand="0" w:oddHBand="0" w:evenHBand="0" w:firstRowFirstColumn="0" w:firstRowLastColumn="0" w:lastRowFirstColumn="0" w:lastRowLastColumn="0"/>
            </w:pPr>
            <w:r w:rsidRPr="003E4115">
              <w:t>+1</w:t>
            </w:r>
          </w:p>
        </w:tc>
      </w:tr>
      <w:tr w:rsidR="00E72636" w14:paraId="3BD74762"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242769F8" w14:textId="77777777" w:rsidR="00E72636" w:rsidRDefault="00E72636"/>
        </w:tc>
        <w:tc>
          <w:tcPr>
            <w:tcW w:w="2257" w:type="dxa"/>
          </w:tcPr>
          <w:p w14:paraId="748F6E9C" w14:textId="4E6FF812" w:rsidR="00E72636" w:rsidRDefault="00E72636">
            <w:pPr>
              <w:cnfStyle w:val="000000000000" w:firstRow="0" w:lastRow="0" w:firstColumn="0" w:lastColumn="0" w:oddVBand="0" w:evenVBand="0" w:oddHBand="0" w:evenHBand="0" w:firstRowFirstColumn="0" w:firstRowLastColumn="0" w:lastRowFirstColumn="0" w:lastRowLastColumn="0"/>
              <w:rPr>
                <w:rFonts w:eastAsia="Arial" w:cs="Arial"/>
              </w:rPr>
            </w:pPr>
            <w:r w:rsidRPr="178FDEC3">
              <w:rPr>
                <w:rFonts w:eastAsia="Arial" w:cs="Arial"/>
              </w:rPr>
              <w:t>Energy other (1,2, &amp; 4)</w:t>
            </w:r>
          </w:p>
        </w:tc>
        <w:tc>
          <w:tcPr>
            <w:tcW w:w="2268" w:type="dxa"/>
            <w:vAlign w:val="center"/>
          </w:tcPr>
          <w:p w14:paraId="593A9B85" w14:textId="65ADC288" w:rsidR="00E72636" w:rsidRPr="003E4115" w:rsidRDefault="00E72636" w:rsidP="00170985">
            <w:pPr>
              <w:jc w:val="right"/>
              <w:cnfStyle w:val="000000000000" w:firstRow="0" w:lastRow="0" w:firstColumn="0" w:lastColumn="0" w:oddVBand="0" w:evenVBand="0" w:oddHBand="0" w:evenHBand="0" w:firstRowFirstColumn="0" w:firstRowLastColumn="0" w:lastRowFirstColumn="0" w:lastRowLastColumn="0"/>
            </w:pPr>
            <w:r w:rsidRPr="003E4115">
              <w:t>7,</w:t>
            </w:r>
            <w:r w:rsidR="003A72EF">
              <w:t>976</w:t>
            </w:r>
            <w:r w:rsidRPr="003E4115">
              <w:t xml:space="preserve"> </w:t>
            </w:r>
          </w:p>
        </w:tc>
        <w:tc>
          <w:tcPr>
            <w:tcW w:w="2268" w:type="dxa"/>
            <w:vAlign w:val="center"/>
          </w:tcPr>
          <w:p w14:paraId="20156F56" w14:textId="2EF4A21E" w:rsidR="00E72636" w:rsidRPr="003E4115" w:rsidRDefault="0712B28B" w:rsidP="00170985">
            <w:pPr>
              <w:jc w:val="right"/>
              <w:cnfStyle w:val="000000000000" w:firstRow="0" w:lastRow="0" w:firstColumn="0" w:lastColumn="0" w:oddVBand="0" w:evenVBand="0" w:oddHBand="0" w:evenHBand="0" w:firstRowFirstColumn="0" w:firstRowLastColumn="0" w:lastRowFirstColumn="0" w:lastRowLastColumn="0"/>
            </w:pPr>
            <w:r>
              <w:t>5,857</w:t>
            </w:r>
          </w:p>
        </w:tc>
        <w:tc>
          <w:tcPr>
            <w:tcW w:w="1416" w:type="dxa"/>
            <w:vAlign w:val="center"/>
          </w:tcPr>
          <w:p w14:paraId="326C6B62" w14:textId="5C3EDECE" w:rsidR="00E72636" w:rsidRPr="003E4115" w:rsidRDefault="09CBBB1C" w:rsidP="00170985">
            <w:pPr>
              <w:jc w:val="right"/>
              <w:cnfStyle w:val="000000000000" w:firstRow="0" w:lastRow="0" w:firstColumn="0" w:lastColumn="0" w:oddVBand="0" w:evenVBand="0" w:oddHBand="0" w:evenHBand="0" w:firstRowFirstColumn="0" w:firstRowLastColumn="0" w:lastRowFirstColumn="0" w:lastRowLastColumn="0"/>
            </w:pPr>
            <w:r>
              <w:t>-</w:t>
            </w:r>
            <w:r w:rsidR="1780ECEC">
              <w:t>26</w:t>
            </w:r>
          </w:p>
        </w:tc>
      </w:tr>
      <w:tr w:rsidR="003A72EF" w14:paraId="71BD1AFA"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57944382" w14:textId="77777777" w:rsidR="003A72EF" w:rsidRDefault="003A72EF" w:rsidP="003A72EF"/>
        </w:tc>
        <w:tc>
          <w:tcPr>
            <w:tcW w:w="2257" w:type="dxa"/>
          </w:tcPr>
          <w:p w14:paraId="6DEEC17E" w14:textId="0CA957A9" w:rsidR="003A72EF" w:rsidRPr="5928CA26" w:rsidRDefault="003A72EF" w:rsidP="003A72EF">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003E4115">
              <w:t>Wastewater treatment (4)</w:t>
            </w:r>
          </w:p>
        </w:tc>
        <w:tc>
          <w:tcPr>
            <w:tcW w:w="2268" w:type="dxa"/>
            <w:vAlign w:val="center"/>
          </w:tcPr>
          <w:p w14:paraId="7B81F4DB" w14:textId="2961CD87" w:rsidR="003A72EF" w:rsidRPr="003E4115" w:rsidRDefault="003A72EF" w:rsidP="003A72EF">
            <w:pPr>
              <w:jc w:val="right"/>
              <w:cnfStyle w:val="000000000000" w:firstRow="0" w:lastRow="0" w:firstColumn="0" w:lastColumn="0" w:oddVBand="0" w:evenVBand="0" w:oddHBand="0" w:evenHBand="0" w:firstRowFirstColumn="0" w:firstRowLastColumn="0" w:lastRowFirstColumn="0" w:lastRowLastColumn="0"/>
            </w:pPr>
            <w:r>
              <w:rPr>
                <w:rFonts w:eastAsia="Arial" w:cs="Arial"/>
                <w:szCs w:val="24"/>
              </w:rPr>
              <w:t>1,651</w:t>
            </w:r>
          </w:p>
        </w:tc>
        <w:tc>
          <w:tcPr>
            <w:tcW w:w="2268" w:type="dxa"/>
            <w:vAlign w:val="center"/>
          </w:tcPr>
          <w:p w14:paraId="439B7FF4" w14:textId="7E2C417F" w:rsidR="003A72EF" w:rsidRPr="5B27E036"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219B8B1D">
              <w:rPr>
                <w:rFonts w:eastAsia="Arial" w:cs="Arial"/>
              </w:rPr>
              <w:t>2,</w:t>
            </w:r>
            <w:r w:rsidRPr="758088D4">
              <w:rPr>
                <w:rFonts w:eastAsia="Arial" w:cs="Arial"/>
              </w:rPr>
              <w:t>712</w:t>
            </w:r>
          </w:p>
        </w:tc>
        <w:tc>
          <w:tcPr>
            <w:tcW w:w="1416" w:type="dxa"/>
            <w:vAlign w:val="center"/>
          </w:tcPr>
          <w:p w14:paraId="3F887A00" w14:textId="740D65D3" w:rsidR="003A72EF" w:rsidRPr="0048C9DC"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69794BD3">
              <w:rPr>
                <w:rFonts w:eastAsia="Arial" w:cs="Arial"/>
              </w:rPr>
              <w:t>+</w:t>
            </w:r>
            <w:r w:rsidR="00AD5EF8">
              <w:rPr>
                <w:rFonts w:eastAsia="Arial" w:cs="Arial"/>
              </w:rPr>
              <w:t>64</w:t>
            </w:r>
          </w:p>
        </w:tc>
      </w:tr>
      <w:tr w:rsidR="003A72EF" w14:paraId="1C7D09D8"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44DB3C9D" w14:textId="77777777" w:rsidR="003A72EF" w:rsidRDefault="003A72EF" w:rsidP="003A72EF"/>
        </w:tc>
        <w:tc>
          <w:tcPr>
            <w:tcW w:w="2257" w:type="dxa"/>
          </w:tcPr>
          <w:p w14:paraId="29B13472" w14:textId="1B3A8796" w:rsidR="003A72EF" w:rsidRPr="003E4115" w:rsidRDefault="003A72EF" w:rsidP="003A72EF">
            <w:pPr>
              <w:cnfStyle w:val="000000000000" w:firstRow="0" w:lastRow="0" w:firstColumn="0" w:lastColumn="0" w:oddVBand="0" w:evenVBand="0" w:oddHBand="0" w:evenHBand="0" w:firstRowFirstColumn="0" w:firstRowLastColumn="0" w:lastRowFirstColumn="0" w:lastRowLastColumn="0"/>
            </w:pPr>
            <w:r w:rsidRPr="5928CA26">
              <w:rPr>
                <w:rFonts w:eastAsia="Arial" w:cs="Arial"/>
                <w:szCs w:val="24"/>
              </w:rPr>
              <w:t xml:space="preserve">Refrigerants </w:t>
            </w:r>
            <w:r>
              <w:rPr>
                <w:rFonts w:eastAsia="Arial" w:cs="Arial"/>
                <w:szCs w:val="24"/>
              </w:rPr>
              <w:t>(1)</w:t>
            </w:r>
          </w:p>
        </w:tc>
        <w:tc>
          <w:tcPr>
            <w:tcW w:w="2268" w:type="dxa"/>
            <w:vAlign w:val="center"/>
          </w:tcPr>
          <w:p w14:paraId="0E35B1FD" w14:textId="2F703FF0" w:rsidR="003A72EF"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szCs w:val="24"/>
              </w:rPr>
            </w:pPr>
            <w:r w:rsidRPr="003E4115">
              <w:t xml:space="preserve">1,424 </w:t>
            </w:r>
          </w:p>
        </w:tc>
        <w:tc>
          <w:tcPr>
            <w:tcW w:w="2268" w:type="dxa"/>
            <w:vAlign w:val="center"/>
          </w:tcPr>
          <w:p w14:paraId="3CF9EFB5" w14:textId="0051A7BE" w:rsidR="003A72EF" w:rsidRPr="219B8B1D"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5B27E036">
              <w:rPr>
                <w:rFonts w:eastAsia="Arial" w:cs="Arial"/>
              </w:rPr>
              <w:t>2,011</w:t>
            </w:r>
          </w:p>
        </w:tc>
        <w:tc>
          <w:tcPr>
            <w:tcW w:w="1416" w:type="dxa"/>
            <w:vAlign w:val="center"/>
          </w:tcPr>
          <w:p w14:paraId="5B6DC074" w14:textId="579CD76C" w:rsidR="003A72EF" w:rsidRPr="69794BD3"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w:t>
            </w:r>
            <w:r w:rsidRPr="51527A11">
              <w:rPr>
                <w:rFonts w:eastAsia="Arial" w:cs="Arial"/>
              </w:rPr>
              <w:t>41</w:t>
            </w:r>
          </w:p>
        </w:tc>
      </w:tr>
      <w:tr w:rsidR="003A72EF" w14:paraId="11163FD4"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0327AEDD" w14:textId="77777777" w:rsidR="003A72EF" w:rsidRDefault="003A72EF" w:rsidP="003A72EF"/>
        </w:tc>
        <w:tc>
          <w:tcPr>
            <w:tcW w:w="2257" w:type="dxa"/>
          </w:tcPr>
          <w:p w14:paraId="088E20E5" w14:textId="6C40B941" w:rsidR="003A72EF" w:rsidRDefault="003A72EF" w:rsidP="003A72EF">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 xml:space="preserve">Water </w:t>
            </w:r>
            <w:r>
              <w:rPr>
                <w:rFonts w:eastAsia="Arial" w:cs="Arial"/>
                <w:szCs w:val="24"/>
              </w:rPr>
              <w:t>(4)</w:t>
            </w:r>
          </w:p>
        </w:tc>
        <w:tc>
          <w:tcPr>
            <w:tcW w:w="2268" w:type="dxa"/>
            <w:vAlign w:val="center"/>
          </w:tcPr>
          <w:p w14:paraId="77869668" w14:textId="0133CB98" w:rsidR="003A72EF" w:rsidRPr="003E4115" w:rsidRDefault="003A72EF" w:rsidP="003A72EF">
            <w:pPr>
              <w:jc w:val="right"/>
              <w:cnfStyle w:val="000000000000" w:firstRow="0" w:lastRow="0" w:firstColumn="0" w:lastColumn="0" w:oddVBand="0" w:evenVBand="0" w:oddHBand="0" w:evenHBand="0" w:firstRowFirstColumn="0" w:firstRowLastColumn="0" w:lastRowFirstColumn="0" w:lastRowLastColumn="0"/>
            </w:pPr>
            <w:r w:rsidRPr="003E4115">
              <w:t xml:space="preserve">120 </w:t>
            </w:r>
          </w:p>
        </w:tc>
        <w:tc>
          <w:tcPr>
            <w:tcW w:w="2268" w:type="dxa"/>
            <w:vAlign w:val="center"/>
          </w:tcPr>
          <w:p w14:paraId="677B1455" w14:textId="240828BA" w:rsidR="003A72EF" w:rsidRPr="00FE5DCC"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 xml:space="preserve">210 </w:t>
            </w:r>
          </w:p>
        </w:tc>
        <w:tc>
          <w:tcPr>
            <w:tcW w:w="1416" w:type="dxa"/>
            <w:vAlign w:val="center"/>
          </w:tcPr>
          <w:p w14:paraId="3645B557" w14:textId="7002AA83" w:rsidR="003A72EF" w:rsidRPr="00FE5DCC"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+75</w:t>
            </w:r>
          </w:p>
        </w:tc>
      </w:tr>
      <w:tr w:rsidR="003A72EF" w14:paraId="52366901" w14:textId="77777777" w:rsidTr="00555EF1">
        <w:trPr>
          <w:trHeight w:val="581"/>
        </w:trPr>
        <w:tc>
          <w:tcPr>
            <w:cnfStyle w:val="001000000000" w:firstRow="0" w:lastRow="0" w:firstColumn="1" w:lastColumn="0" w:oddVBand="0" w:evenVBand="0" w:oddHBand="0" w:evenHBand="0" w:firstRowFirstColumn="0" w:firstRowLastColumn="0" w:lastRowFirstColumn="0" w:lastRowLastColumn="0"/>
            <w:tcW w:w="1429" w:type="dxa"/>
            <w:vMerge w:val="restart"/>
          </w:tcPr>
          <w:p w14:paraId="00890CA4" w14:textId="2F1523A3" w:rsidR="003A72EF" w:rsidRDefault="003A72EF" w:rsidP="003A72EF">
            <w:pPr>
              <w:rPr>
                <w:rFonts w:eastAsia="Arial" w:cs="Arial"/>
                <w:szCs w:val="24"/>
              </w:rPr>
            </w:pPr>
            <w:r w:rsidRPr="5928CA26">
              <w:rPr>
                <w:rFonts w:eastAsia="Arial" w:cs="Arial"/>
                <w:bCs/>
                <w:szCs w:val="24"/>
              </w:rPr>
              <w:t>Funded Patient Transport</w:t>
            </w:r>
          </w:p>
        </w:tc>
        <w:tc>
          <w:tcPr>
            <w:tcW w:w="2257" w:type="dxa"/>
          </w:tcPr>
          <w:p w14:paraId="685A4E2C" w14:textId="436A40CB" w:rsidR="003A72EF" w:rsidRDefault="003A72EF" w:rsidP="003A72EF">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 xml:space="preserve">Staff </w:t>
            </w:r>
            <w:r>
              <w:rPr>
                <w:rFonts w:eastAsia="Arial" w:cs="Arial"/>
                <w:szCs w:val="24"/>
              </w:rPr>
              <w:t>a</w:t>
            </w:r>
            <w:r w:rsidRPr="5928CA26">
              <w:rPr>
                <w:rFonts w:eastAsia="Arial" w:cs="Arial"/>
                <w:szCs w:val="24"/>
              </w:rPr>
              <w:t xml:space="preserve">ir </w:t>
            </w:r>
            <w:r>
              <w:rPr>
                <w:rFonts w:eastAsia="Arial" w:cs="Arial"/>
                <w:szCs w:val="24"/>
              </w:rPr>
              <w:t>t</w:t>
            </w:r>
            <w:r w:rsidRPr="5928CA26">
              <w:rPr>
                <w:rFonts w:eastAsia="Arial" w:cs="Arial"/>
                <w:szCs w:val="24"/>
              </w:rPr>
              <w:t>ravel</w:t>
            </w:r>
            <w:r>
              <w:rPr>
                <w:rFonts w:eastAsia="Arial" w:cs="Arial"/>
                <w:szCs w:val="24"/>
              </w:rPr>
              <w:t xml:space="preserve"> (3)</w:t>
            </w:r>
          </w:p>
        </w:tc>
        <w:tc>
          <w:tcPr>
            <w:tcW w:w="2268" w:type="dxa"/>
            <w:vAlign w:val="center"/>
          </w:tcPr>
          <w:p w14:paraId="69B58E8C" w14:textId="114FED4B" w:rsidR="003A72EF" w:rsidRPr="003E4115" w:rsidRDefault="003A72EF" w:rsidP="003A72EF">
            <w:pPr>
              <w:jc w:val="right"/>
              <w:cnfStyle w:val="000000000000" w:firstRow="0" w:lastRow="0" w:firstColumn="0" w:lastColumn="0" w:oddVBand="0" w:evenVBand="0" w:oddHBand="0" w:evenHBand="0" w:firstRowFirstColumn="0" w:firstRowLastColumn="0" w:lastRowFirstColumn="0" w:lastRowLastColumn="0"/>
            </w:pPr>
            <w:r w:rsidRPr="003E4115">
              <w:t xml:space="preserve">48,412 </w:t>
            </w:r>
          </w:p>
        </w:tc>
        <w:tc>
          <w:tcPr>
            <w:tcW w:w="2268" w:type="dxa"/>
            <w:vAlign w:val="center"/>
          </w:tcPr>
          <w:p w14:paraId="784985E4" w14:textId="223ED49C" w:rsidR="003A72EF" w:rsidRPr="00FE5DCC"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F583CDD">
              <w:rPr>
                <w:rFonts w:eastAsia="Arial" w:cs="Arial"/>
              </w:rPr>
              <w:t>52,415</w:t>
            </w:r>
            <w:r w:rsidRPr="0048C9DC">
              <w:rPr>
                <w:rFonts w:eastAsia="Arial" w:cs="Arial"/>
              </w:rPr>
              <w:t xml:space="preserve"> </w:t>
            </w:r>
          </w:p>
        </w:tc>
        <w:tc>
          <w:tcPr>
            <w:tcW w:w="1416" w:type="dxa"/>
            <w:vAlign w:val="center"/>
          </w:tcPr>
          <w:p w14:paraId="4A29958D" w14:textId="43D51168" w:rsidR="003A72EF" w:rsidRPr="00FE5DCC"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w:t>
            </w:r>
            <w:r w:rsidRPr="3B930604">
              <w:rPr>
                <w:rFonts w:eastAsia="Arial" w:cs="Arial"/>
              </w:rPr>
              <w:t>8</w:t>
            </w:r>
          </w:p>
        </w:tc>
      </w:tr>
      <w:tr w:rsidR="003A72EF" w14:paraId="1D53F4BD" w14:textId="77777777" w:rsidTr="00555EF1">
        <w:trPr>
          <w:trHeight w:val="1177"/>
        </w:trPr>
        <w:tc>
          <w:tcPr>
            <w:cnfStyle w:val="001000000000" w:firstRow="0" w:lastRow="0" w:firstColumn="1" w:lastColumn="0" w:oddVBand="0" w:evenVBand="0" w:oddHBand="0" w:evenHBand="0" w:firstRowFirstColumn="0" w:firstRowLastColumn="0" w:lastRowFirstColumn="0" w:lastRowLastColumn="0"/>
            <w:tcW w:w="1429" w:type="dxa"/>
            <w:vMerge/>
          </w:tcPr>
          <w:p w14:paraId="2F16AF38" w14:textId="77777777" w:rsidR="003A72EF" w:rsidRDefault="003A72EF" w:rsidP="003A72EF"/>
        </w:tc>
        <w:tc>
          <w:tcPr>
            <w:tcW w:w="2257" w:type="dxa"/>
          </w:tcPr>
          <w:p w14:paraId="278E4DCF" w14:textId="07DF24FC" w:rsidR="003A72EF" w:rsidRDefault="003A72EF" w:rsidP="003A72EF">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 xml:space="preserve">Patient air </w:t>
            </w:r>
            <w:r>
              <w:rPr>
                <w:rFonts w:eastAsia="Arial" w:cs="Arial"/>
                <w:szCs w:val="24"/>
              </w:rPr>
              <w:t>t</w:t>
            </w:r>
            <w:r w:rsidRPr="5928CA26">
              <w:rPr>
                <w:rFonts w:eastAsia="Arial" w:cs="Arial"/>
                <w:szCs w:val="24"/>
              </w:rPr>
              <w:t>ravel (Emergency-medical plane and helicopter)</w:t>
            </w:r>
            <w:r>
              <w:rPr>
                <w:rFonts w:eastAsia="Arial" w:cs="Arial"/>
                <w:szCs w:val="24"/>
              </w:rPr>
              <w:t xml:space="preserve"> (3)</w:t>
            </w:r>
          </w:p>
        </w:tc>
        <w:tc>
          <w:tcPr>
            <w:tcW w:w="2268" w:type="dxa"/>
            <w:vAlign w:val="center"/>
          </w:tcPr>
          <w:p w14:paraId="43265AA5" w14:textId="6AF07F3C" w:rsidR="003A72EF" w:rsidRPr="003E4115" w:rsidRDefault="003A72EF" w:rsidP="003A72EF">
            <w:pPr>
              <w:jc w:val="right"/>
              <w:cnfStyle w:val="000000000000" w:firstRow="0" w:lastRow="0" w:firstColumn="0" w:lastColumn="0" w:oddVBand="0" w:evenVBand="0" w:oddHBand="0" w:evenHBand="0" w:firstRowFirstColumn="0" w:firstRowLastColumn="0" w:lastRowFirstColumn="0" w:lastRowLastColumn="0"/>
            </w:pPr>
            <w:r w:rsidRPr="003E4115">
              <w:t xml:space="preserve">12,838 </w:t>
            </w:r>
          </w:p>
        </w:tc>
        <w:tc>
          <w:tcPr>
            <w:tcW w:w="2268" w:type="dxa"/>
            <w:vAlign w:val="center"/>
          </w:tcPr>
          <w:p w14:paraId="171EE39C" w14:textId="44AD28E6" w:rsidR="003A72EF" w:rsidRPr="00FE5DCC"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 xml:space="preserve">11,219 </w:t>
            </w:r>
          </w:p>
        </w:tc>
        <w:tc>
          <w:tcPr>
            <w:tcW w:w="1416" w:type="dxa"/>
            <w:vAlign w:val="center"/>
          </w:tcPr>
          <w:p w14:paraId="0DE11157" w14:textId="5A4483B1" w:rsidR="003A72EF" w:rsidRPr="00FE5DCC" w:rsidRDefault="003A72EF" w:rsidP="003A72EF">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-13</w:t>
            </w:r>
          </w:p>
        </w:tc>
      </w:tr>
      <w:tr w:rsidR="00965666" w14:paraId="262D4ED8" w14:textId="77777777" w:rsidTr="00555EF1">
        <w:trPr>
          <w:trHeight w:val="596"/>
        </w:trPr>
        <w:tc>
          <w:tcPr>
            <w:cnfStyle w:val="001000000000" w:firstRow="0" w:lastRow="0" w:firstColumn="1" w:lastColumn="0" w:oddVBand="0" w:evenVBand="0" w:oddHBand="0" w:evenHBand="0" w:firstRowFirstColumn="0" w:firstRowLastColumn="0" w:lastRowFirstColumn="0" w:lastRowLastColumn="0"/>
            <w:tcW w:w="1429" w:type="dxa"/>
            <w:vMerge/>
          </w:tcPr>
          <w:p w14:paraId="40C2B752" w14:textId="77777777" w:rsidR="00965666" w:rsidRDefault="00965666" w:rsidP="00965666"/>
        </w:tc>
        <w:tc>
          <w:tcPr>
            <w:tcW w:w="2257" w:type="dxa"/>
          </w:tcPr>
          <w:p w14:paraId="08FFAED1" w14:textId="4570F6B4" w:rsidR="00965666" w:rsidRPr="5928CA26" w:rsidRDefault="00965666" w:rsidP="0096566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Fleet fuels</w:t>
            </w:r>
            <w:r>
              <w:rPr>
                <w:rFonts w:eastAsia="Arial" w:cs="Arial"/>
                <w:szCs w:val="24"/>
              </w:rPr>
              <w:t xml:space="preserve"> (1)</w:t>
            </w:r>
          </w:p>
        </w:tc>
        <w:tc>
          <w:tcPr>
            <w:tcW w:w="2268" w:type="dxa"/>
            <w:vAlign w:val="center"/>
          </w:tcPr>
          <w:p w14:paraId="53E23C3A" w14:textId="19B52000"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pPr>
            <w:r w:rsidRPr="003E4115">
              <w:t xml:space="preserve">9,214 </w:t>
            </w:r>
          </w:p>
        </w:tc>
        <w:tc>
          <w:tcPr>
            <w:tcW w:w="2268" w:type="dxa"/>
            <w:vAlign w:val="center"/>
          </w:tcPr>
          <w:p w14:paraId="292D4EAB" w14:textId="549953D9" w:rsidR="00965666" w:rsidRPr="0048C9D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 xml:space="preserve">8,493 </w:t>
            </w:r>
          </w:p>
        </w:tc>
        <w:tc>
          <w:tcPr>
            <w:tcW w:w="1416" w:type="dxa"/>
            <w:vAlign w:val="center"/>
          </w:tcPr>
          <w:p w14:paraId="4A2FC88B" w14:textId="1932A059" w:rsidR="00965666" w:rsidRPr="0048C9D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-8</w:t>
            </w:r>
          </w:p>
        </w:tc>
      </w:tr>
      <w:tr w:rsidR="00965666" w14:paraId="319731FE" w14:textId="77777777" w:rsidTr="00555EF1">
        <w:trPr>
          <w:trHeight w:val="596"/>
        </w:trPr>
        <w:tc>
          <w:tcPr>
            <w:cnfStyle w:val="001000000000" w:firstRow="0" w:lastRow="0" w:firstColumn="1" w:lastColumn="0" w:oddVBand="0" w:evenVBand="0" w:oddHBand="0" w:evenHBand="0" w:firstRowFirstColumn="0" w:firstRowLastColumn="0" w:lastRowFirstColumn="0" w:lastRowLastColumn="0"/>
            <w:tcW w:w="1429" w:type="dxa"/>
            <w:vMerge/>
          </w:tcPr>
          <w:p w14:paraId="22E3383A" w14:textId="77777777" w:rsidR="00965666" w:rsidRDefault="00965666" w:rsidP="00965666"/>
        </w:tc>
        <w:tc>
          <w:tcPr>
            <w:tcW w:w="2257" w:type="dxa"/>
          </w:tcPr>
          <w:p w14:paraId="121412CD" w14:textId="18365C01" w:rsidR="00965666" w:rsidRDefault="00965666" w:rsidP="0096566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Patient travel by road (non-emergency NTA)</w:t>
            </w:r>
            <w:r>
              <w:rPr>
                <w:rFonts w:eastAsia="Arial" w:cs="Arial"/>
                <w:szCs w:val="24"/>
              </w:rPr>
              <w:t xml:space="preserve"> (3)</w:t>
            </w:r>
          </w:p>
        </w:tc>
        <w:tc>
          <w:tcPr>
            <w:tcW w:w="2268" w:type="dxa"/>
            <w:vAlign w:val="center"/>
          </w:tcPr>
          <w:p w14:paraId="6FB1A93C" w14:textId="6C14704E"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pPr>
            <w:r w:rsidRPr="003E4115">
              <w:t xml:space="preserve">7,728 </w:t>
            </w:r>
          </w:p>
        </w:tc>
        <w:tc>
          <w:tcPr>
            <w:tcW w:w="2268" w:type="dxa"/>
            <w:vAlign w:val="center"/>
          </w:tcPr>
          <w:p w14:paraId="17D03E2E" w14:textId="105F9B40"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8,</w:t>
            </w:r>
            <w:r w:rsidRPr="3E303045">
              <w:rPr>
                <w:rFonts w:eastAsia="Arial" w:cs="Arial"/>
              </w:rPr>
              <w:t>070</w:t>
            </w:r>
            <w:r w:rsidRPr="0048C9DC">
              <w:rPr>
                <w:rFonts w:eastAsia="Arial" w:cs="Arial"/>
              </w:rPr>
              <w:t xml:space="preserve"> </w:t>
            </w:r>
          </w:p>
        </w:tc>
        <w:tc>
          <w:tcPr>
            <w:tcW w:w="1416" w:type="dxa"/>
            <w:vAlign w:val="center"/>
          </w:tcPr>
          <w:p w14:paraId="4FD478EC" w14:textId="54E9A1D1"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w:t>
            </w:r>
            <w:r w:rsidRPr="2BFF0397">
              <w:rPr>
                <w:rFonts w:eastAsia="Arial" w:cs="Arial"/>
              </w:rPr>
              <w:t>4</w:t>
            </w:r>
          </w:p>
        </w:tc>
      </w:tr>
      <w:tr w:rsidR="00965666" w14:paraId="491D4864"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77676FEA" w14:textId="77777777" w:rsidR="00965666" w:rsidRDefault="00965666" w:rsidP="00965666"/>
        </w:tc>
        <w:tc>
          <w:tcPr>
            <w:tcW w:w="2257" w:type="dxa"/>
          </w:tcPr>
          <w:p w14:paraId="225DE748" w14:textId="448FEABA" w:rsidR="00965666" w:rsidRDefault="00965666" w:rsidP="0096566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Ambulances</w:t>
            </w:r>
            <w:r>
              <w:rPr>
                <w:rFonts w:eastAsia="Arial" w:cs="Arial"/>
                <w:szCs w:val="24"/>
              </w:rPr>
              <w:t xml:space="preserve"> (3)</w:t>
            </w:r>
          </w:p>
        </w:tc>
        <w:tc>
          <w:tcPr>
            <w:tcW w:w="2268" w:type="dxa"/>
            <w:vAlign w:val="center"/>
          </w:tcPr>
          <w:p w14:paraId="16565686" w14:textId="538DF04E"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pPr>
            <w:r w:rsidRPr="003E4115">
              <w:t xml:space="preserve">4,540 </w:t>
            </w:r>
          </w:p>
        </w:tc>
        <w:tc>
          <w:tcPr>
            <w:tcW w:w="2268" w:type="dxa"/>
            <w:vAlign w:val="center"/>
          </w:tcPr>
          <w:p w14:paraId="4BE3223B" w14:textId="4E061110"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4,</w:t>
            </w:r>
            <w:r w:rsidRPr="3E303045">
              <w:rPr>
                <w:rFonts w:eastAsia="Arial" w:cs="Arial"/>
              </w:rPr>
              <w:t>910</w:t>
            </w:r>
            <w:r w:rsidRPr="0048C9DC">
              <w:rPr>
                <w:rFonts w:eastAsia="Arial" w:cs="Arial"/>
              </w:rPr>
              <w:t xml:space="preserve"> </w:t>
            </w:r>
          </w:p>
        </w:tc>
        <w:tc>
          <w:tcPr>
            <w:tcW w:w="1416" w:type="dxa"/>
            <w:vAlign w:val="center"/>
          </w:tcPr>
          <w:p w14:paraId="104D712E" w14:textId="0104343F"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w:t>
            </w:r>
            <w:r w:rsidRPr="6063AF6E">
              <w:rPr>
                <w:rFonts w:eastAsia="Arial" w:cs="Arial"/>
              </w:rPr>
              <w:t>8</w:t>
            </w:r>
          </w:p>
        </w:tc>
      </w:tr>
      <w:tr w:rsidR="00965666" w14:paraId="2EB6785A" w14:textId="77777777" w:rsidTr="00555EF1">
        <w:trPr>
          <w:trHeight w:val="581"/>
        </w:trPr>
        <w:tc>
          <w:tcPr>
            <w:cnfStyle w:val="001000000000" w:firstRow="0" w:lastRow="0" w:firstColumn="1" w:lastColumn="0" w:oddVBand="0" w:evenVBand="0" w:oddHBand="0" w:evenHBand="0" w:firstRowFirstColumn="0" w:firstRowLastColumn="0" w:lastRowFirstColumn="0" w:lastRowLastColumn="0"/>
            <w:tcW w:w="1429" w:type="dxa"/>
            <w:vMerge/>
          </w:tcPr>
          <w:p w14:paraId="0B1F8CE0" w14:textId="77777777" w:rsidR="00965666" w:rsidRDefault="00965666" w:rsidP="00965666"/>
        </w:tc>
        <w:tc>
          <w:tcPr>
            <w:tcW w:w="2257" w:type="dxa"/>
          </w:tcPr>
          <w:p w14:paraId="32E0C376" w14:textId="0D420A2A" w:rsidR="00965666" w:rsidRDefault="00965666" w:rsidP="0096566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 xml:space="preserve">Patient air </w:t>
            </w:r>
            <w:r>
              <w:rPr>
                <w:rFonts w:eastAsia="Arial" w:cs="Arial"/>
                <w:szCs w:val="24"/>
              </w:rPr>
              <w:t>t</w:t>
            </w:r>
            <w:r w:rsidRPr="5928CA26">
              <w:rPr>
                <w:rFonts w:eastAsia="Arial" w:cs="Arial"/>
                <w:szCs w:val="24"/>
              </w:rPr>
              <w:t>ravel (non-emergency)</w:t>
            </w:r>
            <w:r>
              <w:rPr>
                <w:rFonts w:eastAsia="Arial" w:cs="Arial"/>
                <w:szCs w:val="24"/>
              </w:rPr>
              <w:t xml:space="preserve"> (3)</w:t>
            </w:r>
          </w:p>
        </w:tc>
        <w:tc>
          <w:tcPr>
            <w:tcW w:w="2268" w:type="dxa"/>
            <w:vAlign w:val="center"/>
          </w:tcPr>
          <w:p w14:paraId="3A847FBF" w14:textId="7686DCC0"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pPr>
            <w:r w:rsidRPr="003E4115">
              <w:t xml:space="preserve">4,534 </w:t>
            </w:r>
          </w:p>
        </w:tc>
        <w:tc>
          <w:tcPr>
            <w:tcW w:w="2268" w:type="dxa"/>
            <w:vAlign w:val="center"/>
          </w:tcPr>
          <w:p w14:paraId="20C755AF" w14:textId="4EECB92B"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rPr>
                <w:highlight w:val="cyan"/>
              </w:rPr>
            </w:pPr>
            <w:r w:rsidRPr="3E303045">
              <w:rPr>
                <w:rFonts w:eastAsia="Arial" w:cs="Arial"/>
              </w:rPr>
              <w:t>4,082</w:t>
            </w:r>
          </w:p>
        </w:tc>
        <w:tc>
          <w:tcPr>
            <w:tcW w:w="1416" w:type="dxa"/>
            <w:vAlign w:val="center"/>
          </w:tcPr>
          <w:p w14:paraId="1FA916E9" w14:textId="7D1E19E4"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w:t>
            </w:r>
            <w:r w:rsidRPr="6063AF6E">
              <w:rPr>
                <w:rFonts w:eastAsia="Arial" w:cs="Arial"/>
              </w:rPr>
              <w:t>10</w:t>
            </w:r>
          </w:p>
        </w:tc>
      </w:tr>
      <w:tr w:rsidR="00965666" w14:paraId="6EF26112"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vMerge/>
          </w:tcPr>
          <w:p w14:paraId="0A7B2815" w14:textId="77777777" w:rsidR="00965666" w:rsidRDefault="00965666" w:rsidP="00965666"/>
        </w:tc>
        <w:tc>
          <w:tcPr>
            <w:tcW w:w="2257" w:type="dxa"/>
          </w:tcPr>
          <w:p w14:paraId="4C8CAB67" w14:textId="258ED7BB" w:rsidR="00965666" w:rsidRDefault="2FF23335" w:rsidP="745BB094">
            <w:pPr>
              <w:cnfStyle w:val="000000000000" w:firstRow="0" w:lastRow="0" w:firstColumn="0" w:lastColumn="0" w:oddVBand="0" w:evenVBand="0" w:oddHBand="0" w:evenHBand="0" w:firstRowFirstColumn="0" w:firstRowLastColumn="0" w:lastRowFirstColumn="0" w:lastRowLastColumn="0"/>
              <w:rPr>
                <w:rFonts w:eastAsia="Arial" w:cs="Arial"/>
              </w:rPr>
            </w:pPr>
            <w:r w:rsidRPr="745BB094">
              <w:rPr>
                <w:rFonts w:eastAsia="Arial" w:cs="Arial"/>
              </w:rPr>
              <w:t xml:space="preserve">Patient </w:t>
            </w:r>
            <w:r w:rsidR="00965666" w:rsidRPr="745BB094">
              <w:rPr>
                <w:rFonts w:eastAsia="Arial" w:cs="Arial"/>
              </w:rPr>
              <w:t>Accommodation (</w:t>
            </w:r>
            <w:r w:rsidR="00E711E0" w:rsidRPr="745BB094">
              <w:rPr>
                <w:rFonts w:eastAsia="Arial" w:cs="Arial"/>
              </w:rPr>
              <w:t>4</w:t>
            </w:r>
            <w:r w:rsidR="00965666" w:rsidRPr="745BB094">
              <w:rPr>
                <w:rFonts w:eastAsia="Arial" w:cs="Arial"/>
              </w:rPr>
              <w:t>)</w:t>
            </w:r>
          </w:p>
        </w:tc>
        <w:tc>
          <w:tcPr>
            <w:tcW w:w="2268" w:type="dxa"/>
            <w:vAlign w:val="center"/>
          </w:tcPr>
          <w:p w14:paraId="454D5AEF" w14:textId="73743950"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pPr>
            <w:r w:rsidRPr="003E4115">
              <w:t xml:space="preserve">1,167 </w:t>
            </w:r>
          </w:p>
        </w:tc>
        <w:tc>
          <w:tcPr>
            <w:tcW w:w="2268" w:type="dxa"/>
            <w:vAlign w:val="center"/>
          </w:tcPr>
          <w:p w14:paraId="7C0086BD" w14:textId="73CD47E4"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1,</w:t>
            </w:r>
            <w:r w:rsidRPr="23E50C81">
              <w:rPr>
                <w:rFonts w:eastAsia="Arial" w:cs="Arial"/>
              </w:rPr>
              <w:t>5</w:t>
            </w:r>
            <w:r w:rsidR="0661D5E9" w:rsidRPr="23E50C81">
              <w:rPr>
                <w:rFonts w:eastAsia="Arial" w:cs="Arial"/>
              </w:rPr>
              <w:t>53</w:t>
            </w:r>
          </w:p>
        </w:tc>
        <w:tc>
          <w:tcPr>
            <w:tcW w:w="1416" w:type="dxa"/>
            <w:vAlign w:val="center"/>
          </w:tcPr>
          <w:p w14:paraId="79F88994" w14:textId="14962544"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w:t>
            </w:r>
            <w:r w:rsidRPr="552E98EB">
              <w:rPr>
                <w:rFonts w:eastAsia="Arial" w:cs="Arial"/>
              </w:rPr>
              <w:t>33</w:t>
            </w:r>
          </w:p>
        </w:tc>
      </w:tr>
      <w:tr w:rsidR="00965666" w14:paraId="2F27CCDF" w14:textId="77777777" w:rsidTr="00555EF1">
        <w:trPr>
          <w:trHeight w:val="581"/>
        </w:trPr>
        <w:tc>
          <w:tcPr>
            <w:cnfStyle w:val="001000000000" w:firstRow="0" w:lastRow="0" w:firstColumn="1" w:lastColumn="0" w:oddVBand="0" w:evenVBand="0" w:oddHBand="0" w:evenHBand="0" w:firstRowFirstColumn="0" w:firstRowLastColumn="0" w:lastRowFirstColumn="0" w:lastRowLastColumn="0"/>
            <w:tcW w:w="1429" w:type="dxa"/>
            <w:vMerge w:val="restart"/>
          </w:tcPr>
          <w:p w14:paraId="041F3901" w14:textId="0219F471" w:rsidR="00965666" w:rsidRDefault="00965666" w:rsidP="00965666">
            <w:pPr>
              <w:rPr>
                <w:rFonts w:eastAsia="Arial" w:cs="Arial"/>
                <w:szCs w:val="24"/>
              </w:rPr>
            </w:pPr>
            <w:r w:rsidRPr="5928CA26">
              <w:rPr>
                <w:rFonts w:eastAsia="Arial" w:cs="Arial"/>
                <w:bCs/>
                <w:szCs w:val="24"/>
              </w:rPr>
              <w:t>Medical Gases and Vapours</w:t>
            </w:r>
          </w:p>
        </w:tc>
        <w:tc>
          <w:tcPr>
            <w:tcW w:w="2257" w:type="dxa"/>
          </w:tcPr>
          <w:p w14:paraId="7CDE7BC2" w14:textId="77777777" w:rsidR="00965666" w:rsidRDefault="00965666" w:rsidP="00965666">
            <w:pPr>
              <w:cnfStyle w:val="000000000000" w:firstRow="0" w:lastRow="0" w:firstColumn="0" w:lastColumn="0" w:oddVBand="0" w:evenVBand="0" w:oddHBand="0" w:evenHBand="0" w:firstRowFirstColumn="0" w:firstRowLastColumn="0" w:lastRowFirstColumn="0" w:lastRowLastColumn="0"/>
              <w:rPr>
                <w:rFonts w:cstheme="minorHAnsi"/>
                <w:color w:val="000000"/>
                <w:szCs w:val="24"/>
              </w:rPr>
            </w:pPr>
            <w:r w:rsidRPr="5928CA26">
              <w:rPr>
                <w:rFonts w:eastAsia="Arial" w:cs="Arial"/>
                <w:szCs w:val="24"/>
              </w:rPr>
              <w:t>Medical gases</w:t>
            </w:r>
            <w:r>
              <w:rPr>
                <w:rFonts w:eastAsia="Arial" w:cs="Arial"/>
                <w:szCs w:val="24"/>
              </w:rPr>
              <w:t xml:space="preserve"> - </w:t>
            </w:r>
            <w:r w:rsidRPr="00653A18">
              <w:rPr>
                <w:rFonts w:cstheme="minorHAnsi"/>
                <w:color w:val="000000"/>
                <w:szCs w:val="24"/>
              </w:rPr>
              <w:t>mainly Nitrous Oxide</w:t>
            </w:r>
            <w:r>
              <w:rPr>
                <w:rFonts w:cstheme="minorHAnsi"/>
                <w:color w:val="000000"/>
                <w:szCs w:val="24"/>
              </w:rPr>
              <w:t>/Entonox</w:t>
            </w:r>
            <w:r w:rsidRPr="00653A18">
              <w:rPr>
                <w:rFonts w:cstheme="minorHAnsi"/>
                <w:color w:val="000000"/>
                <w:szCs w:val="24"/>
              </w:rPr>
              <w:t xml:space="preserve"> but also CO</w:t>
            </w:r>
            <w:r w:rsidRPr="00653A18">
              <w:rPr>
                <w:rFonts w:cstheme="minorHAnsi"/>
                <w:color w:val="000000"/>
                <w:szCs w:val="24"/>
                <w:vertAlign w:val="subscript"/>
              </w:rPr>
              <w:t>2</w:t>
            </w:r>
            <w:r w:rsidRPr="00653A18">
              <w:rPr>
                <w:rFonts w:cstheme="minorHAnsi"/>
                <w:color w:val="000000"/>
                <w:szCs w:val="24"/>
              </w:rPr>
              <w:t>, CH</w:t>
            </w:r>
            <w:r w:rsidRPr="00653A18">
              <w:rPr>
                <w:rFonts w:cstheme="minorHAnsi"/>
                <w:color w:val="000000"/>
                <w:szCs w:val="24"/>
                <w:vertAlign w:val="subscript"/>
              </w:rPr>
              <w:t xml:space="preserve">4 </w:t>
            </w:r>
            <w:r w:rsidRPr="00653A18">
              <w:rPr>
                <w:rFonts w:cstheme="minorHAnsi"/>
                <w:color w:val="000000"/>
                <w:szCs w:val="24"/>
              </w:rPr>
              <w:t>and Acetylene</w:t>
            </w:r>
            <w:r>
              <w:rPr>
                <w:rFonts w:cstheme="minorHAnsi"/>
                <w:color w:val="000000"/>
                <w:szCs w:val="24"/>
              </w:rPr>
              <w:t xml:space="preserve"> (1)</w:t>
            </w:r>
          </w:p>
          <w:p w14:paraId="715B7348" w14:textId="3074984C" w:rsidR="00DB58A4" w:rsidRDefault="00DB58A4" w:rsidP="00965666">
            <w:pPr>
              <w:cnfStyle w:val="000000000000" w:firstRow="0" w:lastRow="0" w:firstColumn="0" w:lastColumn="0" w:oddVBand="0" w:evenVBand="0" w:oddHBand="0" w:evenHBand="0" w:firstRowFirstColumn="0" w:firstRowLastColumn="0" w:lastRowFirstColumn="0" w:lastRowLastColumn="0"/>
              <w:rPr>
                <w:rFonts w:eastAsia="Arial" w:cs="Arial"/>
                <w:szCs w:val="24"/>
              </w:rPr>
            </w:pPr>
          </w:p>
        </w:tc>
        <w:tc>
          <w:tcPr>
            <w:tcW w:w="2268" w:type="dxa"/>
            <w:vAlign w:val="center"/>
          </w:tcPr>
          <w:p w14:paraId="54833296" w14:textId="7EC73DB6"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pPr>
            <w:r w:rsidRPr="003E4115">
              <w:t xml:space="preserve">15,097 </w:t>
            </w:r>
          </w:p>
        </w:tc>
        <w:tc>
          <w:tcPr>
            <w:tcW w:w="2268" w:type="dxa"/>
            <w:vAlign w:val="center"/>
          </w:tcPr>
          <w:p w14:paraId="6EACA8E2" w14:textId="226D6249"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13,</w:t>
            </w:r>
            <w:r w:rsidRPr="6124B8CF">
              <w:rPr>
                <w:rFonts w:eastAsia="Arial" w:cs="Arial"/>
              </w:rPr>
              <w:t>144</w:t>
            </w:r>
            <w:r w:rsidRPr="0048C9DC">
              <w:rPr>
                <w:rFonts w:eastAsia="Arial" w:cs="Arial"/>
              </w:rPr>
              <w:t xml:space="preserve"> </w:t>
            </w:r>
          </w:p>
        </w:tc>
        <w:tc>
          <w:tcPr>
            <w:tcW w:w="1416" w:type="dxa"/>
            <w:vAlign w:val="center"/>
          </w:tcPr>
          <w:p w14:paraId="06C591D3" w14:textId="6DC0A31B"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-13</w:t>
            </w:r>
          </w:p>
        </w:tc>
      </w:tr>
      <w:tr w:rsidR="00965666" w14:paraId="1B42A8B5" w14:textId="77777777" w:rsidTr="00555EF1">
        <w:trPr>
          <w:trHeight w:val="581"/>
        </w:trPr>
        <w:tc>
          <w:tcPr>
            <w:cnfStyle w:val="001000000000" w:firstRow="0" w:lastRow="0" w:firstColumn="1" w:lastColumn="0" w:oddVBand="0" w:evenVBand="0" w:oddHBand="0" w:evenHBand="0" w:firstRowFirstColumn="0" w:firstRowLastColumn="0" w:lastRowFirstColumn="0" w:lastRowLastColumn="0"/>
            <w:tcW w:w="1429" w:type="dxa"/>
            <w:vMerge/>
          </w:tcPr>
          <w:p w14:paraId="59A09A8A" w14:textId="77777777" w:rsidR="00965666" w:rsidRDefault="00965666" w:rsidP="00965666"/>
        </w:tc>
        <w:tc>
          <w:tcPr>
            <w:tcW w:w="2257" w:type="dxa"/>
          </w:tcPr>
          <w:p w14:paraId="06B320B1" w14:textId="762BAB26" w:rsidR="00965666" w:rsidRDefault="00965666" w:rsidP="00965666">
            <w:pPr>
              <w:cnfStyle w:val="000000000000" w:firstRow="0" w:lastRow="0" w:firstColumn="0" w:lastColumn="0" w:oddVBand="0" w:evenVBand="0" w:oddHBand="0" w:evenHBand="0" w:firstRowFirstColumn="0" w:firstRowLastColumn="0" w:lastRowFirstColumn="0" w:lastRowLastColumn="0"/>
              <w:rPr>
                <w:rFonts w:eastAsia="Arial" w:cs="Arial"/>
                <w:szCs w:val="24"/>
              </w:rPr>
            </w:pPr>
            <w:r w:rsidRPr="5928CA26">
              <w:rPr>
                <w:rFonts w:eastAsia="Arial" w:cs="Arial"/>
                <w:szCs w:val="24"/>
              </w:rPr>
              <w:t>Anaesthetic vapours</w:t>
            </w:r>
            <w:r w:rsidR="007613B1">
              <w:rPr>
                <w:rFonts w:eastAsia="Arial" w:cs="Arial"/>
                <w:szCs w:val="24"/>
              </w:rPr>
              <w:t>:</w:t>
            </w:r>
            <w:r>
              <w:rPr>
                <w:rFonts w:cs="Arial"/>
                <w:color w:val="000000"/>
              </w:rPr>
              <w:t xml:space="preserve"> Desflurane, </w:t>
            </w:r>
            <w:r>
              <w:rPr>
                <w:rFonts w:cs="Arial"/>
                <w:color w:val="000000"/>
              </w:rPr>
              <w:lastRenderedPageBreak/>
              <w:t>Isoflurane and Sevoflurane </w:t>
            </w:r>
            <w:r>
              <w:rPr>
                <w:rFonts w:cstheme="minorHAnsi"/>
                <w:color w:val="000000"/>
                <w:szCs w:val="24"/>
              </w:rPr>
              <w:t>(1)</w:t>
            </w:r>
          </w:p>
        </w:tc>
        <w:tc>
          <w:tcPr>
            <w:tcW w:w="2268" w:type="dxa"/>
            <w:vAlign w:val="center"/>
          </w:tcPr>
          <w:p w14:paraId="6F43E985" w14:textId="2CDF8A54"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pPr>
            <w:r w:rsidRPr="003E4115">
              <w:lastRenderedPageBreak/>
              <w:t xml:space="preserve">599 </w:t>
            </w:r>
          </w:p>
        </w:tc>
        <w:tc>
          <w:tcPr>
            <w:tcW w:w="2268" w:type="dxa"/>
            <w:vAlign w:val="center"/>
          </w:tcPr>
          <w:p w14:paraId="2275BF62" w14:textId="5766A8AC" w:rsidR="00965666" w:rsidRPr="00FE5DC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48C9DC">
              <w:rPr>
                <w:rFonts w:eastAsia="Arial" w:cs="Arial"/>
              </w:rPr>
              <w:t xml:space="preserve">534 </w:t>
            </w:r>
          </w:p>
        </w:tc>
        <w:tc>
          <w:tcPr>
            <w:tcW w:w="1416" w:type="dxa"/>
            <w:vAlign w:val="center"/>
          </w:tcPr>
          <w:p w14:paraId="43EB5CDF" w14:textId="7867D031"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pPr>
            <w:r w:rsidRPr="003E4115">
              <w:t>-11</w:t>
            </w:r>
          </w:p>
        </w:tc>
      </w:tr>
      <w:tr w:rsidR="00965666" w14:paraId="37F6A0C0" w14:textId="77777777" w:rsidTr="00555EF1">
        <w:trPr>
          <w:trHeight w:val="581"/>
        </w:trPr>
        <w:tc>
          <w:tcPr>
            <w:cnfStyle w:val="001000000000" w:firstRow="0" w:lastRow="0" w:firstColumn="1" w:lastColumn="0" w:oddVBand="0" w:evenVBand="0" w:oddHBand="0" w:evenHBand="0" w:firstRowFirstColumn="0" w:firstRowLastColumn="0" w:lastRowFirstColumn="0" w:lastRowLastColumn="0"/>
            <w:tcW w:w="1429" w:type="dxa"/>
          </w:tcPr>
          <w:p w14:paraId="6BEE9A7B" w14:textId="51075CA4" w:rsidR="00965666" w:rsidRPr="00A4344D" w:rsidRDefault="00965666" w:rsidP="00965666">
            <w:pPr>
              <w:rPr>
                <w:b w:val="0"/>
                <w:bCs/>
              </w:rPr>
            </w:pPr>
            <w:r w:rsidRPr="00A4344D">
              <w:rPr>
                <w:b w:val="0"/>
                <w:bCs/>
              </w:rPr>
              <w:t>Sources no longer measured</w:t>
            </w:r>
          </w:p>
        </w:tc>
        <w:tc>
          <w:tcPr>
            <w:tcW w:w="2257" w:type="dxa"/>
          </w:tcPr>
          <w:p w14:paraId="3BA93F3E" w14:textId="6837DFA1" w:rsidR="00965666" w:rsidRPr="5928CA26" w:rsidRDefault="00351FAA" w:rsidP="00965666">
            <w:pPr>
              <w:cnfStyle w:val="000000000000" w:firstRow="0" w:lastRow="0" w:firstColumn="0" w:lastColumn="0" w:oddVBand="0" w:evenVBand="0" w:oddHBand="0" w:evenHBand="0" w:firstRowFirstColumn="0" w:firstRowLastColumn="0" w:lastRowFirstColumn="0" w:lastRowLastColumn="0"/>
              <w:rPr>
                <w:rFonts w:eastAsia="Arial" w:cs="Arial"/>
                <w:szCs w:val="24"/>
              </w:rPr>
            </w:pPr>
            <w:r>
              <w:rPr>
                <w:rFonts w:eastAsia="Arial" w:cs="Arial"/>
                <w:szCs w:val="24"/>
              </w:rPr>
              <w:t xml:space="preserve">Rental vehicles </w:t>
            </w:r>
            <w:r w:rsidR="00E711E0">
              <w:rPr>
                <w:rFonts w:eastAsia="Arial" w:cs="Arial"/>
                <w:szCs w:val="24"/>
              </w:rPr>
              <w:t xml:space="preserve">(3) </w:t>
            </w:r>
            <w:r>
              <w:rPr>
                <w:rFonts w:eastAsia="Arial" w:cs="Arial"/>
                <w:szCs w:val="24"/>
              </w:rPr>
              <w:t>and business travel</w:t>
            </w:r>
            <w:r w:rsidR="008C4119">
              <w:rPr>
                <w:rFonts w:eastAsia="Arial" w:cs="Arial"/>
                <w:szCs w:val="24"/>
              </w:rPr>
              <w:t xml:space="preserve"> staff</w:t>
            </w:r>
            <w:r>
              <w:rPr>
                <w:rFonts w:eastAsia="Arial" w:cs="Arial"/>
                <w:szCs w:val="24"/>
              </w:rPr>
              <w:t xml:space="preserve"> accommodation</w:t>
            </w:r>
            <w:r w:rsidR="00E27350">
              <w:rPr>
                <w:rFonts w:eastAsia="Arial" w:cs="Arial"/>
                <w:szCs w:val="24"/>
              </w:rPr>
              <w:t xml:space="preserve"> (</w:t>
            </w:r>
            <w:r w:rsidR="00E711E0">
              <w:rPr>
                <w:rFonts w:eastAsia="Arial" w:cs="Arial"/>
                <w:szCs w:val="24"/>
              </w:rPr>
              <w:t>4</w:t>
            </w:r>
            <w:r w:rsidR="00E27350">
              <w:rPr>
                <w:rFonts w:eastAsia="Arial" w:cs="Arial"/>
                <w:szCs w:val="24"/>
              </w:rPr>
              <w:t>)</w:t>
            </w:r>
          </w:p>
        </w:tc>
        <w:tc>
          <w:tcPr>
            <w:tcW w:w="2268" w:type="dxa"/>
            <w:vAlign w:val="center"/>
          </w:tcPr>
          <w:p w14:paraId="66EC105A" w14:textId="2F369E81" w:rsidR="00965666" w:rsidRPr="003E4115" w:rsidRDefault="00D377B6" w:rsidP="00965666">
            <w:pPr>
              <w:jc w:val="right"/>
              <w:cnfStyle w:val="000000000000" w:firstRow="0" w:lastRow="0" w:firstColumn="0" w:lastColumn="0" w:oddVBand="0" w:evenVBand="0" w:oddHBand="0" w:evenHBand="0" w:firstRowFirstColumn="0" w:firstRowLastColumn="0" w:lastRowFirstColumn="0" w:lastRowLastColumn="0"/>
            </w:pPr>
            <w:r>
              <w:t>1,124</w:t>
            </w:r>
          </w:p>
        </w:tc>
        <w:tc>
          <w:tcPr>
            <w:tcW w:w="2268" w:type="dxa"/>
            <w:vAlign w:val="center"/>
          </w:tcPr>
          <w:p w14:paraId="093C3CF1" w14:textId="77777777" w:rsidR="00965666" w:rsidRPr="0048C9DC"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rPr>
            </w:pPr>
          </w:p>
        </w:tc>
        <w:tc>
          <w:tcPr>
            <w:tcW w:w="1416" w:type="dxa"/>
            <w:vAlign w:val="center"/>
          </w:tcPr>
          <w:p w14:paraId="66FAA0C5" w14:textId="7E40E0A0" w:rsidR="00965666" w:rsidRPr="003E4115" w:rsidRDefault="00D377B6" w:rsidP="00965666">
            <w:pPr>
              <w:jc w:val="right"/>
              <w:cnfStyle w:val="000000000000" w:firstRow="0" w:lastRow="0" w:firstColumn="0" w:lastColumn="0" w:oddVBand="0" w:evenVBand="0" w:oddHBand="0" w:evenHBand="0" w:firstRowFirstColumn="0" w:firstRowLastColumn="0" w:lastRowFirstColumn="0" w:lastRowLastColumn="0"/>
            </w:pPr>
            <w:r>
              <w:t>N/A</w:t>
            </w:r>
          </w:p>
        </w:tc>
      </w:tr>
      <w:tr w:rsidR="00965666" w14:paraId="7BFB0C9F" w14:textId="77777777" w:rsidTr="00555EF1">
        <w:trPr>
          <w:trHeight w:val="290"/>
        </w:trPr>
        <w:tc>
          <w:tcPr>
            <w:cnfStyle w:val="001000000000" w:firstRow="0" w:lastRow="0" w:firstColumn="1" w:lastColumn="0" w:oddVBand="0" w:evenVBand="0" w:oddHBand="0" w:evenHBand="0" w:firstRowFirstColumn="0" w:firstRowLastColumn="0" w:lastRowFirstColumn="0" w:lastRowLastColumn="0"/>
            <w:tcW w:w="1429" w:type="dxa"/>
          </w:tcPr>
          <w:p w14:paraId="2E800D01" w14:textId="5B41E14E" w:rsidR="00965666" w:rsidRDefault="00965666" w:rsidP="00965666">
            <w:pPr>
              <w:rPr>
                <w:rFonts w:eastAsia="Arial" w:cs="Arial"/>
                <w:szCs w:val="24"/>
              </w:rPr>
            </w:pPr>
            <w:r w:rsidRPr="5928CA26">
              <w:rPr>
                <w:rFonts w:eastAsia="Arial" w:cs="Arial"/>
                <w:bCs/>
                <w:szCs w:val="24"/>
              </w:rPr>
              <w:t>Total</w:t>
            </w:r>
          </w:p>
        </w:tc>
        <w:tc>
          <w:tcPr>
            <w:tcW w:w="2257" w:type="dxa"/>
          </w:tcPr>
          <w:p w14:paraId="3830E552" w14:textId="7ED91899" w:rsidR="00965666" w:rsidRDefault="00965666" w:rsidP="00965666">
            <w:pPr>
              <w:cnfStyle w:val="000000000000" w:firstRow="0" w:lastRow="0" w:firstColumn="0" w:lastColumn="0" w:oddVBand="0" w:evenVBand="0" w:oddHBand="0" w:evenHBand="0" w:firstRowFirstColumn="0" w:firstRowLastColumn="0" w:lastRowFirstColumn="0" w:lastRowLastColumn="0"/>
              <w:rPr>
                <w:rFonts w:eastAsia="Arial" w:cs="Arial"/>
                <w:b/>
                <w:bCs/>
                <w:szCs w:val="24"/>
              </w:rPr>
            </w:pPr>
            <w:r w:rsidRPr="5928CA26">
              <w:rPr>
                <w:rFonts w:eastAsia="Arial" w:cs="Arial"/>
                <w:b/>
                <w:bCs/>
                <w:szCs w:val="24"/>
              </w:rPr>
              <w:t xml:space="preserve"> </w:t>
            </w:r>
          </w:p>
        </w:tc>
        <w:tc>
          <w:tcPr>
            <w:tcW w:w="2268" w:type="dxa"/>
            <w:vAlign w:val="center"/>
          </w:tcPr>
          <w:p w14:paraId="0E6A5CCB" w14:textId="6EDB33F4" w:rsidR="00965666" w:rsidRPr="0028775C" w:rsidRDefault="00965666" w:rsidP="00965666">
            <w:pPr>
              <w:jc w:val="right"/>
              <w:cnfStyle w:val="000000000000" w:firstRow="0" w:lastRow="0" w:firstColumn="0" w:lastColumn="0" w:oddVBand="0" w:evenVBand="0" w:oddHBand="0" w:evenHBand="0" w:firstRowFirstColumn="0" w:firstRowLastColumn="0" w:lastRowFirstColumn="0" w:lastRowLastColumn="0"/>
              <w:rPr>
                <w:b/>
              </w:rPr>
            </w:pPr>
            <w:r w:rsidRPr="0028775C">
              <w:rPr>
                <w:b/>
              </w:rPr>
              <w:t>237,</w:t>
            </w:r>
            <w:r w:rsidRPr="0028775C">
              <w:rPr>
                <w:rFonts w:eastAsia="Arial" w:cs="Arial"/>
                <w:b/>
                <w:bCs/>
                <w:szCs w:val="24"/>
              </w:rPr>
              <w:t>822</w:t>
            </w:r>
          </w:p>
        </w:tc>
        <w:tc>
          <w:tcPr>
            <w:tcW w:w="2268" w:type="dxa"/>
            <w:vAlign w:val="center"/>
          </w:tcPr>
          <w:p w14:paraId="4D010DF1" w14:textId="6EB17CA6" w:rsidR="00965666" w:rsidRPr="006634A3" w:rsidRDefault="00965666" w:rsidP="00965666">
            <w:pPr>
              <w:jc w:val="right"/>
              <w:cnfStyle w:val="000000000000" w:firstRow="0" w:lastRow="0" w:firstColumn="0" w:lastColumn="0" w:oddVBand="0" w:evenVBand="0" w:oddHBand="0" w:evenHBand="0" w:firstRowFirstColumn="0" w:firstRowLastColumn="0" w:lastRowFirstColumn="0" w:lastRowLastColumn="0"/>
              <w:rPr>
                <w:rFonts w:eastAsia="Arial" w:cs="Arial"/>
                <w:b/>
              </w:rPr>
            </w:pPr>
            <w:r w:rsidRPr="0028775C">
              <w:rPr>
                <w:rFonts w:eastAsia="Arial" w:cs="Arial"/>
                <w:b/>
                <w:bCs/>
              </w:rPr>
              <w:t>205,</w:t>
            </w:r>
            <w:r w:rsidR="00E41CA2" w:rsidRPr="006634A3">
              <w:rPr>
                <w:rFonts w:eastAsia="Arial" w:cs="Arial"/>
                <w:b/>
                <w:bCs/>
              </w:rPr>
              <w:t>27</w:t>
            </w:r>
            <w:r w:rsidR="00E41CA2" w:rsidRPr="0028775C">
              <w:rPr>
                <w:rFonts w:eastAsia="Arial" w:cs="Arial"/>
                <w:b/>
                <w:bCs/>
              </w:rPr>
              <w:t>5</w:t>
            </w:r>
          </w:p>
        </w:tc>
        <w:tc>
          <w:tcPr>
            <w:tcW w:w="1416" w:type="dxa"/>
            <w:vAlign w:val="center"/>
          </w:tcPr>
          <w:p w14:paraId="200F9D1B" w14:textId="02973A15" w:rsidR="00965666" w:rsidRPr="003E4115" w:rsidRDefault="00965666" w:rsidP="00965666">
            <w:pPr>
              <w:jc w:val="right"/>
              <w:cnfStyle w:val="000000000000" w:firstRow="0" w:lastRow="0" w:firstColumn="0" w:lastColumn="0" w:oddVBand="0" w:evenVBand="0" w:oddHBand="0" w:evenHBand="0" w:firstRowFirstColumn="0" w:firstRowLastColumn="0" w:lastRowFirstColumn="0" w:lastRowLastColumn="0"/>
              <w:rPr>
                <w:b/>
              </w:rPr>
            </w:pPr>
            <w:r w:rsidRPr="003E4115">
              <w:rPr>
                <w:b/>
              </w:rPr>
              <w:t>-14</w:t>
            </w:r>
          </w:p>
        </w:tc>
      </w:tr>
    </w:tbl>
    <w:p w14:paraId="1C566D2C" w14:textId="77777777" w:rsidR="00D57F36" w:rsidRDefault="00D57F36" w:rsidP="00883A5A">
      <w:pPr>
        <w:pStyle w:val="Caption"/>
      </w:pPr>
    </w:p>
    <w:p w14:paraId="33EFC27E" w14:textId="484F0381" w:rsidR="00D57F36" w:rsidRDefault="002413A2" w:rsidP="00883A5A">
      <w:pPr>
        <w:pStyle w:val="Caption"/>
      </w:pPr>
      <w:r>
        <w:rPr>
          <w:noProof/>
        </w:rPr>
        <w:drawing>
          <wp:inline distT="0" distB="0" distL="0" distR="0" wp14:anchorId="1A46433B" wp14:editId="65704F3C">
            <wp:extent cx="5987332" cy="4969565"/>
            <wp:effectExtent l="0" t="0" r="13970" b="2540"/>
            <wp:docPr id="1446660272" name="Chart 1" descr="Figure 1 Comparison of FY22/23 and FY23/24 Emissions">
              <a:extLst xmlns:a="http://schemas.openxmlformats.org/drawingml/2006/main">
                <a:ext uri="{FF2B5EF4-FFF2-40B4-BE49-F238E27FC236}">
                  <a16:creationId xmlns:a16="http://schemas.microsoft.com/office/drawing/2014/main" id="{7F10ECCE-8AA8-5CC8-029C-A37B88594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F7FC59" w14:textId="7151454D" w:rsidR="00883A5A" w:rsidRDefault="00883A5A" w:rsidP="00DD1ED7">
      <w:pPr>
        <w:pStyle w:val="Figure"/>
      </w:pPr>
      <w:bookmarkStart w:id="16" w:name="_Toc198286799"/>
      <w:r>
        <w:t xml:space="preserve">Figure </w:t>
      </w:r>
      <w:r>
        <w:fldChar w:fldCharType="begin"/>
      </w:r>
      <w:r>
        <w:instrText xml:space="preserve"> SEQ Figure \* ARABIC </w:instrText>
      </w:r>
      <w:r>
        <w:fldChar w:fldCharType="separate"/>
      </w:r>
      <w:r w:rsidR="008B20C4">
        <w:rPr>
          <w:noProof/>
        </w:rPr>
        <w:t>1</w:t>
      </w:r>
      <w:r>
        <w:fldChar w:fldCharType="end"/>
      </w:r>
      <w:r>
        <w:t xml:space="preserve"> Comparison of FY22/23 and FY23/24 Emissions</w:t>
      </w:r>
      <w:bookmarkEnd w:id="16"/>
    </w:p>
    <w:p w14:paraId="7682F734" w14:textId="68BB1D4E" w:rsidR="000826D9" w:rsidRPr="00653A18" w:rsidRDefault="000826D9" w:rsidP="000826D9">
      <w:pPr>
        <w:pStyle w:val="Heading2"/>
      </w:pPr>
      <w:bookmarkStart w:id="17" w:name="_Toc204940760"/>
      <w:r w:rsidRPr="00653A18">
        <w:lastRenderedPageBreak/>
        <w:t>Emissions reduction progress to date</w:t>
      </w:r>
      <w:bookmarkEnd w:id="17"/>
    </w:p>
    <w:p w14:paraId="19528C2A" w14:textId="36D3DD35" w:rsidR="000826D9" w:rsidRPr="00653A18" w:rsidRDefault="000826D9" w:rsidP="000826D9">
      <w:r w:rsidRPr="00653A18">
        <w:t xml:space="preserve">Between the baseline year and FY23/24 emissions are estimated to have reduced by </w:t>
      </w:r>
      <w:r w:rsidR="000E51B3">
        <w:t>~</w:t>
      </w:r>
      <w:r w:rsidRPr="000E51B3">
        <w:t>3</w:t>
      </w:r>
      <w:r w:rsidR="002C3334">
        <w:t>2</w:t>
      </w:r>
      <w:r w:rsidRPr="000E51B3">
        <w:t>,</w:t>
      </w:r>
      <w:r w:rsidR="009E16C1">
        <w:t>0</w:t>
      </w:r>
      <w:r w:rsidR="00701B02">
        <w:t>00</w:t>
      </w:r>
      <w:r w:rsidRPr="000E51B3">
        <w:rPr>
          <w:color w:val="FF0000"/>
        </w:rPr>
        <w:t xml:space="preserve"> </w:t>
      </w:r>
      <w:r w:rsidRPr="000E51B3">
        <w:t>tCO</w:t>
      </w:r>
      <w:r w:rsidRPr="000E51B3">
        <w:rPr>
          <w:vertAlign w:val="subscript"/>
        </w:rPr>
        <w:t>2</w:t>
      </w:r>
      <w:r w:rsidRPr="000E51B3">
        <w:t>e</w:t>
      </w:r>
      <w:r w:rsidR="00E20FEF" w:rsidRPr="000E51B3">
        <w:t xml:space="preserve"> </w:t>
      </w:r>
      <w:r w:rsidRPr="000E51B3">
        <w:t>(1</w:t>
      </w:r>
      <w:r w:rsidR="00DE53C6" w:rsidRPr="002C3334">
        <w:t>4</w:t>
      </w:r>
      <w:r w:rsidRPr="000E51B3">
        <w:t>%);</w:t>
      </w:r>
      <w:r w:rsidRPr="00876FAE">
        <w:t xml:space="preserve"> </w:t>
      </w:r>
      <w:r w:rsidR="00FE0D3F">
        <w:t xml:space="preserve">which is </w:t>
      </w:r>
      <w:r w:rsidRPr="00876FAE">
        <w:t xml:space="preserve">greater than the total gross emissions reduction expected under the CNGP </w:t>
      </w:r>
      <w:r w:rsidR="00DB58A4">
        <w:t>science-based</w:t>
      </w:r>
      <w:r w:rsidR="00CD349F">
        <w:t xml:space="preserve"> target </w:t>
      </w:r>
      <w:r w:rsidRPr="00876FAE">
        <w:t xml:space="preserve">requirements </w:t>
      </w:r>
      <w:r w:rsidR="00CD349F">
        <w:t>by FY24/25</w:t>
      </w:r>
      <w:r w:rsidRPr="00876FAE">
        <w:t xml:space="preserve">. </w:t>
      </w:r>
      <w:r w:rsidR="00137317">
        <w:t xml:space="preserve">Reductions of </w:t>
      </w:r>
      <w:r w:rsidR="00137317" w:rsidRPr="00876FAE">
        <w:t xml:space="preserve">24% </w:t>
      </w:r>
      <w:r w:rsidR="00137317" w:rsidRPr="00653A18">
        <w:t xml:space="preserve">have been achieved across </w:t>
      </w:r>
      <w:r w:rsidR="00137317">
        <w:t>C</w:t>
      </w:r>
      <w:r w:rsidR="00137317" w:rsidRPr="00653A18">
        <w:t>ategory 1 and 2 emissions</w:t>
      </w:r>
      <w:r w:rsidR="00137317">
        <w:t xml:space="preserve">, </w:t>
      </w:r>
      <w:r w:rsidR="00137317" w:rsidRPr="00653A18">
        <w:t xml:space="preserve">from </w:t>
      </w:r>
      <w:r w:rsidR="00137317">
        <w:t xml:space="preserve">the </w:t>
      </w:r>
      <w:r w:rsidR="00137317" w:rsidRPr="00653A18">
        <w:t>baseline</w:t>
      </w:r>
      <w:r w:rsidR="00137317">
        <w:t xml:space="preserve"> of this subset of emissions</w:t>
      </w:r>
      <w:r w:rsidR="00137317" w:rsidRPr="00653A18">
        <w:t xml:space="preserve">, as shown in Table </w:t>
      </w:r>
      <w:r w:rsidR="00DE53C6">
        <w:t>3</w:t>
      </w:r>
      <w:r w:rsidRPr="00653A18">
        <w:t>.</w:t>
      </w:r>
      <w:r w:rsidR="007759E7" w:rsidRPr="00653A18">
        <w:t xml:space="preserve"> </w:t>
      </w:r>
      <w:r w:rsidRPr="00653A18">
        <w:t>There are many aspects within and outside of Health NZ’s control that may impact meeting the FY24/25 levels of ambition, but progress to date provides a valuable foundation.</w:t>
      </w:r>
    </w:p>
    <w:p w14:paraId="0ED7EDEB" w14:textId="3DEE2B53" w:rsidR="000826D9" w:rsidRPr="00653A18" w:rsidRDefault="00876FAE" w:rsidP="00AD290C">
      <w:pPr>
        <w:pStyle w:val="Figure"/>
      </w:pPr>
      <w:bookmarkStart w:id="18" w:name="_Toc198286785"/>
      <w:r>
        <w:t xml:space="preserve">Table </w:t>
      </w:r>
      <w:r>
        <w:fldChar w:fldCharType="begin"/>
      </w:r>
      <w:r>
        <w:instrText xml:space="preserve"> SEQ Table \* ARABIC </w:instrText>
      </w:r>
      <w:r>
        <w:fldChar w:fldCharType="separate"/>
      </w:r>
      <w:r w:rsidR="008B20C4">
        <w:rPr>
          <w:noProof/>
        </w:rPr>
        <w:t>3</w:t>
      </w:r>
      <w:r>
        <w:fldChar w:fldCharType="end"/>
      </w:r>
      <w:r>
        <w:t xml:space="preserve"> Emissions progress to date by level of ambition</w:t>
      </w:r>
      <w:bookmarkEnd w:id="18"/>
    </w:p>
    <w:tbl>
      <w:tblPr>
        <w:tblStyle w:val="TeWhatuOra"/>
        <w:tblW w:w="5000" w:type="pct"/>
        <w:tblLayout w:type="fixed"/>
        <w:tblLook w:val="04A0" w:firstRow="1" w:lastRow="0" w:firstColumn="1" w:lastColumn="0" w:noHBand="0" w:noVBand="1"/>
      </w:tblPr>
      <w:tblGrid>
        <w:gridCol w:w="1418"/>
        <w:gridCol w:w="1417"/>
        <w:gridCol w:w="1276"/>
        <w:gridCol w:w="851"/>
        <w:gridCol w:w="1134"/>
        <w:gridCol w:w="1275"/>
        <w:gridCol w:w="1134"/>
        <w:gridCol w:w="1133"/>
      </w:tblGrid>
      <w:tr w:rsidR="00DD1ED7" w:rsidRPr="003744A5" w14:paraId="695BEC14" w14:textId="6AF5DAC0" w:rsidTr="00DD1ED7">
        <w:trPr>
          <w:cnfStyle w:val="100000000000" w:firstRow="1" w:lastRow="0" w:firstColumn="0" w:lastColumn="0" w:oddVBand="0" w:evenVBand="0" w:oddHBand="0" w:evenHBand="0" w:firstRowFirstColumn="0" w:firstRowLastColumn="0" w:lastRowFirstColumn="0" w:lastRowLastColumn="0"/>
          <w:trHeight w:val="1073"/>
          <w:tblHeader/>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4472C9A" w14:textId="399608C8" w:rsidR="00543128" w:rsidRPr="002C3334" w:rsidRDefault="00543128" w:rsidP="0051384F">
            <w:r w:rsidRPr="002C3334">
              <w:rPr>
                <w:lang w:eastAsia="en-NZ"/>
              </w:rPr>
              <w:t>Level of ambition</w:t>
            </w:r>
          </w:p>
        </w:tc>
        <w:tc>
          <w:tcPr>
            <w:tcW w:w="1417" w:type="dxa"/>
            <w:vAlign w:val="center"/>
          </w:tcPr>
          <w:p w14:paraId="69870DBF" w14:textId="49127A59" w:rsidR="00543128" w:rsidRPr="002C3334" w:rsidRDefault="00543128" w:rsidP="0051384F">
            <w:pPr>
              <w:cnfStyle w:val="100000000000" w:firstRow="1" w:lastRow="0" w:firstColumn="0" w:lastColumn="0" w:oddVBand="0" w:evenVBand="0" w:oddHBand="0" w:evenHBand="0" w:firstRowFirstColumn="0" w:firstRowLastColumn="0" w:lastRowFirstColumn="0" w:lastRowLastColumn="0"/>
            </w:pPr>
            <w:r w:rsidRPr="002C3334">
              <w:rPr>
                <w:lang w:eastAsia="en-NZ"/>
              </w:rPr>
              <w:t>Emissions in scope</w:t>
            </w:r>
          </w:p>
        </w:tc>
        <w:tc>
          <w:tcPr>
            <w:tcW w:w="1276" w:type="dxa"/>
            <w:vAlign w:val="center"/>
          </w:tcPr>
          <w:p w14:paraId="7D2757B0" w14:textId="63166374" w:rsidR="00543128" w:rsidRPr="002C3334" w:rsidRDefault="00543128" w:rsidP="0051384F">
            <w:pPr>
              <w:cnfStyle w:val="100000000000" w:firstRow="1" w:lastRow="0" w:firstColumn="0" w:lastColumn="0" w:oddVBand="0" w:evenVBand="0" w:oddHBand="0" w:evenHBand="0" w:firstRowFirstColumn="0" w:firstRowLastColumn="0" w:lastRowFirstColumn="0" w:lastRowLastColumn="0"/>
            </w:pPr>
            <w:r w:rsidRPr="002C3334">
              <w:rPr>
                <w:lang w:eastAsia="en-NZ"/>
              </w:rPr>
              <w:t>FY22/23 Baseline (tCO</w:t>
            </w:r>
            <w:r w:rsidRPr="002C3334">
              <w:rPr>
                <w:vertAlign w:val="subscript"/>
                <w:lang w:eastAsia="en-NZ"/>
              </w:rPr>
              <w:t>2</w:t>
            </w:r>
            <w:r w:rsidRPr="002C3334">
              <w:rPr>
                <w:lang w:eastAsia="en-NZ"/>
              </w:rPr>
              <w:t>e)</w:t>
            </w:r>
          </w:p>
        </w:tc>
        <w:tc>
          <w:tcPr>
            <w:tcW w:w="851" w:type="dxa"/>
            <w:vAlign w:val="center"/>
          </w:tcPr>
          <w:p w14:paraId="7DD9993A" w14:textId="77A4427C" w:rsidR="00543128" w:rsidRPr="002C3334" w:rsidRDefault="00543128" w:rsidP="0051384F">
            <w:pPr>
              <w:cnfStyle w:val="100000000000" w:firstRow="1" w:lastRow="0" w:firstColumn="0" w:lastColumn="0" w:oddVBand="0" w:evenVBand="0" w:oddHBand="0" w:evenHBand="0" w:firstRowFirstColumn="0" w:firstRowLastColumn="0" w:lastRowFirstColumn="0" w:lastRowLastColumn="0"/>
            </w:pPr>
            <w:r w:rsidRPr="002C3334">
              <w:rPr>
                <w:lang w:eastAsia="en-NZ"/>
              </w:rPr>
              <w:t xml:space="preserve">Reduction % </w:t>
            </w:r>
          </w:p>
        </w:tc>
        <w:tc>
          <w:tcPr>
            <w:tcW w:w="1134" w:type="dxa"/>
            <w:vAlign w:val="center"/>
          </w:tcPr>
          <w:p w14:paraId="51B5D42C" w14:textId="038597A1" w:rsidR="00543128" w:rsidRPr="002C3334" w:rsidRDefault="00543128" w:rsidP="0051384F">
            <w:pPr>
              <w:cnfStyle w:val="100000000000" w:firstRow="1" w:lastRow="0" w:firstColumn="0" w:lastColumn="0" w:oddVBand="0" w:evenVBand="0" w:oddHBand="0" w:evenHBand="0" w:firstRowFirstColumn="0" w:firstRowLastColumn="0" w:lastRowFirstColumn="0" w:lastRowLastColumn="0"/>
              <w:rPr>
                <w:lang w:eastAsia="en-NZ"/>
              </w:rPr>
            </w:pPr>
            <w:r w:rsidRPr="002C3334">
              <w:rPr>
                <w:lang w:eastAsia="en-NZ"/>
              </w:rPr>
              <w:t>By end of when</w:t>
            </w:r>
          </w:p>
        </w:tc>
        <w:tc>
          <w:tcPr>
            <w:tcW w:w="1275" w:type="dxa"/>
            <w:vAlign w:val="center"/>
          </w:tcPr>
          <w:p w14:paraId="017B2E7E" w14:textId="0D4327B5" w:rsidR="00543128" w:rsidRPr="002C3334" w:rsidRDefault="00543128" w:rsidP="0051384F">
            <w:pPr>
              <w:cnfStyle w:val="100000000000" w:firstRow="1" w:lastRow="0" w:firstColumn="0" w:lastColumn="0" w:oddVBand="0" w:evenVBand="0" w:oddHBand="0" w:evenHBand="0" w:firstRowFirstColumn="0" w:firstRowLastColumn="0" w:lastRowFirstColumn="0" w:lastRowLastColumn="0"/>
            </w:pPr>
            <w:r w:rsidRPr="002C3334">
              <w:rPr>
                <w:lang w:eastAsia="en-NZ"/>
              </w:rPr>
              <w:t>Gross reduction in tCO</w:t>
            </w:r>
            <w:r w:rsidRPr="002C3334">
              <w:rPr>
                <w:vertAlign w:val="subscript"/>
                <w:lang w:eastAsia="en-NZ"/>
              </w:rPr>
              <w:t>2</w:t>
            </w:r>
            <w:r w:rsidRPr="002C3334">
              <w:rPr>
                <w:lang w:eastAsia="en-NZ"/>
              </w:rPr>
              <w:t xml:space="preserve">e to achieve target </w:t>
            </w:r>
          </w:p>
        </w:tc>
        <w:tc>
          <w:tcPr>
            <w:tcW w:w="1134" w:type="dxa"/>
            <w:vAlign w:val="center"/>
          </w:tcPr>
          <w:p w14:paraId="1B0931D6" w14:textId="40108A78" w:rsidR="00543128" w:rsidRPr="002C3334" w:rsidRDefault="00543128" w:rsidP="0051384F">
            <w:pPr>
              <w:cnfStyle w:val="100000000000" w:firstRow="1" w:lastRow="0" w:firstColumn="0" w:lastColumn="0" w:oddVBand="0" w:evenVBand="0" w:oddHBand="0" w:evenHBand="0" w:firstRowFirstColumn="0" w:firstRowLastColumn="0" w:lastRowFirstColumn="0" w:lastRowLastColumn="0"/>
            </w:pPr>
            <w:r w:rsidRPr="002C3334">
              <w:rPr>
                <w:lang w:eastAsia="en-NZ"/>
              </w:rPr>
              <w:t>FY23/24 Emissions</w:t>
            </w:r>
            <w:r w:rsidR="003C1D4E">
              <w:rPr>
                <w:lang w:eastAsia="en-NZ"/>
              </w:rPr>
              <w:t xml:space="preserve"> actual</w:t>
            </w:r>
            <w:r w:rsidRPr="002C3334">
              <w:rPr>
                <w:lang w:eastAsia="en-NZ"/>
              </w:rPr>
              <w:t xml:space="preserve"> (tCO</w:t>
            </w:r>
            <w:r w:rsidRPr="002C3334">
              <w:rPr>
                <w:vertAlign w:val="subscript"/>
                <w:lang w:eastAsia="en-NZ"/>
              </w:rPr>
              <w:t>2</w:t>
            </w:r>
            <w:r w:rsidRPr="002C3334">
              <w:rPr>
                <w:lang w:eastAsia="en-NZ"/>
              </w:rPr>
              <w:t>e)</w:t>
            </w:r>
          </w:p>
        </w:tc>
        <w:tc>
          <w:tcPr>
            <w:tcW w:w="1133" w:type="dxa"/>
            <w:vAlign w:val="center"/>
          </w:tcPr>
          <w:p w14:paraId="74D5D8EE" w14:textId="0D4ABB51" w:rsidR="00543128" w:rsidRPr="002C3334" w:rsidRDefault="00543128" w:rsidP="0051384F">
            <w:pPr>
              <w:cnfStyle w:val="100000000000" w:firstRow="1" w:lastRow="0" w:firstColumn="0" w:lastColumn="0" w:oddVBand="0" w:evenVBand="0" w:oddHBand="0" w:evenHBand="0" w:firstRowFirstColumn="0" w:firstRowLastColumn="0" w:lastRowFirstColumn="0" w:lastRowLastColumn="0"/>
            </w:pPr>
            <w:r w:rsidRPr="002C3334">
              <w:rPr>
                <w:lang w:eastAsia="en-NZ"/>
              </w:rPr>
              <w:t>% reduction against baseline</w:t>
            </w:r>
          </w:p>
        </w:tc>
      </w:tr>
      <w:tr w:rsidR="002F3B7E" w:rsidRPr="003744A5" w14:paraId="4F475A66" w14:textId="2F0D492F" w:rsidTr="00DD1ED7">
        <w:trPr>
          <w:trHeight w:val="641"/>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67C9FE6" w14:textId="56DE3301" w:rsidR="002F3B7E" w:rsidRPr="002C3334" w:rsidRDefault="00F56AED" w:rsidP="0051384F">
            <w:r>
              <w:rPr>
                <w:rFonts w:cs="Arial"/>
                <w:color w:val="000000"/>
              </w:rPr>
              <w:t xml:space="preserve">FY24/25 </w:t>
            </w:r>
            <w:r w:rsidR="00A652A9" w:rsidRPr="00F56AED">
              <w:rPr>
                <w:rFonts w:cs="Arial"/>
                <w:color w:val="000000"/>
              </w:rPr>
              <w:t>New Zealand Health Plan</w:t>
            </w:r>
            <w:r w:rsidR="002F3B7E" w:rsidRPr="00F56AED">
              <w:rPr>
                <w:rFonts w:cs="Arial"/>
                <w:color w:val="000000"/>
              </w:rPr>
              <w:t xml:space="preserve"> target</w:t>
            </w:r>
          </w:p>
        </w:tc>
        <w:tc>
          <w:tcPr>
            <w:tcW w:w="1417" w:type="dxa"/>
            <w:vAlign w:val="center"/>
          </w:tcPr>
          <w:p w14:paraId="760EEBDB" w14:textId="117D90AA"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Category 1 and 2 only</w:t>
            </w:r>
          </w:p>
        </w:tc>
        <w:tc>
          <w:tcPr>
            <w:tcW w:w="1276" w:type="dxa"/>
            <w:vAlign w:val="center"/>
          </w:tcPr>
          <w:p w14:paraId="357B1E54" w14:textId="192393B7"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144,120</w:t>
            </w:r>
          </w:p>
        </w:tc>
        <w:tc>
          <w:tcPr>
            <w:tcW w:w="851" w:type="dxa"/>
            <w:vAlign w:val="center"/>
          </w:tcPr>
          <w:p w14:paraId="6C760D85" w14:textId="04E691AD"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25%</w:t>
            </w:r>
          </w:p>
        </w:tc>
        <w:tc>
          <w:tcPr>
            <w:tcW w:w="1134" w:type="dxa"/>
            <w:vAlign w:val="center"/>
          </w:tcPr>
          <w:p w14:paraId="3B84E258" w14:textId="421E6A4C"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rPr>
                <w:rFonts w:cs="Arial"/>
                <w:color w:val="000000"/>
              </w:rPr>
            </w:pPr>
            <w:r w:rsidRPr="002C3334">
              <w:rPr>
                <w:rFonts w:cs="Arial"/>
                <w:color w:val="000000"/>
              </w:rPr>
              <w:t>FY24/25</w:t>
            </w:r>
          </w:p>
        </w:tc>
        <w:tc>
          <w:tcPr>
            <w:tcW w:w="1275" w:type="dxa"/>
            <w:vAlign w:val="center"/>
          </w:tcPr>
          <w:p w14:paraId="2F54E18F" w14:textId="1C6F442F"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36,000</w:t>
            </w:r>
          </w:p>
        </w:tc>
        <w:tc>
          <w:tcPr>
            <w:tcW w:w="1134" w:type="dxa"/>
            <w:vAlign w:val="center"/>
          </w:tcPr>
          <w:p w14:paraId="6874F64E" w14:textId="04E0B790" w:rsidR="002F3B7E" w:rsidRPr="002C3334" w:rsidRDefault="00417DBF" w:rsidP="0051384F">
            <w:pPr>
              <w:cnfStyle w:val="000000000000" w:firstRow="0" w:lastRow="0" w:firstColumn="0" w:lastColumn="0" w:oddVBand="0" w:evenVBand="0" w:oddHBand="0" w:evenHBand="0" w:firstRowFirstColumn="0" w:firstRowLastColumn="0" w:lastRowFirstColumn="0" w:lastRowLastColumn="0"/>
            </w:pPr>
            <w:r>
              <w:rPr>
                <w:rFonts w:cs="Arial"/>
                <w:color w:val="000000"/>
              </w:rPr>
              <w:t>110,101</w:t>
            </w:r>
          </w:p>
        </w:tc>
        <w:tc>
          <w:tcPr>
            <w:tcW w:w="1133" w:type="dxa"/>
            <w:vAlign w:val="center"/>
          </w:tcPr>
          <w:p w14:paraId="2BBD583B" w14:textId="17AD1362"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24%</w:t>
            </w:r>
          </w:p>
        </w:tc>
      </w:tr>
      <w:tr w:rsidR="003744A5" w:rsidRPr="003744A5" w14:paraId="7420B9C9" w14:textId="65232D51" w:rsidTr="00DD1ED7">
        <w:trPr>
          <w:trHeight w:val="1086"/>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F63EBBE" w14:textId="6CBEAA8B" w:rsidR="002F3B7E" w:rsidRPr="002C3334" w:rsidRDefault="002F3B7E" w:rsidP="0051384F">
            <w:r w:rsidRPr="002C3334">
              <w:rPr>
                <w:rFonts w:cs="Arial"/>
                <w:color w:val="000000"/>
              </w:rPr>
              <w:t xml:space="preserve">CNGP FY24/25 </w:t>
            </w:r>
            <w:r w:rsidR="00AF1FE2">
              <w:rPr>
                <w:rFonts w:cs="Arial"/>
                <w:color w:val="000000"/>
              </w:rPr>
              <w:t>–</w:t>
            </w:r>
            <w:r w:rsidRPr="002C3334">
              <w:rPr>
                <w:rFonts w:cs="Arial"/>
                <w:color w:val="000000"/>
              </w:rPr>
              <w:t xml:space="preserve"> science</w:t>
            </w:r>
            <w:r w:rsidR="00AF1FE2">
              <w:rPr>
                <w:rFonts w:cs="Arial"/>
                <w:color w:val="000000"/>
              </w:rPr>
              <w:t>-</w:t>
            </w:r>
            <w:r w:rsidRPr="002C3334">
              <w:rPr>
                <w:rFonts w:cs="Arial"/>
                <w:color w:val="000000"/>
              </w:rPr>
              <w:t xml:space="preserve"> </w:t>
            </w:r>
            <w:r w:rsidR="00AF1FE2" w:rsidRPr="002C3334">
              <w:rPr>
                <w:rFonts w:cs="Arial"/>
                <w:color w:val="000000"/>
              </w:rPr>
              <w:t>based ambition</w:t>
            </w:r>
            <w:r w:rsidRPr="002C3334">
              <w:rPr>
                <w:rFonts w:cs="Arial"/>
                <w:color w:val="000000"/>
              </w:rPr>
              <w:t xml:space="preserve"> </w:t>
            </w:r>
          </w:p>
        </w:tc>
        <w:tc>
          <w:tcPr>
            <w:tcW w:w="1417" w:type="dxa"/>
            <w:vMerge w:val="restart"/>
            <w:vAlign w:val="center"/>
          </w:tcPr>
          <w:p w14:paraId="3757DF6B" w14:textId="0D0CC2B7"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All measured emissions (Categories 1-4)</w:t>
            </w:r>
          </w:p>
        </w:tc>
        <w:tc>
          <w:tcPr>
            <w:tcW w:w="1276" w:type="dxa"/>
            <w:vMerge w:val="restart"/>
            <w:vAlign w:val="center"/>
          </w:tcPr>
          <w:p w14:paraId="4122EE67" w14:textId="3D9690F7"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237,822</w:t>
            </w:r>
          </w:p>
        </w:tc>
        <w:tc>
          <w:tcPr>
            <w:tcW w:w="851" w:type="dxa"/>
            <w:vAlign w:val="center"/>
          </w:tcPr>
          <w:p w14:paraId="1336EFF3" w14:textId="54442D32"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12%</w:t>
            </w:r>
          </w:p>
        </w:tc>
        <w:tc>
          <w:tcPr>
            <w:tcW w:w="1134" w:type="dxa"/>
            <w:vAlign w:val="center"/>
          </w:tcPr>
          <w:p w14:paraId="21E61BD8" w14:textId="3C95D432"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rPr>
                <w:rFonts w:cs="Arial"/>
                <w:color w:val="000000"/>
              </w:rPr>
            </w:pPr>
            <w:r w:rsidRPr="002C3334">
              <w:rPr>
                <w:rFonts w:cs="Arial"/>
                <w:color w:val="000000"/>
              </w:rPr>
              <w:t>FY24/25</w:t>
            </w:r>
          </w:p>
        </w:tc>
        <w:tc>
          <w:tcPr>
            <w:tcW w:w="1275" w:type="dxa"/>
            <w:vAlign w:val="center"/>
          </w:tcPr>
          <w:p w14:paraId="73DFC0A1" w14:textId="5686AC5B"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28,500</w:t>
            </w:r>
          </w:p>
        </w:tc>
        <w:tc>
          <w:tcPr>
            <w:tcW w:w="1134" w:type="dxa"/>
            <w:vMerge w:val="restart"/>
            <w:vAlign w:val="center"/>
          </w:tcPr>
          <w:p w14:paraId="584F7714" w14:textId="4A87FDC1"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9B595A">
              <w:rPr>
                <w:rFonts w:cs="Arial"/>
                <w:color w:val="000000"/>
              </w:rPr>
              <w:t>205,</w:t>
            </w:r>
            <w:r w:rsidR="00E41CA2" w:rsidRPr="009B595A">
              <w:rPr>
                <w:rFonts w:cs="Arial"/>
                <w:color w:val="000000"/>
              </w:rPr>
              <w:t>27</w:t>
            </w:r>
            <w:r w:rsidRPr="009B595A">
              <w:rPr>
                <w:rFonts w:cs="Arial"/>
                <w:color w:val="000000"/>
              </w:rPr>
              <w:t>5</w:t>
            </w:r>
          </w:p>
        </w:tc>
        <w:tc>
          <w:tcPr>
            <w:tcW w:w="1133" w:type="dxa"/>
            <w:vMerge w:val="restart"/>
            <w:vAlign w:val="center"/>
          </w:tcPr>
          <w:p w14:paraId="118E61A8" w14:textId="15F49E71"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rPr>
                <w:rFonts w:cs="Arial"/>
                <w:color w:val="000000"/>
              </w:rPr>
              <w:t>14%</w:t>
            </w:r>
          </w:p>
        </w:tc>
      </w:tr>
      <w:tr w:rsidR="003744A5" w:rsidRPr="003744A5" w14:paraId="14409A34" w14:textId="77777777" w:rsidTr="00DD1ED7">
        <w:trPr>
          <w:trHeight w:val="107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DB5A122" w14:textId="31E81233" w:rsidR="002F3B7E" w:rsidRPr="002C3334" w:rsidRDefault="00F56AED" w:rsidP="0051384F">
            <w:pPr>
              <w:rPr>
                <w:rFonts w:eastAsia="Times New Roman"/>
                <w:lang w:eastAsia="en-NZ"/>
              </w:rPr>
            </w:pPr>
            <w:r>
              <w:t>FY26/27</w:t>
            </w:r>
            <w:r w:rsidR="00D077BF">
              <w:t xml:space="preserve"> Health NZ</w:t>
            </w:r>
            <w:r w:rsidR="004C2E50">
              <w:t xml:space="preserve"> </w:t>
            </w:r>
            <w:r w:rsidR="00AF1FE2">
              <w:t>science-based</w:t>
            </w:r>
            <w:r>
              <w:t xml:space="preserve"> </w:t>
            </w:r>
            <w:r w:rsidR="002F3B7E" w:rsidRPr="002C3334">
              <w:t>target</w:t>
            </w:r>
          </w:p>
        </w:tc>
        <w:tc>
          <w:tcPr>
            <w:tcW w:w="1417" w:type="dxa"/>
            <w:vMerge/>
            <w:vAlign w:val="center"/>
          </w:tcPr>
          <w:p w14:paraId="4BF37C14" w14:textId="77777777"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rPr>
                <w:rFonts w:eastAsia="Times New Roman"/>
                <w:lang w:eastAsia="en-NZ"/>
              </w:rPr>
            </w:pPr>
          </w:p>
        </w:tc>
        <w:tc>
          <w:tcPr>
            <w:tcW w:w="1276" w:type="dxa"/>
            <w:vMerge/>
            <w:vAlign w:val="center"/>
          </w:tcPr>
          <w:p w14:paraId="56EBE63A" w14:textId="77777777"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rPr>
                <w:rFonts w:eastAsia="Times New Roman"/>
                <w:lang w:eastAsia="en-NZ"/>
              </w:rPr>
            </w:pPr>
          </w:p>
        </w:tc>
        <w:tc>
          <w:tcPr>
            <w:tcW w:w="851" w:type="dxa"/>
            <w:vAlign w:val="center"/>
          </w:tcPr>
          <w:p w14:paraId="32EC2C8B" w14:textId="18E7B7E8"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rPr>
                <w:rFonts w:eastAsia="Times New Roman"/>
                <w:lang w:eastAsia="en-NZ"/>
              </w:rPr>
            </w:pPr>
            <w:r w:rsidRPr="002C3334">
              <w:t>24%</w:t>
            </w:r>
          </w:p>
        </w:tc>
        <w:tc>
          <w:tcPr>
            <w:tcW w:w="1134" w:type="dxa"/>
            <w:vAlign w:val="center"/>
          </w:tcPr>
          <w:p w14:paraId="2975926F" w14:textId="0C86EBF1"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t>FY26/27</w:t>
            </w:r>
          </w:p>
        </w:tc>
        <w:tc>
          <w:tcPr>
            <w:tcW w:w="1275" w:type="dxa"/>
            <w:vAlign w:val="center"/>
          </w:tcPr>
          <w:p w14:paraId="1E7F802C" w14:textId="2F1639EB"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t>57,100</w:t>
            </w:r>
          </w:p>
        </w:tc>
        <w:tc>
          <w:tcPr>
            <w:tcW w:w="1134" w:type="dxa"/>
            <w:vMerge/>
            <w:vAlign w:val="center"/>
          </w:tcPr>
          <w:p w14:paraId="1C64D547" w14:textId="77777777" w:rsidR="002F3B7E" w:rsidRPr="002C3334" w:rsidRDefault="002F3B7E" w:rsidP="002C333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NZ"/>
              </w:rPr>
            </w:pPr>
          </w:p>
        </w:tc>
        <w:tc>
          <w:tcPr>
            <w:tcW w:w="1133" w:type="dxa"/>
            <w:vMerge/>
            <w:vAlign w:val="center"/>
          </w:tcPr>
          <w:p w14:paraId="6356CE98" w14:textId="77777777" w:rsidR="002F3B7E" w:rsidRPr="002C3334" w:rsidRDefault="002F3B7E" w:rsidP="002C333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NZ"/>
              </w:rPr>
            </w:pPr>
          </w:p>
        </w:tc>
      </w:tr>
      <w:tr w:rsidR="003744A5" w:rsidRPr="003744A5" w14:paraId="3C1F0628" w14:textId="77777777" w:rsidTr="00DD1ED7">
        <w:trPr>
          <w:trHeight w:val="1086"/>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AAE1511" w14:textId="2ED94746" w:rsidR="002F3B7E" w:rsidRPr="002C3334" w:rsidRDefault="002F3B7E" w:rsidP="0051384F">
            <w:pPr>
              <w:rPr>
                <w:rFonts w:eastAsia="Times New Roman"/>
                <w:lang w:eastAsia="en-NZ"/>
              </w:rPr>
            </w:pPr>
            <w:r w:rsidRPr="002C3334">
              <w:t xml:space="preserve">CNGP FY29/30 </w:t>
            </w:r>
            <w:r w:rsidR="00C96F19">
              <w:t>–</w:t>
            </w:r>
            <w:r w:rsidRPr="002C3334">
              <w:t xml:space="preserve"> </w:t>
            </w:r>
            <w:r w:rsidR="00ED7276">
              <w:t>s</w:t>
            </w:r>
            <w:r w:rsidRPr="002C3334">
              <w:t>cience</w:t>
            </w:r>
            <w:r w:rsidR="00C96F19">
              <w:t>-</w:t>
            </w:r>
            <w:r w:rsidRPr="002C3334">
              <w:t xml:space="preserve"> based ambition</w:t>
            </w:r>
          </w:p>
        </w:tc>
        <w:tc>
          <w:tcPr>
            <w:tcW w:w="1417" w:type="dxa"/>
            <w:vMerge/>
            <w:vAlign w:val="center"/>
          </w:tcPr>
          <w:p w14:paraId="036B2BCF" w14:textId="77777777"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rPr>
                <w:rFonts w:eastAsia="Times New Roman"/>
                <w:lang w:eastAsia="en-NZ"/>
              </w:rPr>
            </w:pPr>
          </w:p>
        </w:tc>
        <w:tc>
          <w:tcPr>
            <w:tcW w:w="1276" w:type="dxa"/>
            <w:vMerge/>
            <w:vAlign w:val="center"/>
          </w:tcPr>
          <w:p w14:paraId="417C56C7" w14:textId="77777777"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rPr>
                <w:rFonts w:eastAsia="Times New Roman"/>
                <w:lang w:eastAsia="en-NZ"/>
              </w:rPr>
            </w:pPr>
          </w:p>
        </w:tc>
        <w:tc>
          <w:tcPr>
            <w:tcW w:w="851" w:type="dxa"/>
            <w:vAlign w:val="center"/>
          </w:tcPr>
          <w:p w14:paraId="5A19DB12" w14:textId="043D06F1"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rPr>
                <w:rFonts w:eastAsia="Times New Roman"/>
                <w:lang w:eastAsia="en-NZ"/>
              </w:rPr>
            </w:pPr>
            <w:r w:rsidRPr="002C3334">
              <w:t>42%</w:t>
            </w:r>
          </w:p>
        </w:tc>
        <w:tc>
          <w:tcPr>
            <w:tcW w:w="1134" w:type="dxa"/>
            <w:vAlign w:val="center"/>
          </w:tcPr>
          <w:p w14:paraId="2CF62605" w14:textId="343FFE81"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t>FY29/30</w:t>
            </w:r>
          </w:p>
        </w:tc>
        <w:tc>
          <w:tcPr>
            <w:tcW w:w="1275" w:type="dxa"/>
            <w:vAlign w:val="center"/>
          </w:tcPr>
          <w:p w14:paraId="7A1D578B" w14:textId="1613791E" w:rsidR="002F3B7E" w:rsidRPr="002C3334" w:rsidRDefault="002F3B7E" w:rsidP="0051384F">
            <w:pPr>
              <w:cnfStyle w:val="000000000000" w:firstRow="0" w:lastRow="0" w:firstColumn="0" w:lastColumn="0" w:oddVBand="0" w:evenVBand="0" w:oddHBand="0" w:evenHBand="0" w:firstRowFirstColumn="0" w:firstRowLastColumn="0" w:lastRowFirstColumn="0" w:lastRowLastColumn="0"/>
            </w:pPr>
            <w:r w:rsidRPr="002C3334">
              <w:t>99,900</w:t>
            </w:r>
          </w:p>
        </w:tc>
        <w:tc>
          <w:tcPr>
            <w:tcW w:w="1134" w:type="dxa"/>
            <w:vMerge/>
            <w:vAlign w:val="center"/>
          </w:tcPr>
          <w:p w14:paraId="52B46582" w14:textId="77777777" w:rsidR="002F3B7E" w:rsidRPr="002C3334" w:rsidRDefault="002F3B7E" w:rsidP="002C333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lang w:eastAsia="en-NZ"/>
              </w:rPr>
            </w:pPr>
          </w:p>
        </w:tc>
        <w:tc>
          <w:tcPr>
            <w:tcW w:w="1133" w:type="dxa"/>
            <w:vMerge/>
            <w:vAlign w:val="center"/>
          </w:tcPr>
          <w:p w14:paraId="6DA7095C" w14:textId="77777777" w:rsidR="002F3B7E" w:rsidRPr="002C3334" w:rsidRDefault="002F3B7E" w:rsidP="002C3334">
            <w:pPr>
              <w:spacing w:before="0" w:after="160" w:line="259"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NZ"/>
              </w:rPr>
            </w:pPr>
          </w:p>
        </w:tc>
      </w:tr>
    </w:tbl>
    <w:p w14:paraId="115B9196" w14:textId="1CCDE7A4" w:rsidR="007572B5" w:rsidRPr="003E4115" w:rsidRDefault="007572B5" w:rsidP="00174550">
      <w:pPr>
        <w:pStyle w:val="Heading3"/>
        <w:rPr>
          <w:b/>
          <w:color w:val="15284C"/>
          <w:szCs w:val="26"/>
        </w:rPr>
      </w:pPr>
      <w:bookmarkStart w:id="19" w:name="_Toc204940761"/>
      <w:r w:rsidRPr="003E4115">
        <w:rPr>
          <w:b/>
          <w:color w:val="15284C"/>
          <w:szCs w:val="26"/>
        </w:rPr>
        <w:lastRenderedPageBreak/>
        <w:t>Progress before Health New Zealand</w:t>
      </w:r>
      <w:bookmarkEnd w:id="19"/>
    </w:p>
    <w:p w14:paraId="00ECEBE8" w14:textId="3667953C" w:rsidR="007572B5" w:rsidRDefault="007572B5" w:rsidP="007572B5">
      <w:r w:rsidRPr="00653A18">
        <w:t>It is important to acknowledge the progress already made across the health system prior to the transition to Health NZ on 1 July 2022. Many of the previous District Health Boards (DHBs) measured greenhouse gas emissions with various degrees of coverage</w:t>
      </w:r>
      <w:r w:rsidR="001305EF">
        <w:t>, assurance</w:t>
      </w:r>
      <w:r w:rsidRPr="00653A18">
        <w:t xml:space="preserve"> and timescale</w:t>
      </w:r>
      <w:r w:rsidR="001305EF">
        <w:t>s</w:t>
      </w:r>
      <w:r w:rsidRPr="00653A18">
        <w:t>. By amalgamating the data</w:t>
      </w:r>
      <w:r w:rsidR="00093AE0">
        <w:t xml:space="preserve"> </w:t>
      </w:r>
      <w:r w:rsidRPr="00653A18">
        <w:t>from</w:t>
      </w:r>
      <w:r w:rsidR="005C1DEA">
        <w:t xml:space="preserve"> </w:t>
      </w:r>
      <w:r w:rsidRPr="00653A18">
        <w:t xml:space="preserve">the districts that were measuring emissions, the data shows that collectively 11 DHBs </w:t>
      </w:r>
      <w:r w:rsidR="00C12C4A">
        <w:t>reduced</w:t>
      </w:r>
      <w:r w:rsidR="00C12C4A" w:rsidRPr="00653A18">
        <w:t xml:space="preserve"> </w:t>
      </w:r>
      <w:r w:rsidRPr="00653A18">
        <w:t>at least 36,750 tCO</w:t>
      </w:r>
      <w:r w:rsidRPr="00653A18">
        <w:rPr>
          <w:vertAlign w:val="subscript"/>
        </w:rPr>
        <w:t>2</w:t>
      </w:r>
      <w:r w:rsidRPr="00653A18">
        <w:t>e emissions annually</w:t>
      </w:r>
      <w:r w:rsidR="00680A25">
        <w:t xml:space="preserve">. </w:t>
      </w:r>
      <w:r w:rsidRPr="00653A18">
        <w:t xml:space="preserve">This is equivalent to a 15% reduction already made by kaimahi in the public funded health system between 2013 and </w:t>
      </w:r>
      <w:r w:rsidRPr="00883A5A">
        <w:t>2022</w:t>
      </w:r>
      <w:r w:rsidR="00345945" w:rsidRPr="00883A5A">
        <w:t xml:space="preserve"> (</w:t>
      </w:r>
      <w:r w:rsidR="003F61AE">
        <w:t>F</w:t>
      </w:r>
      <w:r w:rsidR="00345945" w:rsidRPr="00883A5A">
        <w:t xml:space="preserve">igure </w:t>
      </w:r>
      <w:r w:rsidR="00883A5A" w:rsidRPr="00883A5A">
        <w:t>2</w:t>
      </w:r>
      <w:r w:rsidR="00345945" w:rsidRPr="00883A5A">
        <w:t>)</w:t>
      </w:r>
      <w:r w:rsidRPr="00883A5A">
        <w:t>.</w:t>
      </w:r>
      <w:r w:rsidRPr="00653A18">
        <w:t xml:space="preserve"> Many of these opportunities</w:t>
      </w:r>
      <w:r w:rsidR="00680A25">
        <w:t xml:space="preserve">, such as removing major coal usage from </w:t>
      </w:r>
      <w:r w:rsidR="001A2D10">
        <w:t>h</w:t>
      </w:r>
      <w:r w:rsidR="00680A25">
        <w:t xml:space="preserve">ospital sites especially </w:t>
      </w:r>
      <w:r w:rsidR="00DD0BC9">
        <w:t>across Te Waipounamu</w:t>
      </w:r>
      <w:r w:rsidRPr="00653A18">
        <w:t xml:space="preserve"> included </w:t>
      </w:r>
      <w:r w:rsidR="004417F2">
        <w:t>“</w:t>
      </w:r>
      <w:r w:rsidRPr="00653A18">
        <w:t>low hanging fruit</w:t>
      </w:r>
      <w:r w:rsidR="004417F2">
        <w:t>”</w:t>
      </w:r>
      <w:r w:rsidRPr="00653A18">
        <w:t>, meaning the next tranches of emissions reduction may be more challenging.</w:t>
      </w:r>
      <w:r w:rsidR="00605BA8">
        <w:t xml:space="preserve"> </w:t>
      </w:r>
    </w:p>
    <w:p w14:paraId="5FF54C6E" w14:textId="5A80898E" w:rsidR="00CE5ED2" w:rsidRDefault="00991602" w:rsidP="007572B5">
      <w:r>
        <w:rPr>
          <w:noProof/>
        </w:rPr>
        <w:lastRenderedPageBreak/>
        <w:drawing>
          <wp:inline distT="0" distB="0" distL="0" distR="0" wp14:anchorId="1029EB60" wp14:editId="25444BC5">
            <wp:extent cx="6120130" cy="6794500"/>
            <wp:effectExtent l="0" t="0" r="13970" b="6350"/>
            <wp:docPr id="463017945" name="Chart 1" descr="Figure 2 Emission progress since Health NZ’s baseline, target, level of expectations and back-casted emissions to FY12/13">
              <a:extLst xmlns:a="http://schemas.openxmlformats.org/drawingml/2006/main">
                <a:ext uri="{FF2B5EF4-FFF2-40B4-BE49-F238E27FC236}">
                  <a16:creationId xmlns:a16="http://schemas.microsoft.com/office/drawing/2014/main" id="{5D9CC247-5996-9751-6BA2-C9B783930E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26B0A9" w14:textId="4DAAA479" w:rsidR="004A1E3A" w:rsidRDefault="00345945" w:rsidP="00C175FC">
      <w:pPr>
        <w:pStyle w:val="Figure"/>
      </w:pPr>
      <w:bookmarkStart w:id="20" w:name="_Toc198286800"/>
      <w:r>
        <w:t xml:space="preserve">Figure </w:t>
      </w:r>
      <w:r>
        <w:fldChar w:fldCharType="begin"/>
      </w:r>
      <w:r>
        <w:instrText xml:space="preserve"> SEQ Figure \* ARABIC </w:instrText>
      </w:r>
      <w:r>
        <w:fldChar w:fldCharType="separate"/>
      </w:r>
      <w:r w:rsidR="008B20C4">
        <w:rPr>
          <w:noProof/>
        </w:rPr>
        <w:t>2</w:t>
      </w:r>
      <w:r>
        <w:fldChar w:fldCharType="end"/>
      </w:r>
      <w:r>
        <w:t xml:space="preserve"> </w:t>
      </w:r>
      <w:r w:rsidR="00F40136">
        <w:t>Emission</w:t>
      </w:r>
      <w:r>
        <w:t xml:space="preserve"> progress since Health NZ’s baseline</w:t>
      </w:r>
      <w:r w:rsidR="00F40136">
        <w:t xml:space="preserve">, target, level of expectations and </w:t>
      </w:r>
      <w:r w:rsidR="00581AF5">
        <w:t>back-casted</w:t>
      </w:r>
      <w:r w:rsidR="00F40136">
        <w:t xml:space="preserve"> emissions to FY12/13</w:t>
      </w:r>
      <w:bookmarkEnd w:id="20"/>
    </w:p>
    <w:p w14:paraId="21B383D3" w14:textId="77777777" w:rsidR="004A1E3A" w:rsidRDefault="004A1E3A">
      <w:pPr>
        <w:spacing w:before="0" w:after="160" w:line="259" w:lineRule="auto"/>
        <w:rPr>
          <w:rFonts w:ascii="Arial" w:hAnsi="Arial" w:cs="Arial"/>
          <w:i/>
          <w:iCs/>
          <w:color w:val="15284C" w:themeColor="text2"/>
          <w:sz w:val="18"/>
          <w:szCs w:val="18"/>
          <w:lang w:val="en-US"/>
          <w14:ligatures w14:val="standardContextual"/>
        </w:rPr>
      </w:pPr>
      <w:r>
        <w:br w:type="page"/>
      </w:r>
    </w:p>
    <w:p w14:paraId="13B35230" w14:textId="6B1A5CE7" w:rsidR="004C0D1C" w:rsidRPr="00653A18" w:rsidRDefault="00791513" w:rsidP="004C0D1C">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sidRPr="00653A18">
        <w:rPr>
          <w:rFonts w:ascii="Arial" w:hAnsi="Arial" w:cs="Arial"/>
          <w:i/>
          <w:iCs/>
          <w:noProof/>
          <w:color w:val="15284C" w:themeColor="text2"/>
          <w:sz w:val="18"/>
          <w:szCs w:val="18"/>
          <w:lang w:val="en-US" w:eastAsia="en-NZ"/>
          <w14:ligatures w14:val="standardContextual"/>
        </w:rPr>
        <w:lastRenderedPageBreak/>
        <w:drawing>
          <wp:anchor distT="0" distB="0" distL="114300" distR="114300" simplePos="0" relativeHeight="251658248" behindDoc="1" locked="0" layoutInCell="1" allowOverlap="1" wp14:anchorId="6A8EBD2A" wp14:editId="7C31588D">
            <wp:simplePos x="0" y="0"/>
            <wp:positionH relativeFrom="column">
              <wp:posOffset>5347335</wp:posOffset>
            </wp:positionH>
            <wp:positionV relativeFrom="paragraph">
              <wp:posOffset>53975</wp:posOffset>
            </wp:positionV>
            <wp:extent cx="711200" cy="711200"/>
            <wp:effectExtent l="0" t="0" r="0" b="0"/>
            <wp:wrapNone/>
            <wp:docPr id="2043107093" name="Graphic 13"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98623" name="Graphic 13" descr="Lightbulb and gear with solid fill"/>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11200" cy="711200"/>
                    </a:xfrm>
                    <a:prstGeom prst="rect">
                      <a:avLst/>
                    </a:prstGeom>
                  </pic:spPr>
                </pic:pic>
              </a:graphicData>
            </a:graphic>
          </wp:anchor>
        </w:drawing>
      </w:r>
    </w:p>
    <w:p w14:paraId="70E45E2A" w14:textId="2F3A631A" w:rsidR="004C0D1C" w:rsidRDefault="004C0D1C" w:rsidP="004C0D1C">
      <w:pPr>
        <w:pStyle w:val="Box"/>
        <w:pBdr>
          <w:top w:val="single" w:sz="18" w:space="8" w:color="15284C" w:themeColor="text2"/>
          <w:left w:val="single" w:sz="18" w:space="8" w:color="15284C" w:themeColor="text2"/>
          <w:bottom w:val="single" w:sz="18" w:space="8" w:color="15284C" w:themeColor="text2"/>
          <w:right w:val="single" w:sz="18" w:space="8" w:color="15284C" w:themeColor="text2"/>
        </w:pBdr>
        <w:rPr>
          <w:b/>
          <w:bCs/>
        </w:rPr>
      </w:pPr>
      <w:r w:rsidRPr="00653A18">
        <w:rPr>
          <w:b/>
          <w:bCs/>
        </w:rPr>
        <w:t>Key Points box</w:t>
      </w:r>
    </w:p>
    <w:p w14:paraId="03FD7031" w14:textId="15E8C619" w:rsidR="004C0D1C" w:rsidRPr="00653A18" w:rsidRDefault="004C0D1C" w:rsidP="004C0D1C">
      <w:pPr>
        <w:pStyle w:val="BoxBullet"/>
        <w:pBdr>
          <w:top w:val="single" w:sz="18" w:space="8" w:color="15284C" w:themeColor="text2"/>
          <w:left w:val="single" w:sz="18" w:space="8" w:color="15284C" w:themeColor="text2"/>
          <w:bottom w:val="single" w:sz="18" w:space="8" w:color="15284C" w:themeColor="text2"/>
          <w:right w:val="single" w:sz="18" w:space="8" w:color="15284C" w:themeColor="text2"/>
        </w:pBdr>
      </w:pPr>
      <w:r w:rsidRPr="00653A18">
        <w:t xml:space="preserve">This is Health NZ’s first </w:t>
      </w:r>
      <w:r w:rsidR="003670C7" w:rsidRPr="00653A18">
        <w:t>Emissions</w:t>
      </w:r>
      <w:r w:rsidRPr="00653A18">
        <w:t xml:space="preserve"> Reduction Plan</w:t>
      </w:r>
      <w:r w:rsidR="00D26B68">
        <w:t xml:space="preserve"> and covers 2024 - </w:t>
      </w:r>
      <w:r w:rsidR="00635BC1">
        <w:t>2027.</w:t>
      </w:r>
    </w:p>
    <w:p w14:paraId="3236663A" w14:textId="69CEA7D9" w:rsidR="00AC5625" w:rsidRPr="00CF4DF9" w:rsidRDefault="00572F8F" w:rsidP="004C0D1C">
      <w:pPr>
        <w:pStyle w:val="BoxBullet"/>
        <w:pBdr>
          <w:top w:val="single" w:sz="18" w:space="8" w:color="15284C" w:themeColor="text2"/>
          <w:left w:val="single" w:sz="18" w:space="8" w:color="15284C" w:themeColor="text2"/>
          <w:bottom w:val="single" w:sz="18" w:space="8" w:color="15284C" w:themeColor="text2"/>
          <w:right w:val="single" w:sz="18" w:space="8" w:color="15284C" w:themeColor="text2"/>
        </w:pBdr>
      </w:pPr>
      <w:r w:rsidRPr="00653A18">
        <w:t xml:space="preserve">Between </w:t>
      </w:r>
      <w:r w:rsidR="002B2006">
        <w:t xml:space="preserve">the </w:t>
      </w:r>
      <w:r w:rsidRPr="00653A18">
        <w:t xml:space="preserve">baseline </w:t>
      </w:r>
      <w:r w:rsidR="002B2006">
        <w:t xml:space="preserve">position </w:t>
      </w:r>
      <w:r w:rsidRPr="00653A18">
        <w:t xml:space="preserve">and </w:t>
      </w:r>
      <w:r w:rsidR="00B214DF">
        <w:t xml:space="preserve">the </w:t>
      </w:r>
      <w:r w:rsidRPr="00653A18">
        <w:t xml:space="preserve">most recent measurement </w:t>
      </w:r>
      <w:r w:rsidR="00FE37C5">
        <w:t>(</w:t>
      </w:r>
      <w:r w:rsidRPr="00653A18">
        <w:t>FY23/24</w:t>
      </w:r>
      <w:r w:rsidR="00FE37C5">
        <w:t>)</w:t>
      </w:r>
      <w:r w:rsidR="00262ACD">
        <w:t>,</w:t>
      </w:r>
      <w:r w:rsidRPr="00653A18">
        <w:t xml:space="preserve"> </w:t>
      </w:r>
      <w:r w:rsidR="00F66973">
        <w:t>C</w:t>
      </w:r>
      <w:r w:rsidRPr="00653A18">
        <w:t xml:space="preserve">ategory 1 and 2 emissions </w:t>
      </w:r>
      <w:r w:rsidRPr="00CF4DF9">
        <w:t xml:space="preserve">are </w:t>
      </w:r>
      <w:r w:rsidRPr="00F56B8E">
        <w:t>24%</w:t>
      </w:r>
      <w:r w:rsidRPr="00CF4DF9">
        <w:t xml:space="preserve"> lower, providing </w:t>
      </w:r>
      <w:r w:rsidR="00D347F1" w:rsidRPr="00CF4DF9">
        <w:t>a solid foundation</w:t>
      </w:r>
      <w:r w:rsidRPr="00CF4DF9">
        <w:t xml:space="preserve"> to achieve the FY24/25 target</w:t>
      </w:r>
      <w:r w:rsidR="00AC5625" w:rsidRPr="00CF4DF9">
        <w:t xml:space="preserve">. </w:t>
      </w:r>
    </w:p>
    <w:p w14:paraId="36F97820" w14:textId="2CBDAEA6" w:rsidR="004C0D1C" w:rsidRPr="00653A18" w:rsidRDefault="008E0C1B" w:rsidP="004C0D1C">
      <w:pPr>
        <w:pStyle w:val="BoxBullet"/>
        <w:pBdr>
          <w:top w:val="single" w:sz="18" w:space="8" w:color="15284C" w:themeColor="text2"/>
          <w:left w:val="single" w:sz="18" w:space="8" w:color="15284C" w:themeColor="text2"/>
          <w:bottom w:val="single" w:sz="18" w:space="8" w:color="15284C" w:themeColor="text2"/>
          <w:right w:val="single" w:sz="18" w:space="8" w:color="15284C" w:themeColor="text2"/>
        </w:pBdr>
      </w:pPr>
      <w:r>
        <w:t>Total</w:t>
      </w:r>
      <w:r w:rsidRPr="00CF4DF9">
        <w:t xml:space="preserve"> </w:t>
      </w:r>
      <w:r w:rsidR="00AC5625" w:rsidRPr="00CF4DF9">
        <w:t xml:space="preserve">measured emissions are </w:t>
      </w:r>
      <w:r w:rsidR="00AC5625" w:rsidRPr="00F56B8E">
        <w:t>1</w:t>
      </w:r>
      <w:r w:rsidR="00830A94">
        <w:t>4</w:t>
      </w:r>
      <w:r w:rsidR="00AC5625" w:rsidRPr="00F56B8E">
        <w:t xml:space="preserve">% </w:t>
      </w:r>
      <w:r w:rsidR="00AC5625" w:rsidRPr="00CF4DF9">
        <w:t>lower</w:t>
      </w:r>
      <w:r w:rsidR="00AC5625">
        <w:t xml:space="preserve"> compared to the baseline</w:t>
      </w:r>
      <w:r w:rsidR="009C56F5">
        <w:t xml:space="preserve"> over the same period</w:t>
      </w:r>
      <w:r w:rsidR="00AC5625">
        <w:t xml:space="preserve">. </w:t>
      </w:r>
    </w:p>
    <w:p w14:paraId="0A919FFE" w14:textId="02B04DBA" w:rsidR="0002438E" w:rsidRPr="00653A18" w:rsidRDefault="00014B22" w:rsidP="00014B22">
      <w:pPr>
        <w:pStyle w:val="Heading1"/>
      </w:pPr>
      <w:bookmarkStart w:id="21" w:name="_Toc204940762"/>
      <w:r>
        <w:t>Oversight</w:t>
      </w:r>
      <w:bookmarkEnd w:id="21"/>
    </w:p>
    <w:p w14:paraId="02BE1A20" w14:textId="5D135565" w:rsidR="00E27526" w:rsidRPr="00653A18" w:rsidRDefault="00E27526" w:rsidP="00E27526">
      <w:r w:rsidRPr="00653A18">
        <w:t xml:space="preserve">Health NZ’s sustainability function will be responsible for oversight and coordination of ERP implementation, monitoring, reporting and review. </w:t>
      </w:r>
    </w:p>
    <w:p w14:paraId="50B3EF44" w14:textId="7966F24D" w:rsidR="00D556D0" w:rsidRPr="00653A18" w:rsidRDefault="00D556D0" w:rsidP="00D556D0">
      <w:r>
        <w:t xml:space="preserve">Given the varied nature of ERP actions, project governance is likely to be integrated within existing governance and steering group structures and project management activities undertaken by respective business units where appropriate. </w:t>
      </w:r>
    </w:p>
    <w:p w14:paraId="6F868672" w14:textId="4E50247E" w:rsidR="00E27526" w:rsidRPr="00653A18" w:rsidRDefault="00E27526" w:rsidP="00E27526">
      <w:r w:rsidRPr="00653A18">
        <w:t>Bespoke programme/project reporting will align to the quarterly reporting cycle, with any significant risks that cannot be addressed at the project management level escalated to the Health NZ Executive Leadership Team (ELT).</w:t>
      </w:r>
    </w:p>
    <w:p w14:paraId="44FD15E8" w14:textId="77777777" w:rsidR="00E27526" w:rsidRPr="00653A18" w:rsidRDefault="00E27526" w:rsidP="00E27526">
      <w:pPr>
        <w:pStyle w:val="Heading2"/>
      </w:pPr>
      <w:bookmarkStart w:id="22" w:name="_Toc204940763"/>
      <w:r w:rsidRPr="00653A18">
        <w:t>Monitoring and reporting</w:t>
      </w:r>
      <w:bookmarkEnd w:id="22"/>
      <w:r w:rsidRPr="00653A18">
        <w:t xml:space="preserve"> </w:t>
      </w:r>
    </w:p>
    <w:p w14:paraId="3C3E3275" w14:textId="0F5B4C56" w:rsidR="00E27526" w:rsidRPr="00653A18" w:rsidRDefault="00E27526" w:rsidP="00E27526">
      <w:r w:rsidRPr="00653A18">
        <w:t>Effective monitoring and reporting processes are important components of the ERP</w:t>
      </w:r>
      <w:r w:rsidR="003F61AE">
        <w:t xml:space="preserve"> and actions are set out in Table 4</w:t>
      </w:r>
      <w:r w:rsidRPr="00653A18">
        <w:t>.</w:t>
      </w:r>
    </w:p>
    <w:p w14:paraId="39228FCA" w14:textId="77777777" w:rsidR="00E27526" w:rsidRPr="00653A18" w:rsidRDefault="00E27526" w:rsidP="00E27526">
      <w:pPr>
        <w:pStyle w:val="Heading4"/>
      </w:pPr>
      <w:r w:rsidRPr="00653A18">
        <w:t>Monitoring</w:t>
      </w:r>
    </w:p>
    <w:p w14:paraId="7DF317B0" w14:textId="1444011C" w:rsidR="00E27526" w:rsidRPr="00653A18" w:rsidRDefault="00D556D0" w:rsidP="00E27526">
      <w:r>
        <w:t>M</w:t>
      </w:r>
      <w:r w:rsidR="00E27526" w:rsidRPr="00653A18">
        <w:t xml:space="preserve">onitoring of achieved emissions reductions will be required. Projects identified in this ERP have been modelled to estimate the likely derived emissions savings, </w:t>
      </w:r>
      <w:r w:rsidR="00487371">
        <w:t>and</w:t>
      </w:r>
      <w:r w:rsidR="00487371" w:rsidRPr="00653A18">
        <w:t xml:space="preserve"> </w:t>
      </w:r>
      <w:r w:rsidR="00E27526" w:rsidRPr="00653A18">
        <w:t xml:space="preserve">monitoring of realised emissions reductions will provide accurate information to support the intended programme-wide ERP emissions reduction </w:t>
      </w:r>
      <w:r w:rsidR="00A76C58">
        <w:t>pathway</w:t>
      </w:r>
      <w:r w:rsidR="00E27526" w:rsidRPr="00653A18">
        <w:t>.</w:t>
      </w:r>
    </w:p>
    <w:p w14:paraId="327339A7" w14:textId="77777777" w:rsidR="006D5672" w:rsidRPr="00653A18" w:rsidRDefault="00E27526" w:rsidP="006D5672">
      <w:r w:rsidRPr="00653A18">
        <w:t xml:space="preserve">Monitoring arrangements will be determined on a case-by-case basis for each project in collaboration with the responsible business unit. For </w:t>
      </w:r>
      <w:r w:rsidR="002842CB">
        <w:t>actions</w:t>
      </w:r>
      <w:r w:rsidRPr="00653A18">
        <w:t xml:space="preserve"> that entail ongoing delivery regular (monthly or quarterly) monitoring will be appropriate. </w:t>
      </w:r>
      <w:r w:rsidR="006D5672">
        <w:t>M</w:t>
      </w:r>
      <w:r w:rsidR="006D5672" w:rsidRPr="00653A18">
        <w:t xml:space="preserve">onitoring </w:t>
      </w:r>
      <w:r w:rsidR="006D5672">
        <w:t>of a</w:t>
      </w:r>
      <w:r w:rsidR="006D5672" w:rsidRPr="00653A18">
        <w:t>ctions with specific step-change milestones will more likely be linked to post-completion phases.</w:t>
      </w:r>
    </w:p>
    <w:p w14:paraId="53E9DD76" w14:textId="77777777" w:rsidR="00E27526" w:rsidRPr="00653A18" w:rsidRDefault="00E27526" w:rsidP="00324B43">
      <w:pPr>
        <w:pStyle w:val="Heading4"/>
      </w:pPr>
      <w:r w:rsidRPr="00653A18">
        <w:lastRenderedPageBreak/>
        <w:t>Reporting</w:t>
      </w:r>
    </w:p>
    <w:p w14:paraId="4DE1D1EE" w14:textId="5A42974E" w:rsidR="00E27526" w:rsidRPr="00653A18" w:rsidRDefault="00E27526" w:rsidP="00E27526">
      <w:r w:rsidRPr="00653A18">
        <w:t xml:space="preserve">Reporting of emissions reduction outcomes are and will continue to be integrated into Health NZ’s public quarterly sustainability reporting, demonstrating specific emission reduction outcomes including those related to energy, </w:t>
      </w:r>
      <w:r w:rsidR="00EC4F9D" w:rsidRPr="00653A18">
        <w:t>fleet,</w:t>
      </w:r>
      <w:r w:rsidRPr="00653A18">
        <w:t xml:space="preserve"> and waste. </w:t>
      </w:r>
    </w:p>
    <w:p w14:paraId="6B3F7E09" w14:textId="7DA4D588" w:rsidR="00E27526" w:rsidRPr="00653A18" w:rsidRDefault="00E72489" w:rsidP="00E27526">
      <w:r>
        <w:t>ERP</w:t>
      </w:r>
      <w:r w:rsidR="00E27526" w:rsidRPr="00653A18">
        <w:t xml:space="preserve"> progress reporting will be provided to ELT on a </w:t>
      </w:r>
      <w:r w:rsidR="00F64A6D" w:rsidRPr="00653A18">
        <w:t>six-monthly</w:t>
      </w:r>
      <w:r w:rsidR="00E27526" w:rsidRPr="00653A18">
        <w:t xml:space="preserve"> basis to support identification of where further focused support is needed to implement outcomes. </w:t>
      </w:r>
    </w:p>
    <w:p w14:paraId="012748F4" w14:textId="47D09054" w:rsidR="009F6890" w:rsidRDefault="00E72489" w:rsidP="000A3C7E">
      <w:pPr>
        <w:pStyle w:val="Figure"/>
      </w:pPr>
      <w:bookmarkStart w:id="23" w:name="_Toc198286786"/>
      <w:r>
        <w:t xml:space="preserve">Table </w:t>
      </w:r>
      <w:r>
        <w:fldChar w:fldCharType="begin"/>
      </w:r>
      <w:r>
        <w:instrText xml:space="preserve"> SEQ Table \* ARABIC </w:instrText>
      </w:r>
      <w:r>
        <w:fldChar w:fldCharType="separate"/>
      </w:r>
      <w:r w:rsidR="008B20C4">
        <w:rPr>
          <w:noProof/>
        </w:rPr>
        <w:t>4</w:t>
      </w:r>
      <w:r>
        <w:fldChar w:fldCharType="end"/>
      </w:r>
      <w:r>
        <w:t xml:space="preserve"> </w:t>
      </w:r>
      <w:r w:rsidRPr="00EB0ABF">
        <w:t>Monitoring and reporting actions</w:t>
      </w:r>
      <w:bookmarkEnd w:id="23"/>
    </w:p>
    <w:tbl>
      <w:tblPr>
        <w:tblStyle w:val="TeWhatuOra"/>
        <w:tblW w:w="5000" w:type="pct"/>
        <w:tblLook w:val="04A0" w:firstRow="1" w:lastRow="0" w:firstColumn="1" w:lastColumn="0" w:noHBand="0" w:noVBand="1"/>
      </w:tblPr>
      <w:tblGrid>
        <w:gridCol w:w="904"/>
        <w:gridCol w:w="2732"/>
        <w:gridCol w:w="2388"/>
        <w:gridCol w:w="1907"/>
        <w:gridCol w:w="1707"/>
      </w:tblGrid>
      <w:tr w:rsidR="009A434A" w:rsidRPr="00653A18" w14:paraId="54D28A3B" w14:textId="77777777" w:rsidTr="000A3C7E">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913" w:type="dxa"/>
          </w:tcPr>
          <w:p w14:paraId="5B265F14" w14:textId="4527D802" w:rsidR="009F6890" w:rsidRPr="00653A18" w:rsidRDefault="009F6890">
            <w:pPr>
              <w:spacing w:before="0" w:after="160" w:line="259" w:lineRule="auto"/>
            </w:pPr>
            <w:r>
              <w:t>Ref</w:t>
            </w:r>
          </w:p>
        </w:tc>
        <w:tc>
          <w:tcPr>
            <w:tcW w:w="2773" w:type="dxa"/>
          </w:tcPr>
          <w:p w14:paraId="6A1A6312" w14:textId="77777777" w:rsidR="009F6890" w:rsidRPr="00653A18" w:rsidRDefault="009F6890">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2410" w:type="dxa"/>
          </w:tcPr>
          <w:p w14:paraId="1157A8EC" w14:textId="77777777" w:rsidR="009F6890" w:rsidRPr="00653A18" w:rsidRDefault="009F6890">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911" w:type="dxa"/>
          </w:tcPr>
          <w:p w14:paraId="6AF8111E" w14:textId="77777777" w:rsidR="009F6890" w:rsidRDefault="009F6890">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1723" w:type="dxa"/>
          </w:tcPr>
          <w:p w14:paraId="49B58C42" w14:textId="77777777" w:rsidR="009F6890" w:rsidRDefault="009F6890">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9A434A" w:rsidRPr="00653A18" w14:paraId="06199D7A" w14:textId="77777777" w:rsidTr="000A3C7E">
        <w:trPr>
          <w:cantSplit/>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2C0DD380" w14:textId="7ACCEE72" w:rsidR="009F6890" w:rsidRPr="003961EB" w:rsidRDefault="009F6890" w:rsidP="00BD66DC">
            <w:pPr>
              <w:spacing w:before="0" w:after="160" w:line="259" w:lineRule="auto"/>
              <w:rPr>
                <w:b w:val="0"/>
                <w:bCs/>
              </w:rPr>
            </w:pPr>
            <w:r>
              <w:rPr>
                <w:b w:val="0"/>
                <w:bCs/>
              </w:rPr>
              <w:t>M</w:t>
            </w:r>
            <w:r w:rsidR="009F08EA">
              <w:rPr>
                <w:b w:val="0"/>
                <w:bCs/>
              </w:rPr>
              <w:t>R</w:t>
            </w:r>
            <w:r>
              <w:rPr>
                <w:b w:val="0"/>
                <w:bCs/>
              </w:rPr>
              <w:t>1</w:t>
            </w:r>
          </w:p>
        </w:tc>
        <w:tc>
          <w:tcPr>
            <w:tcW w:w="0" w:type="dxa"/>
            <w:vAlign w:val="center"/>
          </w:tcPr>
          <w:p w14:paraId="297795B7" w14:textId="5F9DB170" w:rsidR="009F6890" w:rsidRPr="003961EB" w:rsidRDefault="00E32D06"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t>Prepare</w:t>
            </w:r>
            <w:r w:rsidR="00972D52">
              <w:t>, audit</w:t>
            </w:r>
            <w:r>
              <w:t xml:space="preserve"> </w:t>
            </w:r>
            <w:r w:rsidR="00316105">
              <w:t xml:space="preserve">and publish </w:t>
            </w:r>
            <w:r>
              <w:t>an annual emi</w:t>
            </w:r>
            <w:r w:rsidR="007A45BC">
              <w:t>ssions inventory</w:t>
            </w:r>
            <w:r w:rsidR="0087399F">
              <w:t xml:space="preserve"> for H</w:t>
            </w:r>
            <w:r w:rsidR="00A5687C">
              <w:t xml:space="preserve">ealth </w:t>
            </w:r>
            <w:r w:rsidR="0087399F">
              <w:t>NZ</w:t>
            </w:r>
          </w:p>
        </w:tc>
        <w:tc>
          <w:tcPr>
            <w:tcW w:w="0" w:type="dxa"/>
            <w:vAlign w:val="center"/>
          </w:tcPr>
          <w:p w14:paraId="6BB75A81" w14:textId="562E2056" w:rsidR="009F6890" w:rsidRPr="003961EB" w:rsidRDefault="00A5687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t xml:space="preserve">Track </w:t>
            </w:r>
            <w:r w:rsidR="002D0C9B">
              <w:t xml:space="preserve">projected modelled emissions against actual </w:t>
            </w:r>
            <w:r w:rsidR="006B4086">
              <w:t>emissions</w:t>
            </w:r>
            <w:r w:rsidR="00C57022">
              <w:t>.</w:t>
            </w:r>
          </w:p>
        </w:tc>
        <w:tc>
          <w:tcPr>
            <w:tcW w:w="0" w:type="dxa"/>
            <w:vAlign w:val="center"/>
          </w:tcPr>
          <w:p w14:paraId="7417FC93" w14:textId="320E82E1" w:rsidR="009F6890" w:rsidRPr="00653A18" w:rsidRDefault="009F6890">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w:t>
            </w:r>
          </w:p>
        </w:tc>
        <w:tc>
          <w:tcPr>
            <w:tcW w:w="0" w:type="dxa"/>
            <w:vAlign w:val="center"/>
          </w:tcPr>
          <w:p w14:paraId="57417B07" w14:textId="48234E25" w:rsidR="009F6890" w:rsidRPr="00653A18" w:rsidRDefault="00D55DBA">
            <w:pPr>
              <w:spacing w:before="0" w:after="160" w:line="259" w:lineRule="auto"/>
              <w:cnfStyle w:val="000000000000" w:firstRow="0" w:lastRow="0" w:firstColumn="0" w:lastColumn="0" w:oddVBand="0" w:evenVBand="0" w:oddHBand="0" w:evenHBand="0" w:firstRowFirstColumn="0" w:firstRowLastColumn="0" w:lastRowFirstColumn="0" w:lastRowLastColumn="0"/>
            </w:pPr>
            <w:r>
              <w:t>December</w:t>
            </w:r>
            <w:r w:rsidR="00041A46">
              <w:t xml:space="preserve"> (</w:t>
            </w:r>
            <w:r w:rsidR="006B4086">
              <w:t>Annually</w:t>
            </w:r>
            <w:r w:rsidR="00041A46">
              <w:t>)</w:t>
            </w:r>
          </w:p>
        </w:tc>
      </w:tr>
      <w:tr w:rsidR="009A434A" w:rsidRPr="00653A18" w14:paraId="5F498CD3" w14:textId="77777777" w:rsidTr="000A3C7E">
        <w:trPr>
          <w:cantSplit/>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23BAF067" w14:textId="77777777" w:rsidR="00086539" w:rsidRDefault="00086539" w:rsidP="00BD66DC">
            <w:pPr>
              <w:spacing w:before="0" w:after="160" w:line="259" w:lineRule="auto"/>
              <w:rPr>
                <w:b w:val="0"/>
                <w:bCs/>
              </w:rPr>
            </w:pPr>
            <w:r>
              <w:rPr>
                <w:b w:val="0"/>
                <w:bCs/>
              </w:rPr>
              <w:t>MR2</w:t>
            </w:r>
          </w:p>
        </w:tc>
        <w:tc>
          <w:tcPr>
            <w:tcW w:w="0" w:type="dxa"/>
            <w:vAlign w:val="center"/>
          </w:tcPr>
          <w:p w14:paraId="55A55BA9" w14:textId="2A809F45" w:rsidR="00086539" w:rsidRDefault="00086539" w:rsidP="00BD66DC">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Prepare and publish </w:t>
            </w:r>
            <w:r w:rsidR="00EE4F3D">
              <w:t>Q</w:t>
            </w:r>
            <w:r>
              <w:t>uarterly Sustainability Report</w:t>
            </w:r>
            <w:r w:rsidR="000F3EAB">
              <w:t>s</w:t>
            </w:r>
            <w:r>
              <w:t xml:space="preserve"> for Health NZ incorporating emissions data</w:t>
            </w:r>
          </w:p>
        </w:tc>
        <w:tc>
          <w:tcPr>
            <w:tcW w:w="0" w:type="dxa"/>
            <w:vAlign w:val="center"/>
          </w:tcPr>
          <w:p w14:paraId="43BA3DBB" w14:textId="6C460B58" w:rsidR="00086539" w:rsidRDefault="00086539">
            <w:pPr>
              <w:spacing w:before="0" w:after="160" w:line="259" w:lineRule="auto"/>
              <w:cnfStyle w:val="000000000000" w:firstRow="0" w:lastRow="0" w:firstColumn="0" w:lastColumn="0" w:oddVBand="0" w:evenVBand="0" w:oddHBand="0" w:evenHBand="0" w:firstRowFirstColumn="0" w:firstRowLastColumn="0" w:lastRowFirstColumn="0" w:lastRowLastColumn="0"/>
            </w:pPr>
            <w:r>
              <w:t>Report in-year progress on emissions reduction</w:t>
            </w:r>
            <w:r w:rsidR="00C57022">
              <w:t>.</w:t>
            </w:r>
            <w:r>
              <w:t xml:space="preserve"> </w:t>
            </w:r>
          </w:p>
        </w:tc>
        <w:tc>
          <w:tcPr>
            <w:tcW w:w="0" w:type="dxa"/>
            <w:vAlign w:val="center"/>
          </w:tcPr>
          <w:p w14:paraId="5ADF18E2" w14:textId="77777777" w:rsidR="00086539" w:rsidRDefault="00086539">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w:t>
            </w:r>
          </w:p>
        </w:tc>
        <w:tc>
          <w:tcPr>
            <w:tcW w:w="0" w:type="dxa"/>
            <w:vAlign w:val="center"/>
          </w:tcPr>
          <w:p w14:paraId="3BCA69CC" w14:textId="77777777" w:rsidR="00086539" w:rsidRDefault="00086539">
            <w:pPr>
              <w:spacing w:before="0" w:after="160" w:line="259" w:lineRule="auto"/>
              <w:cnfStyle w:val="000000000000" w:firstRow="0" w:lastRow="0" w:firstColumn="0" w:lastColumn="0" w:oddVBand="0" w:evenVBand="0" w:oddHBand="0" w:evenHBand="0" w:firstRowFirstColumn="0" w:firstRowLastColumn="0" w:lastRowFirstColumn="0" w:lastRowLastColumn="0"/>
            </w:pPr>
            <w:r>
              <w:t>Quarterly</w:t>
            </w:r>
          </w:p>
        </w:tc>
      </w:tr>
      <w:tr w:rsidR="009A434A" w:rsidRPr="00653A18" w14:paraId="77084ADE" w14:textId="77777777" w:rsidTr="000A3C7E">
        <w:trPr>
          <w:cantSplit/>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25ED9B3D" w14:textId="77777777" w:rsidR="00EA6577" w:rsidRDefault="00EA6577" w:rsidP="00BD66DC">
            <w:pPr>
              <w:spacing w:before="0" w:after="160" w:line="259" w:lineRule="auto"/>
              <w:rPr>
                <w:b w:val="0"/>
                <w:bCs/>
              </w:rPr>
            </w:pPr>
            <w:r>
              <w:rPr>
                <w:b w:val="0"/>
                <w:bCs/>
              </w:rPr>
              <w:t>MR3</w:t>
            </w:r>
          </w:p>
        </w:tc>
        <w:tc>
          <w:tcPr>
            <w:tcW w:w="0" w:type="dxa"/>
            <w:vAlign w:val="center"/>
          </w:tcPr>
          <w:p w14:paraId="27693373" w14:textId="77777777" w:rsidR="00EA6577" w:rsidRDefault="00EA6577" w:rsidP="00BD66DC">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Establish project-specific governance and monitoring arrangements with respective business units </w:t>
            </w:r>
          </w:p>
        </w:tc>
        <w:tc>
          <w:tcPr>
            <w:tcW w:w="0" w:type="dxa"/>
            <w:vAlign w:val="center"/>
          </w:tcPr>
          <w:p w14:paraId="09E796C7" w14:textId="0B26D856" w:rsidR="00EA6577" w:rsidRDefault="00EA6577">
            <w:pPr>
              <w:spacing w:before="0" w:after="160" w:line="259" w:lineRule="auto"/>
              <w:cnfStyle w:val="000000000000" w:firstRow="0" w:lastRow="0" w:firstColumn="0" w:lastColumn="0" w:oddVBand="0" w:evenVBand="0" w:oddHBand="0" w:evenHBand="0" w:firstRowFirstColumn="0" w:firstRowLastColumn="0" w:lastRowFirstColumn="0" w:lastRowLastColumn="0"/>
            </w:pPr>
            <w:r>
              <w:t>Clear and agreed implementation responsibilities</w:t>
            </w:r>
            <w:r w:rsidR="00C57022">
              <w:t>.</w:t>
            </w:r>
          </w:p>
        </w:tc>
        <w:tc>
          <w:tcPr>
            <w:tcW w:w="0" w:type="dxa"/>
            <w:vAlign w:val="center"/>
          </w:tcPr>
          <w:p w14:paraId="148FF529" w14:textId="77777777" w:rsidR="00EA6577" w:rsidRDefault="00EA6577">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w:t>
            </w:r>
          </w:p>
        </w:tc>
        <w:tc>
          <w:tcPr>
            <w:tcW w:w="0" w:type="dxa"/>
            <w:vAlign w:val="center"/>
          </w:tcPr>
          <w:p w14:paraId="71BCE774" w14:textId="3DC701BE" w:rsidR="00EA6577" w:rsidRDefault="00391D53">
            <w:pPr>
              <w:spacing w:before="0" w:after="160" w:line="259" w:lineRule="auto"/>
              <w:cnfStyle w:val="000000000000" w:firstRow="0" w:lastRow="0" w:firstColumn="0" w:lastColumn="0" w:oddVBand="0" w:evenVBand="0" w:oddHBand="0" w:evenHBand="0" w:firstRowFirstColumn="0" w:firstRowLastColumn="0" w:lastRowFirstColumn="0" w:lastRowLastColumn="0"/>
            </w:pPr>
            <w:r>
              <w:t>J</w:t>
            </w:r>
            <w:r w:rsidR="00E04C13">
              <w:t>uly</w:t>
            </w:r>
            <w:r>
              <w:t xml:space="preserve"> </w:t>
            </w:r>
            <w:r w:rsidR="00EA6577">
              <w:t>2025</w:t>
            </w:r>
          </w:p>
        </w:tc>
      </w:tr>
      <w:tr w:rsidR="009A434A" w:rsidRPr="00653A18" w14:paraId="12F58DCC" w14:textId="77777777" w:rsidTr="000A3C7E">
        <w:trPr>
          <w:cantSplit/>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142D1F10" w14:textId="11E51324" w:rsidR="00EA6577" w:rsidRDefault="00EA6577" w:rsidP="00BD66DC">
            <w:pPr>
              <w:spacing w:before="0" w:after="160" w:line="259" w:lineRule="auto"/>
              <w:rPr>
                <w:b w:val="0"/>
                <w:bCs/>
              </w:rPr>
            </w:pPr>
            <w:r>
              <w:rPr>
                <w:b w:val="0"/>
                <w:bCs/>
              </w:rPr>
              <w:t>MR4</w:t>
            </w:r>
          </w:p>
        </w:tc>
        <w:tc>
          <w:tcPr>
            <w:tcW w:w="0" w:type="dxa"/>
            <w:vAlign w:val="center"/>
          </w:tcPr>
          <w:p w14:paraId="220D5865" w14:textId="2DFCB320" w:rsidR="00EA6577" w:rsidRDefault="00F934A6" w:rsidP="00BD66DC">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Prepare </w:t>
            </w:r>
            <w:r w:rsidR="00F4626D">
              <w:t>six-monthly ERP progress reports for ELT</w:t>
            </w:r>
            <w:r w:rsidR="00EA6577">
              <w:t xml:space="preserve"> </w:t>
            </w:r>
          </w:p>
        </w:tc>
        <w:tc>
          <w:tcPr>
            <w:tcW w:w="0" w:type="dxa"/>
            <w:vAlign w:val="center"/>
          </w:tcPr>
          <w:p w14:paraId="7504DB47" w14:textId="291E4F1B" w:rsidR="00EA6577" w:rsidRDefault="009A434A">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Effective programme delivery </w:t>
            </w:r>
            <w:r w:rsidR="007A5287">
              <w:t>and remedial action</w:t>
            </w:r>
            <w:r w:rsidR="00C57022">
              <w:t>.</w:t>
            </w:r>
          </w:p>
        </w:tc>
        <w:tc>
          <w:tcPr>
            <w:tcW w:w="0" w:type="dxa"/>
            <w:vAlign w:val="center"/>
          </w:tcPr>
          <w:p w14:paraId="565D22A9" w14:textId="77777777" w:rsidR="00EA6577" w:rsidRDefault="00EA6577">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w:t>
            </w:r>
          </w:p>
        </w:tc>
        <w:tc>
          <w:tcPr>
            <w:tcW w:w="0" w:type="dxa"/>
            <w:vAlign w:val="center"/>
          </w:tcPr>
          <w:p w14:paraId="4E078E93" w14:textId="786A616F" w:rsidR="00EA6577" w:rsidRDefault="002178C4">
            <w:pPr>
              <w:spacing w:before="0" w:after="160" w:line="259" w:lineRule="auto"/>
              <w:cnfStyle w:val="000000000000" w:firstRow="0" w:lastRow="0" w:firstColumn="0" w:lastColumn="0" w:oddVBand="0" w:evenVBand="0" w:oddHBand="0" w:evenHBand="0" w:firstRowFirstColumn="0" w:firstRowLastColumn="0" w:lastRowFirstColumn="0" w:lastRowLastColumn="0"/>
            </w:pPr>
            <w:r>
              <w:t>Six monthly</w:t>
            </w:r>
          </w:p>
        </w:tc>
      </w:tr>
      <w:tr w:rsidR="009A434A" w:rsidRPr="00653A18" w14:paraId="0FE29C47" w14:textId="77777777" w:rsidTr="000A3C7E">
        <w:trPr>
          <w:cantSplit/>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714D9044" w14:textId="56D60B94" w:rsidR="00EA6577" w:rsidRDefault="00EA6577" w:rsidP="00BD66DC">
            <w:pPr>
              <w:spacing w:before="0" w:after="160" w:line="259" w:lineRule="auto"/>
              <w:rPr>
                <w:b w:val="0"/>
                <w:bCs/>
              </w:rPr>
            </w:pPr>
            <w:r>
              <w:rPr>
                <w:b w:val="0"/>
                <w:bCs/>
              </w:rPr>
              <w:t>MR</w:t>
            </w:r>
            <w:r w:rsidR="007F739E">
              <w:rPr>
                <w:b w:val="0"/>
                <w:bCs/>
              </w:rPr>
              <w:t>5</w:t>
            </w:r>
          </w:p>
        </w:tc>
        <w:tc>
          <w:tcPr>
            <w:tcW w:w="0" w:type="dxa"/>
            <w:vAlign w:val="center"/>
          </w:tcPr>
          <w:p w14:paraId="47A473A5" w14:textId="4E175AFB" w:rsidR="00EA6577" w:rsidRDefault="00FF5E1D" w:rsidP="00BD66DC">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Complete an annual ERP review to </w:t>
            </w:r>
            <w:r w:rsidR="00FD14EB">
              <w:t>determine if</w:t>
            </w:r>
            <w:r w:rsidR="00EE4F3D">
              <w:t xml:space="preserve"> an update to the</w:t>
            </w:r>
            <w:r w:rsidR="00FD14EB">
              <w:t xml:space="preserve"> ERP </w:t>
            </w:r>
            <w:r w:rsidR="00B26A16">
              <w:t>is required</w:t>
            </w:r>
            <w:r w:rsidR="00EE4F3D">
              <w:t>. And at least</w:t>
            </w:r>
            <w:r w:rsidR="00972D52">
              <w:t>,</w:t>
            </w:r>
            <w:r w:rsidR="00EE4F3D">
              <w:t xml:space="preserve"> develop a full updated ERP for the period 2027-30</w:t>
            </w:r>
          </w:p>
        </w:tc>
        <w:tc>
          <w:tcPr>
            <w:tcW w:w="0" w:type="dxa"/>
            <w:vAlign w:val="center"/>
          </w:tcPr>
          <w:p w14:paraId="0AF54CFF" w14:textId="25058236" w:rsidR="00EA6577" w:rsidRDefault="00161D5E">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ERP </w:t>
            </w:r>
            <w:r w:rsidR="007B3A4C">
              <w:t xml:space="preserve">emissions </w:t>
            </w:r>
            <w:r w:rsidR="007117E3">
              <w:t xml:space="preserve">reduction pathway </w:t>
            </w:r>
            <w:r w:rsidR="007B3A4C">
              <w:t xml:space="preserve">aligned to </w:t>
            </w:r>
            <w:r w:rsidR="007117E3">
              <w:t xml:space="preserve">agreed targets </w:t>
            </w:r>
            <w:r w:rsidR="007B3A4C">
              <w:t xml:space="preserve">and </w:t>
            </w:r>
            <w:r w:rsidR="00C81BEB">
              <w:t>national direction</w:t>
            </w:r>
            <w:r w:rsidR="00C57022">
              <w:t>.</w:t>
            </w:r>
          </w:p>
        </w:tc>
        <w:tc>
          <w:tcPr>
            <w:tcW w:w="0" w:type="dxa"/>
            <w:vAlign w:val="center"/>
          </w:tcPr>
          <w:p w14:paraId="7F97941F" w14:textId="77777777" w:rsidR="00EA6577" w:rsidRDefault="00EA6577">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w:t>
            </w:r>
          </w:p>
        </w:tc>
        <w:tc>
          <w:tcPr>
            <w:tcW w:w="0" w:type="dxa"/>
            <w:vAlign w:val="center"/>
          </w:tcPr>
          <w:p w14:paraId="7722C89E" w14:textId="077DFD65" w:rsidR="00EA6577" w:rsidRDefault="001A2F61">
            <w:pPr>
              <w:spacing w:before="0" w:after="160" w:line="259" w:lineRule="auto"/>
              <w:cnfStyle w:val="000000000000" w:firstRow="0" w:lastRow="0" w:firstColumn="0" w:lastColumn="0" w:oddVBand="0" w:evenVBand="0" w:oddHBand="0" w:evenHBand="0" w:firstRowFirstColumn="0" w:firstRowLastColumn="0" w:lastRowFirstColumn="0" w:lastRowLastColumn="0"/>
            </w:pPr>
            <w:r>
              <w:t>December</w:t>
            </w:r>
            <w:r w:rsidR="00626C5F">
              <w:t xml:space="preserve"> (</w:t>
            </w:r>
            <w:r w:rsidR="00EE4F3D">
              <w:t>Review a</w:t>
            </w:r>
            <w:r w:rsidR="00626C5F">
              <w:t>nnually)</w:t>
            </w:r>
          </w:p>
          <w:p w14:paraId="751A6005" w14:textId="10E785BB" w:rsidR="00EE4F3D" w:rsidRDefault="00EE4F3D">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ERP 2027-30 published in early 2027 </w:t>
            </w:r>
          </w:p>
        </w:tc>
      </w:tr>
      <w:tr w:rsidR="00A63AA6" w:rsidRPr="00653A18" w14:paraId="0A88FE74" w14:textId="77777777" w:rsidTr="000A3C7E">
        <w:trPr>
          <w:cantSplit/>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5320AB48" w14:textId="2911BEF2" w:rsidR="00A63AA6" w:rsidRPr="00A63AA6" w:rsidRDefault="00A63AA6" w:rsidP="00BD66DC">
            <w:pPr>
              <w:spacing w:before="0" w:after="160" w:line="259" w:lineRule="auto"/>
              <w:rPr>
                <w:b w:val="0"/>
              </w:rPr>
            </w:pPr>
            <w:r w:rsidRPr="00A63AA6">
              <w:rPr>
                <w:b w:val="0"/>
              </w:rPr>
              <w:lastRenderedPageBreak/>
              <w:t>MR6</w:t>
            </w:r>
          </w:p>
        </w:tc>
        <w:tc>
          <w:tcPr>
            <w:tcW w:w="0" w:type="dxa"/>
            <w:vAlign w:val="center"/>
          </w:tcPr>
          <w:p w14:paraId="2757D667" w14:textId="36EAD18E" w:rsidR="00A63AA6" w:rsidRDefault="00A63AA6" w:rsidP="00BD66DC">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Update and review every two years </w:t>
            </w:r>
            <w:r w:rsidRPr="00653A18">
              <w:t>Health NZ’s Emissions Reporting Framework</w:t>
            </w:r>
          </w:p>
        </w:tc>
        <w:tc>
          <w:tcPr>
            <w:tcW w:w="0" w:type="dxa"/>
            <w:vAlign w:val="center"/>
          </w:tcPr>
          <w:p w14:paraId="6FC900D0" w14:textId="5F2876A3" w:rsidR="00A63AA6" w:rsidRDefault="00A63AA6">
            <w:pPr>
              <w:spacing w:before="0" w:after="160" w:line="259" w:lineRule="auto"/>
              <w:cnfStyle w:val="000000000000" w:firstRow="0" w:lastRow="0" w:firstColumn="0" w:lastColumn="0" w:oddVBand="0" w:evenVBand="0" w:oddHBand="0" w:evenHBand="0" w:firstRowFirstColumn="0" w:firstRowLastColumn="0" w:lastRowFirstColumn="0" w:lastRowLastColumn="0"/>
            </w:pPr>
            <w:r>
              <w:t>Set timeframes for when ‘Footprint Plus’ emissions sources are estimated and</w:t>
            </w:r>
            <w:r w:rsidR="00581AF5">
              <w:t xml:space="preserve"> if included in Health NZ’s emissions inventory</w:t>
            </w:r>
            <w:r w:rsidR="00C57022">
              <w:t>.</w:t>
            </w:r>
          </w:p>
        </w:tc>
        <w:tc>
          <w:tcPr>
            <w:tcW w:w="0" w:type="dxa"/>
            <w:vAlign w:val="center"/>
          </w:tcPr>
          <w:p w14:paraId="0D310BC6" w14:textId="1CFEC8B0" w:rsidR="00A63AA6" w:rsidRDefault="00581AF5">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w:t>
            </w:r>
          </w:p>
        </w:tc>
        <w:tc>
          <w:tcPr>
            <w:tcW w:w="0" w:type="dxa"/>
            <w:vAlign w:val="center"/>
          </w:tcPr>
          <w:p w14:paraId="2D9D6719" w14:textId="22224681" w:rsidR="00581AF5" w:rsidRDefault="00D42DE2">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October </w:t>
            </w:r>
            <w:r w:rsidR="00581AF5">
              <w:t xml:space="preserve">2025 </w:t>
            </w:r>
          </w:p>
        </w:tc>
      </w:tr>
    </w:tbl>
    <w:p w14:paraId="0FB37A2A" w14:textId="3B4DBF68" w:rsidR="006E1AF8" w:rsidRPr="00653A18" w:rsidRDefault="002047B3" w:rsidP="00C05445">
      <w:pPr>
        <w:pStyle w:val="Heading1"/>
      </w:pPr>
      <w:bookmarkStart w:id="24" w:name="_Toc204940764"/>
      <w:r w:rsidRPr="00653A18">
        <w:t>Strategic alignment</w:t>
      </w:r>
      <w:bookmarkEnd w:id="24"/>
      <w:r w:rsidRPr="00653A18">
        <w:t xml:space="preserve"> </w:t>
      </w:r>
    </w:p>
    <w:p w14:paraId="1DCF4D8F" w14:textId="772B671B" w:rsidR="00003E00" w:rsidRPr="00653A18" w:rsidRDefault="00003E00" w:rsidP="00707CDE">
      <w:pPr>
        <w:rPr>
          <w:lang w:eastAsia="en-NZ"/>
        </w:rPr>
      </w:pPr>
      <w:r w:rsidRPr="00653A18">
        <w:rPr>
          <w:lang w:eastAsia="en-NZ"/>
        </w:rPr>
        <w:t>Climate change is a public health issue and is widely regarded as the single biggest threat to, and opportunity for human health and wellbeing</w:t>
      </w:r>
      <w:r w:rsidRPr="00653A18">
        <w:rPr>
          <w:rStyle w:val="EndnoteReference"/>
          <w:rFonts w:eastAsia="Times New Roman"/>
          <w:color w:val="000000"/>
          <w:lang w:eastAsia="en-NZ"/>
        </w:rPr>
        <w:endnoteReference w:id="8"/>
      </w:r>
      <w:r w:rsidRPr="00653A18">
        <w:rPr>
          <w:lang w:eastAsia="en-NZ"/>
        </w:rPr>
        <w:t xml:space="preserve">. For this reason, creating a low emission and climate resilient publicly funded health system is critical. Low emissions outcomes must be viewed as a dimension of quality care. </w:t>
      </w:r>
    </w:p>
    <w:p w14:paraId="4F9E7820" w14:textId="0502B0AC" w:rsidR="00003E00" w:rsidRPr="00653A18" w:rsidRDefault="00463FB7" w:rsidP="00003E00">
      <w:pPr>
        <w:pStyle w:val="Heading2"/>
        <w:rPr>
          <w:rFonts w:eastAsia="Times New Roman"/>
          <w:lang w:eastAsia="en-NZ"/>
        </w:rPr>
      </w:pPr>
      <w:bookmarkStart w:id="25" w:name="_Toc204940765"/>
      <w:r>
        <w:rPr>
          <w:rFonts w:eastAsia="Times New Roman"/>
          <w:lang w:eastAsia="en-NZ"/>
        </w:rPr>
        <w:t>Drivers</w:t>
      </w:r>
      <w:bookmarkEnd w:id="25"/>
      <w:r>
        <w:rPr>
          <w:rFonts w:eastAsia="Times New Roman"/>
          <w:lang w:eastAsia="en-NZ"/>
        </w:rPr>
        <w:t xml:space="preserve"> </w:t>
      </w:r>
    </w:p>
    <w:p w14:paraId="23EEB585" w14:textId="414940BF" w:rsidR="00707CDE" w:rsidRDefault="00003E00" w:rsidP="00707CDE">
      <w:pPr>
        <w:rPr>
          <w:lang w:eastAsia="en-NZ"/>
        </w:rPr>
      </w:pPr>
      <w:r w:rsidRPr="00653A18">
        <w:rPr>
          <w:lang w:eastAsia="en-NZ"/>
        </w:rPr>
        <w:t xml:space="preserve">The need to reduce emissions and consider climate impacts through Health NZ’s strategic approach and decision making </w:t>
      </w:r>
      <w:r w:rsidR="002D4BC3">
        <w:rPr>
          <w:lang w:eastAsia="en-NZ"/>
        </w:rPr>
        <w:t xml:space="preserve">is </w:t>
      </w:r>
      <w:r w:rsidR="008C727E">
        <w:rPr>
          <w:lang w:eastAsia="en-NZ"/>
        </w:rPr>
        <w:t xml:space="preserve">highlighted in </w:t>
      </w:r>
      <w:r w:rsidR="008F3382">
        <w:rPr>
          <w:lang w:eastAsia="en-NZ"/>
        </w:rPr>
        <w:t>T</w:t>
      </w:r>
      <w:r w:rsidR="00B4557E">
        <w:rPr>
          <w:lang w:eastAsia="en-NZ"/>
        </w:rPr>
        <w:t xml:space="preserve">able </w:t>
      </w:r>
      <w:r w:rsidR="008F3382">
        <w:rPr>
          <w:lang w:eastAsia="en-NZ"/>
        </w:rPr>
        <w:t>5</w:t>
      </w:r>
      <w:r w:rsidR="000F0A40">
        <w:rPr>
          <w:lang w:eastAsia="en-NZ"/>
        </w:rPr>
        <w:t>.</w:t>
      </w:r>
    </w:p>
    <w:p w14:paraId="121506E1" w14:textId="59E59CC4" w:rsidR="00B4557E" w:rsidRDefault="000F0A40" w:rsidP="00C175FC">
      <w:pPr>
        <w:pStyle w:val="Figure"/>
      </w:pPr>
      <w:bookmarkStart w:id="26" w:name="_Toc198286787"/>
      <w:r>
        <w:t xml:space="preserve">Table </w:t>
      </w:r>
      <w:r>
        <w:fldChar w:fldCharType="begin"/>
      </w:r>
      <w:r>
        <w:instrText xml:space="preserve"> SEQ Table \* ARABIC </w:instrText>
      </w:r>
      <w:r>
        <w:fldChar w:fldCharType="separate"/>
      </w:r>
      <w:r w:rsidR="008B20C4">
        <w:rPr>
          <w:noProof/>
        </w:rPr>
        <w:t>5</w:t>
      </w:r>
      <w:r>
        <w:fldChar w:fldCharType="end"/>
      </w:r>
      <w:r>
        <w:t xml:space="preserve"> </w:t>
      </w:r>
      <w:r w:rsidR="00283CC5">
        <w:t>S</w:t>
      </w:r>
      <w:r>
        <w:t>trategic drivers for emissions reduction</w:t>
      </w:r>
      <w:bookmarkEnd w:id="26"/>
      <w:r>
        <w:t xml:space="preserve"> </w:t>
      </w:r>
    </w:p>
    <w:tbl>
      <w:tblPr>
        <w:tblStyle w:val="TeWhatuOra"/>
        <w:tblW w:w="0" w:type="auto"/>
        <w:tblLook w:val="04A0" w:firstRow="1" w:lastRow="0" w:firstColumn="1" w:lastColumn="0" w:noHBand="0" w:noVBand="1"/>
      </w:tblPr>
      <w:tblGrid>
        <w:gridCol w:w="1843"/>
        <w:gridCol w:w="7785"/>
      </w:tblGrid>
      <w:tr w:rsidR="0001217F" w14:paraId="5B8C2BAB" w14:textId="77777777" w:rsidTr="001C07A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43" w:type="dxa"/>
          </w:tcPr>
          <w:p w14:paraId="1B912D75" w14:textId="668F9AD8" w:rsidR="0001217F" w:rsidRDefault="0001217F" w:rsidP="00707CDE">
            <w:pPr>
              <w:rPr>
                <w:lang w:eastAsia="en-NZ"/>
              </w:rPr>
            </w:pPr>
            <w:r>
              <w:rPr>
                <w:lang w:eastAsia="en-NZ"/>
              </w:rPr>
              <w:t>Driver</w:t>
            </w:r>
          </w:p>
        </w:tc>
        <w:tc>
          <w:tcPr>
            <w:tcW w:w="7785" w:type="dxa"/>
          </w:tcPr>
          <w:p w14:paraId="2B89ABAF" w14:textId="368EA429" w:rsidR="0001217F" w:rsidRDefault="0001217F" w:rsidP="00707CDE">
            <w:pPr>
              <w:cnfStyle w:val="100000000000" w:firstRow="1" w:lastRow="0" w:firstColumn="0" w:lastColumn="0" w:oddVBand="0" w:evenVBand="0" w:oddHBand="0" w:evenHBand="0" w:firstRowFirstColumn="0" w:firstRowLastColumn="0" w:lastRowFirstColumn="0" w:lastRowLastColumn="0"/>
              <w:rPr>
                <w:lang w:eastAsia="en-NZ"/>
              </w:rPr>
            </w:pPr>
            <w:r>
              <w:rPr>
                <w:lang w:eastAsia="en-NZ"/>
              </w:rPr>
              <w:t xml:space="preserve">Description </w:t>
            </w:r>
          </w:p>
        </w:tc>
      </w:tr>
      <w:tr w:rsidR="0001217F" w14:paraId="03D6D56D" w14:textId="77777777" w:rsidTr="001C07AD">
        <w:trPr>
          <w:cantSplit/>
        </w:trPr>
        <w:tc>
          <w:tcPr>
            <w:cnfStyle w:val="001000000000" w:firstRow="0" w:lastRow="0" w:firstColumn="1" w:lastColumn="0" w:oddVBand="0" w:evenVBand="0" w:oddHBand="0" w:evenHBand="0" w:firstRowFirstColumn="0" w:firstRowLastColumn="0" w:lastRowFirstColumn="0" w:lastRowLastColumn="0"/>
            <w:tcW w:w="1843" w:type="dxa"/>
          </w:tcPr>
          <w:p w14:paraId="2B7429D2" w14:textId="01DE887E" w:rsidR="0001217F" w:rsidRDefault="0001217F" w:rsidP="00707CDE">
            <w:pPr>
              <w:rPr>
                <w:lang w:eastAsia="en-NZ"/>
              </w:rPr>
            </w:pPr>
            <w:r w:rsidRPr="00653A18">
              <w:t>Pae Ora (Health Futures) Act</w:t>
            </w:r>
            <w:r w:rsidRPr="00653A18">
              <w:rPr>
                <w:rStyle w:val="EndnoteReference"/>
              </w:rPr>
              <w:endnoteReference w:id="9"/>
            </w:r>
          </w:p>
        </w:tc>
        <w:tc>
          <w:tcPr>
            <w:tcW w:w="7785" w:type="dxa"/>
          </w:tcPr>
          <w:p w14:paraId="227529F1" w14:textId="50550662" w:rsidR="0001217F" w:rsidRDefault="0001217F" w:rsidP="00A30EA7">
            <w:pPr>
              <w:pStyle w:val="TableText"/>
              <w:cnfStyle w:val="000000000000" w:firstRow="0" w:lastRow="0" w:firstColumn="0" w:lastColumn="0" w:oddVBand="0" w:evenVBand="0" w:oddHBand="0" w:evenHBand="0" w:firstRowFirstColumn="0" w:firstRowLastColumn="0" w:lastRowFirstColumn="0" w:lastRowLastColumn="0"/>
              <w:rPr>
                <w:lang w:eastAsia="en-NZ"/>
              </w:rPr>
            </w:pPr>
            <w:r>
              <w:t xml:space="preserve">The </w:t>
            </w:r>
            <w:r w:rsidR="008C727E">
              <w:t>Pae Ora</w:t>
            </w:r>
            <w:r>
              <w:t xml:space="preserve"> </w:t>
            </w:r>
            <w:r w:rsidR="00E65CA7" w:rsidRPr="00653A18">
              <w:t xml:space="preserve">(Health Futures) </w:t>
            </w:r>
            <w:r>
              <w:t xml:space="preserve">Act </w:t>
            </w:r>
            <w:r w:rsidRPr="00653A18">
              <w:t>sets out the importance of the health sector protecting and promoting people’s health and wellbeing, including by adopting population health approaches that prevent, reduce, or delay the onset of health needs; as well as by undertaking promotional and preventative measures to address the wider determinants of health, including climate change, that adversely affect people’s health. Health NZ reducing its own emissions, working collaboratively and provid</w:t>
            </w:r>
            <w:r w:rsidR="00751665">
              <w:t>ing</w:t>
            </w:r>
            <w:r w:rsidRPr="00653A18">
              <w:t xml:space="preserve"> a path for others to do the same all supports better health outcomes for New Zealanders. </w:t>
            </w:r>
          </w:p>
        </w:tc>
      </w:tr>
      <w:tr w:rsidR="0001217F" w14:paraId="694086B2" w14:textId="77777777" w:rsidTr="001C07AD">
        <w:trPr>
          <w:cantSplit/>
        </w:trPr>
        <w:tc>
          <w:tcPr>
            <w:cnfStyle w:val="001000000000" w:firstRow="0" w:lastRow="0" w:firstColumn="1" w:lastColumn="0" w:oddVBand="0" w:evenVBand="0" w:oddHBand="0" w:evenHBand="0" w:firstRowFirstColumn="0" w:firstRowLastColumn="0" w:lastRowFirstColumn="0" w:lastRowLastColumn="0"/>
            <w:tcW w:w="1843" w:type="dxa"/>
          </w:tcPr>
          <w:p w14:paraId="63C66607" w14:textId="17F7EDDC" w:rsidR="0001217F" w:rsidRDefault="0001217F" w:rsidP="00707CDE">
            <w:pPr>
              <w:rPr>
                <w:lang w:eastAsia="en-NZ"/>
              </w:rPr>
            </w:pPr>
            <w:r w:rsidRPr="0DC0D649">
              <w:lastRenderedPageBreak/>
              <w:t>Government Policy Statement on Health 2024-2027</w:t>
            </w:r>
            <w:r>
              <w:t xml:space="preserve"> (GPS)</w:t>
            </w:r>
          </w:p>
        </w:tc>
        <w:tc>
          <w:tcPr>
            <w:tcW w:w="7785" w:type="dxa"/>
          </w:tcPr>
          <w:p w14:paraId="4D44F38F" w14:textId="7588BD0A" w:rsidR="0001217F" w:rsidRPr="004247C3" w:rsidRDefault="0001217F" w:rsidP="00A30EA7">
            <w:pPr>
              <w:pStyle w:val="TableText"/>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 w:val="17"/>
                <w:szCs w:val="17"/>
              </w:rPr>
            </w:pPr>
            <w:r>
              <w:t xml:space="preserve">The GPS </w:t>
            </w:r>
            <w:r w:rsidRPr="0DC0D649">
              <w:t>states the importance of prevention and responding to the broader determinants of health with specific reference to climate change and “ensuring we have a sustainable and resilient health system”</w:t>
            </w:r>
            <w:r w:rsidRPr="0DC0D649">
              <w:rPr>
                <w:rStyle w:val="EndnoteReference"/>
              </w:rPr>
              <w:endnoteReference w:id="10"/>
            </w:r>
            <w:r w:rsidRPr="0DC0D649">
              <w:t>. It refers to a particular focus on “accelerating action to address five non-communicable diseases: cancer, cardiovascular disease, respiratory disease, diabetes and poor mental health”. Cardiovascular disease, respiratory diseases and poor mental health are all linked to the impacts of climate change.</w:t>
            </w:r>
            <w:r w:rsidRPr="0DC0D649">
              <w:rPr>
                <w:rFonts w:asciiTheme="minorHAnsi" w:eastAsiaTheme="minorEastAsia" w:hAnsiTheme="minorHAnsi"/>
              </w:rPr>
              <w:t xml:space="preserve">  </w:t>
            </w:r>
          </w:p>
        </w:tc>
      </w:tr>
      <w:tr w:rsidR="0001217F" w14:paraId="1849FFB9" w14:textId="77777777" w:rsidTr="001C07AD">
        <w:trPr>
          <w:cantSplit/>
        </w:trPr>
        <w:tc>
          <w:tcPr>
            <w:cnfStyle w:val="001000000000" w:firstRow="0" w:lastRow="0" w:firstColumn="1" w:lastColumn="0" w:oddVBand="0" w:evenVBand="0" w:oddHBand="0" w:evenHBand="0" w:firstRowFirstColumn="0" w:firstRowLastColumn="0" w:lastRowFirstColumn="0" w:lastRowLastColumn="0"/>
            <w:tcW w:w="1843" w:type="dxa"/>
          </w:tcPr>
          <w:p w14:paraId="6B7C3B05" w14:textId="35087653" w:rsidR="0001217F" w:rsidRPr="00923117" w:rsidRDefault="0001217F" w:rsidP="00707CDE">
            <w:pPr>
              <w:rPr>
                <w:lang w:eastAsia="en-NZ"/>
              </w:rPr>
            </w:pPr>
            <w:r w:rsidRPr="00923117">
              <w:t>New Zealand Health Plan</w:t>
            </w:r>
            <w:r w:rsidR="00276D73" w:rsidRPr="00923117">
              <w:t>s</w:t>
            </w:r>
            <w:r w:rsidRPr="00923117">
              <w:t xml:space="preserve"> </w:t>
            </w:r>
          </w:p>
        </w:tc>
        <w:tc>
          <w:tcPr>
            <w:tcW w:w="7785" w:type="dxa"/>
          </w:tcPr>
          <w:p w14:paraId="17F11F49" w14:textId="68A63241" w:rsidR="0001217F" w:rsidRPr="00923117" w:rsidRDefault="00276D73" w:rsidP="0041543D">
            <w:pPr>
              <w:pStyle w:val="TableText"/>
              <w:spacing w:before="100" w:after="100"/>
              <w:cnfStyle w:val="000000000000" w:firstRow="0" w:lastRow="0" w:firstColumn="0" w:lastColumn="0" w:oddVBand="0" w:evenVBand="0" w:oddHBand="0" w:evenHBand="0" w:firstRowFirstColumn="0" w:firstRowLastColumn="0" w:lastRowFirstColumn="0" w:lastRowLastColumn="0"/>
              <w:rPr>
                <w:lang w:eastAsia="en-NZ"/>
              </w:rPr>
            </w:pPr>
            <w:r w:rsidRPr="00923117">
              <w:t xml:space="preserve">The New Zealand Heath Plan is refreshed </w:t>
            </w:r>
            <w:r w:rsidR="00971E9F">
              <w:t>ev</w:t>
            </w:r>
            <w:r w:rsidRPr="00923117">
              <w:t>ery 2-3</w:t>
            </w:r>
            <w:r w:rsidR="00971E9F">
              <w:t xml:space="preserve"> </w:t>
            </w:r>
            <w:r w:rsidRPr="00923117">
              <w:t xml:space="preserve">years and is a </w:t>
            </w:r>
            <w:r w:rsidR="00864ABC" w:rsidRPr="00923117">
              <w:t>multi</w:t>
            </w:r>
            <w:r w:rsidRPr="00923117">
              <w:t xml:space="preserve">year </w:t>
            </w:r>
            <w:r w:rsidR="00864ABC" w:rsidRPr="00923117">
              <w:t>document that</w:t>
            </w:r>
            <w:r w:rsidR="00CA5F34" w:rsidRPr="00923117">
              <w:t xml:space="preserve"> </w:t>
            </w:r>
            <w:r w:rsidR="0001217F" w:rsidRPr="00923117">
              <w:t xml:space="preserve">sets </w:t>
            </w:r>
            <w:r w:rsidR="00CB5ED0" w:rsidRPr="00923117">
              <w:t>out</w:t>
            </w:r>
            <w:r w:rsidR="0001217F" w:rsidRPr="00923117">
              <w:t xml:space="preserve"> key aspects of Health NZ’s approach to health promotion and illness prevention </w:t>
            </w:r>
            <w:r w:rsidR="008A09F8">
              <w:t>which</w:t>
            </w:r>
            <w:r w:rsidR="00754CD5" w:rsidRPr="00923117">
              <w:t xml:space="preserve"> has the opportunity to reduce our emissions. The plan also sets out principles for</w:t>
            </w:r>
            <w:r w:rsidR="0001217F" w:rsidRPr="00923117">
              <w:t xml:space="preserve"> timely access to quality care</w:t>
            </w:r>
            <w:r w:rsidR="00972911" w:rsidRPr="00923117">
              <w:t>. D</w:t>
            </w:r>
            <w:r w:rsidR="0001217F" w:rsidRPr="00923117">
              <w:t xml:space="preserve">oing this right and </w:t>
            </w:r>
            <w:r w:rsidR="00972911" w:rsidRPr="00923117">
              <w:t xml:space="preserve">on a </w:t>
            </w:r>
            <w:r w:rsidR="0001217F" w:rsidRPr="00923117">
              <w:t xml:space="preserve">timely </w:t>
            </w:r>
            <w:r w:rsidR="00972911" w:rsidRPr="00923117">
              <w:t xml:space="preserve">basis </w:t>
            </w:r>
            <w:r w:rsidR="0013503D" w:rsidRPr="00923117">
              <w:t xml:space="preserve">provide an opportunity to </w:t>
            </w:r>
            <w:r w:rsidR="00754CD5" w:rsidRPr="00923117">
              <w:t xml:space="preserve">at least delay if not </w:t>
            </w:r>
            <w:r w:rsidR="0001217F" w:rsidRPr="00923117">
              <w:t xml:space="preserve">reduce emissions. The Health Plan also sets </w:t>
            </w:r>
            <w:r w:rsidR="00CA5F34" w:rsidRPr="00923117">
              <w:t xml:space="preserve">out </w:t>
            </w:r>
            <w:r w:rsidR="0001217F" w:rsidRPr="00923117">
              <w:t>Health NZ’s commitments on sustainability and climate change.</w:t>
            </w:r>
          </w:p>
        </w:tc>
      </w:tr>
    </w:tbl>
    <w:p w14:paraId="162D7587" w14:textId="424A828D" w:rsidR="00003E00" w:rsidRDefault="00003E00" w:rsidP="00707CDE">
      <w:r w:rsidRPr="00653A18">
        <w:t>Further to this, Aotearoa New Zealand has national and international commitments relating to climate mitigation or emissions reduction</w:t>
      </w:r>
      <w:r w:rsidR="00B4557E">
        <w:t xml:space="preserve"> </w:t>
      </w:r>
      <w:r w:rsidR="00026A75">
        <w:t xml:space="preserve">as shown in </w:t>
      </w:r>
      <w:r w:rsidR="00F940A8">
        <w:t>T</w:t>
      </w:r>
      <w:r w:rsidR="00026A75">
        <w:t>able</w:t>
      </w:r>
      <w:r w:rsidR="0041543D">
        <w:t xml:space="preserve"> </w:t>
      </w:r>
      <w:r w:rsidR="009D6F18">
        <w:t>6</w:t>
      </w:r>
      <w:r w:rsidRPr="00653A18">
        <w:t>;</w:t>
      </w:r>
    </w:p>
    <w:p w14:paraId="78FB380A" w14:textId="1EED0B20" w:rsidR="00026A75" w:rsidRDefault="00BC16A7" w:rsidP="00C175FC">
      <w:pPr>
        <w:pStyle w:val="Figure"/>
      </w:pPr>
      <w:bookmarkStart w:id="27" w:name="_Toc198286788"/>
      <w:r>
        <w:t xml:space="preserve">Table </w:t>
      </w:r>
      <w:r>
        <w:fldChar w:fldCharType="begin"/>
      </w:r>
      <w:r>
        <w:instrText xml:space="preserve"> SEQ Table \* ARABIC </w:instrText>
      </w:r>
      <w:r>
        <w:fldChar w:fldCharType="separate"/>
      </w:r>
      <w:r w:rsidR="008B20C4">
        <w:rPr>
          <w:noProof/>
        </w:rPr>
        <w:t>6</w:t>
      </w:r>
      <w:r>
        <w:fldChar w:fldCharType="end"/>
      </w:r>
      <w:r>
        <w:t xml:space="preserve"> Aotearoa New Zealand commitments</w:t>
      </w:r>
      <w:bookmarkEnd w:id="27"/>
    </w:p>
    <w:tbl>
      <w:tblPr>
        <w:tblStyle w:val="TeWhatuOra"/>
        <w:tblW w:w="9639" w:type="dxa"/>
        <w:tblLook w:val="04A0" w:firstRow="1" w:lastRow="0" w:firstColumn="1" w:lastColumn="0" w:noHBand="0" w:noVBand="1"/>
      </w:tblPr>
      <w:tblGrid>
        <w:gridCol w:w="1775"/>
        <w:gridCol w:w="7864"/>
      </w:tblGrid>
      <w:tr w:rsidR="0001217F" w14:paraId="41796A9A" w14:textId="77777777" w:rsidTr="003E411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tcPr>
          <w:p w14:paraId="6CF21158" w14:textId="2FE269CC" w:rsidR="0001217F" w:rsidRDefault="0001217F" w:rsidP="00707CDE">
            <w:r>
              <w:t>Commitment</w:t>
            </w:r>
          </w:p>
        </w:tc>
        <w:tc>
          <w:tcPr>
            <w:tcW w:w="7796" w:type="dxa"/>
          </w:tcPr>
          <w:p w14:paraId="1D903CCE" w14:textId="0C607599" w:rsidR="0001217F" w:rsidRDefault="0001217F" w:rsidP="00707CDE">
            <w:pPr>
              <w:cnfStyle w:val="100000000000" w:firstRow="1" w:lastRow="0" w:firstColumn="0" w:lastColumn="0" w:oddVBand="0" w:evenVBand="0" w:oddHBand="0" w:evenHBand="0" w:firstRowFirstColumn="0" w:firstRowLastColumn="0" w:lastRowFirstColumn="0" w:lastRowLastColumn="0"/>
            </w:pPr>
            <w:r>
              <w:t>Description</w:t>
            </w:r>
          </w:p>
        </w:tc>
      </w:tr>
      <w:tr w:rsidR="0001217F" w14:paraId="080DF46C" w14:textId="77777777" w:rsidTr="003E4115">
        <w:trPr>
          <w:cantSplit/>
        </w:trPr>
        <w:tc>
          <w:tcPr>
            <w:cnfStyle w:val="001000000000" w:firstRow="0" w:lastRow="0" w:firstColumn="1" w:lastColumn="0" w:oddVBand="0" w:evenVBand="0" w:oddHBand="0" w:evenHBand="0" w:firstRowFirstColumn="0" w:firstRowLastColumn="0" w:lastRowFirstColumn="0" w:lastRowLastColumn="0"/>
            <w:tcW w:w="0" w:type="dxa"/>
          </w:tcPr>
          <w:p w14:paraId="69FB5F86" w14:textId="1E797994" w:rsidR="0001217F" w:rsidRDefault="0001217F" w:rsidP="00707CDE">
            <w:r w:rsidRPr="00653A18">
              <w:rPr>
                <w:rFonts w:cstheme="minorHAnsi"/>
                <w:sz w:val="22"/>
              </w:rPr>
              <w:t>Paris Agreement</w:t>
            </w:r>
          </w:p>
        </w:tc>
        <w:tc>
          <w:tcPr>
            <w:tcW w:w="7796" w:type="dxa"/>
          </w:tcPr>
          <w:p w14:paraId="6B8C7FC1" w14:textId="08313EF1" w:rsidR="0001217F" w:rsidRPr="0001217F" w:rsidRDefault="0001217F" w:rsidP="0001217F">
            <w:pPr>
              <w:pStyle w:val="TableText"/>
              <w:cnfStyle w:val="000000000000" w:firstRow="0" w:lastRow="0" w:firstColumn="0" w:lastColumn="0" w:oddVBand="0" w:evenVBand="0" w:oddHBand="0" w:evenHBand="0" w:firstRowFirstColumn="0" w:firstRowLastColumn="0" w:lastRowFirstColumn="0" w:lastRowLastColumn="0"/>
            </w:pPr>
            <w:r>
              <w:t xml:space="preserve">Aotearoa New Zealand </w:t>
            </w:r>
            <w:r w:rsidRPr="0001217F">
              <w:t>as a signatory</w:t>
            </w:r>
            <w:r w:rsidR="0084782E">
              <w:t xml:space="preserve"> to the Paris Agreement,</w:t>
            </w:r>
            <w:r w:rsidRPr="0001217F">
              <w:t xml:space="preserve"> </w:t>
            </w:r>
            <w:r w:rsidR="0084782E">
              <w:t>(</w:t>
            </w:r>
            <w:r w:rsidRPr="0001217F">
              <w:t>November 2016</w:t>
            </w:r>
            <w:r w:rsidR="0084782E">
              <w:t>)</w:t>
            </w:r>
            <w:r w:rsidRPr="0001217F">
              <w:t xml:space="preserve"> sets out a national commitment to avoid more than a 1.5</w:t>
            </w:r>
            <w:r w:rsidR="001E51E7" w:rsidRPr="001E51E7">
              <w:t>°</w:t>
            </w:r>
            <w:r w:rsidRPr="0001217F">
              <w:t xml:space="preserve">C rise in global warming above pre-industrial levels. </w:t>
            </w:r>
          </w:p>
        </w:tc>
      </w:tr>
      <w:tr w:rsidR="0001217F" w14:paraId="46295764" w14:textId="77777777" w:rsidTr="003E4115">
        <w:trPr>
          <w:cantSplit/>
        </w:trPr>
        <w:tc>
          <w:tcPr>
            <w:cnfStyle w:val="001000000000" w:firstRow="0" w:lastRow="0" w:firstColumn="1" w:lastColumn="0" w:oddVBand="0" w:evenVBand="0" w:oddHBand="0" w:evenHBand="0" w:firstRowFirstColumn="0" w:firstRowLastColumn="0" w:lastRowFirstColumn="0" w:lastRowLastColumn="0"/>
            <w:tcW w:w="0" w:type="dxa"/>
          </w:tcPr>
          <w:p w14:paraId="1A667687" w14:textId="4780F640" w:rsidR="0001217F" w:rsidRDefault="0001217F" w:rsidP="00707CDE">
            <w:r w:rsidRPr="00653A18">
              <w:rPr>
                <w:rFonts w:cstheme="minorHAnsi"/>
                <w:sz w:val="22"/>
              </w:rPr>
              <w:t>Alliance for Transformative Action on Climate Change and Health (ATACH) </w:t>
            </w:r>
          </w:p>
        </w:tc>
        <w:tc>
          <w:tcPr>
            <w:tcW w:w="7796" w:type="dxa"/>
          </w:tcPr>
          <w:p w14:paraId="70ED26C9" w14:textId="77777777" w:rsidR="0001217F" w:rsidRPr="0001217F" w:rsidRDefault="0001217F" w:rsidP="0001217F">
            <w:pPr>
              <w:pStyle w:val="TableText"/>
              <w:cnfStyle w:val="000000000000" w:firstRow="0" w:lastRow="0" w:firstColumn="0" w:lastColumn="0" w:oddVBand="0" w:evenVBand="0" w:oddHBand="0" w:evenHBand="0" w:firstRowFirstColumn="0" w:firstRowLastColumn="0" w:lastRowFirstColumn="0" w:lastRowLastColumn="0"/>
            </w:pPr>
            <w:r w:rsidRPr="0001217F">
              <w:t xml:space="preserve">The New Zealand Government is a signatory to the World Health Organisation alliance. </w:t>
            </w:r>
          </w:p>
          <w:p w14:paraId="67DDE1B9" w14:textId="77777777" w:rsidR="0001217F" w:rsidRDefault="0001217F" w:rsidP="0001217F">
            <w:pPr>
              <w:pStyle w:val="TableText"/>
              <w:cnfStyle w:val="000000000000" w:firstRow="0" w:lastRow="0" w:firstColumn="0" w:lastColumn="0" w:oddVBand="0" w:evenVBand="0" w:oddHBand="0" w:evenHBand="0" w:firstRowFirstColumn="0" w:firstRowLastColumn="0" w:lastRowFirstColumn="0" w:lastRowLastColumn="0"/>
            </w:pPr>
          </w:p>
        </w:tc>
      </w:tr>
      <w:tr w:rsidR="0001217F" w14:paraId="489FDFB5" w14:textId="77777777" w:rsidTr="003E4115">
        <w:trPr>
          <w:cantSplit/>
        </w:trPr>
        <w:tc>
          <w:tcPr>
            <w:cnfStyle w:val="001000000000" w:firstRow="0" w:lastRow="0" w:firstColumn="1" w:lastColumn="0" w:oddVBand="0" w:evenVBand="0" w:oddHBand="0" w:evenHBand="0" w:firstRowFirstColumn="0" w:firstRowLastColumn="0" w:lastRowFirstColumn="0" w:lastRowLastColumn="0"/>
            <w:tcW w:w="0" w:type="dxa"/>
          </w:tcPr>
          <w:p w14:paraId="3B0A615C" w14:textId="43A875A0" w:rsidR="0001217F" w:rsidRDefault="0001217F" w:rsidP="00707CDE">
            <w:r w:rsidRPr="00653A18">
              <w:rPr>
                <w:rFonts w:cstheme="minorHAnsi"/>
                <w:sz w:val="22"/>
              </w:rPr>
              <w:t>United Nations Sustainable Development Goals</w:t>
            </w:r>
          </w:p>
        </w:tc>
        <w:tc>
          <w:tcPr>
            <w:tcW w:w="7796" w:type="dxa"/>
          </w:tcPr>
          <w:p w14:paraId="1845CB95" w14:textId="4C07D736" w:rsidR="0001217F" w:rsidRDefault="0001217F" w:rsidP="0001217F">
            <w:pPr>
              <w:pStyle w:val="TableText"/>
              <w:cnfStyle w:val="000000000000" w:firstRow="0" w:lastRow="0" w:firstColumn="0" w:lastColumn="0" w:oddVBand="0" w:evenVBand="0" w:oddHBand="0" w:evenHBand="0" w:firstRowFirstColumn="0" w:firstRowLastColumn="0" w:lastRowFirstColumn="0" w:lastRowLastColumn="0"/>
            </w:pPr>
            <w:r w:rsidRPr="0001217F">
              <w:t>In the context of the ERP specifically</w:t>
            </w:r>
            <w:r w:rsidR="00BD5F60">
              <w:t>,</w:t>
            </w:r>
            <w:r w:rsidRPr="0001217F">
              <w:t xml:space="preserve"> Goal 3</w:t>
            </w:r>
            <w:r w:rsidR="000227DA">
              <w:t>:</w:t>
            </w:r>
            <w:r w:rsidRPr="0001217F">
              <w:t xml:space="preserve"> Good health and Wellbeing and </w:t>
            </w:r>
            <w:r w:rsidR="000227DA">
              <w:t xml:space="preserve">Goal </w:t>
            </w:r>
            <w:r w:rsidRPr="0001217F">
              <w:t>13</w:t>
            </w:r>
            <w:r w:rsidR="000227DA">
              <w:t>:</w:t>
            </w:r>
            <w:r w:rsidRPr="0001217F">
              <w:t xml:space="preserve"> Climate Action</w:t>
            </w:r>
            <w:r w:rsidR="00F45D67">
              <w:t>;</w:t>
            </w:r>
            <w:r w:rsidRPr="0001217F">
              <w:t xml:space="preserve"> noting the interdependencies </w:t>
            </w:r>
            <w:r w:rsidR="005F69B8">
              <w:t>across</w:t>
            </w:r>
            <w:r w:rsidRPr="0001217F">
              <w:t xml:space="preserve"> the 17 goals. </w:t>
            </w:r>
          </w:p>
        </w:tc>
      </w:tr>
      <w:tr w:rsidR="0001217F" w14:paraId="037C1C1C" w14:textId="77777777" w:rsidTr="003E4115">
        <w:trPr>
          <w:cantSplit/>
        </w:trPr>
        <w:tc>
          <w:tcPr>
            <w:cnfStyle w:val="001000000000" w:firstRow="0" w:lastRow="0" w:firstColumn="1" w:lastColumn="0" w:oddVBand="0" w:evenVBand="0" w:oddHBand="0" w:evenHBand="0" w:firstRowFirstColumn="0" w:firstRowLastColumn="0" w:lastRowFirstColumn="0" w:lastRowLastColumn="0"/>
            <w:tcW w:w="0" w:type="dxa"/>
          </w:tcPr>
          <w:p w14:paraId="6F5774E4" w14:textId="275714B8" w:rsidR="0001217F" w:rsidRPr="00653A18" w:rsidRDefault="0001217F" w:rsidP="00707CDE">
            <w:pPr>
              <w:rPr>
                <w:rFonts w:cstheme="minorHAnsi"/>
                <w:b w:val="0"/>
                <w:sz w:val="22"/>
              </w:rPr>
            </w:pPr>
            <w:r w:rsidRPr="00653A18">
              <w:rPr>
                <w:rFonts w:cstheme="minorHAnsi"/>
                <w:sz w:val="22"/>
              </w:rPr>
              <w:lastRenderedPageBreak/>
              <w:t>The Climate Change Response Act (2002) (CCRA)</w:t>
            </w:r>
          </w:p>
        </w:tc>
        <w:tc>
          <w:tcPr>
            <w:tcW w:w="7796" w:type="dxa"/>
          </w:tcPr>
          <w:p w14:paraId="092C4C69" w14:textId="53048C49" w:rsidR="0001217F" w:rsidRPr="0001217F" w:rsidRDefault="0001217F" w:rsidP="0001217F">
            <w:pPr>
              <w:pStyle w:val="TableText"/>
              <w:cnfStyle w:val="000000000000" w:firstRow="0" w:lastRow="0" w:firstColumn="0" w:lastColumn="0" w:oddVBand="0" w:evenVBand="0" w:oddHBand="0" w:evenHBand="0" w:firstRowFirstColumn="0" w:firstRowLastColumn="0" w:lastRowFirstColumn="0" w:lastRowLastColumn="0"/>
            </w:pPr>
            <w:r w:rsidRPr="0001217F">
              <w:t xml:space="preserve">The </w:t>
            </w:r>
            <w:r w:rsidR="001E51E7">
              <w:t>CCRA</w:t>
            </w:r>
            <w:r w:rsidRPr="0001217F">
              <w:t xml:space="preserve"> set</w:t>
            </w:r>
            <w:r w:rsidR="005F69B8">
              <w:t>s</w:t>
            </w:r>
            <w:r w:rsidRPr="0001217F">
              <w:t xml:space="preserve"> statutory targets for national emissions reduction and processes to support achieving these targets.</w:t>
            </w:r>
            <w:r>
              <w:t xml:space="preserve"> </w:t>
            </w:r>
            <w:r w:rsidRPr="0001217F">
              <w:t>The development of National Emissions Budgets and National Emissions Reduction Plans are requirement</w:t>
            </w:r>
            <w:r w:rsidR="006146D7">
              <w:t>s</w:t>
            </w:r>
            <w:r w:rsidRPr="0001217F">
              <w:t xml:space="preserve"> under the CCRA.</w:t>
            </w:r>
          </w:p>
        </w:tc>
      </w:tr>
      <w:tr w:rsidR="0001217F" w14:paraId="2CAEFA9F" w14:textId="77777777" w:rsidTr="003E4115">
        <w:trPr>
          <w:cantSplit/>
        </w:trPr>
        <w:tc>
          <w:tcPr>
            <w:cnfStyle w:val="001000000000" w:firstRow="0" w:lastRow="0" w:firstColumn="1" w:lastColumn="0" w:oddVBand="0" w:evenVBand="0" w:oddHBand="0" w:evenHBand="0" w:firstRowFirstColumn="0" w:firstRowLastColumn="0" w:lastRowFirstColumn="0" w:lastRowLastColumn="0"/>
            <w:tcW w:w="0" w:type="dxa"/>
          </w:tcPr>
          <w:p w14:paraId="2E4F9A51" w14:textId="405FEF12" w:rsidR="0001217F" w:rsidRPr="00653A18" w:rsidRDefault="0001217F" w:rsidP="00707CDE">
            <w:pPr>
              <w:rPr>
                <w:rFonts w:cstheme="minorHAnsi"/>
                <w:b w:val="0"/>
                <w:sz w:val="22"/>
              </w:rPr>
            </w:pPr>
            <w:r w:rsidRPr="00653A18">
              <w:rPr>
                <w:rFonts w:cstheme="minorHAnsi"/>
                <w:sz w:val="22"/>
              </w:rPr>
              <w:t>Carbon Neutral Government Programme</w:t>
            </w:r>
            <w:r>
              <w:rPr>
                <w:rFonts w:cstheme="minorHAnsi"/>
                <w:sz w:val="22"/>
              </w:rPr>
              <w:t xml:space="preserve"> (CNGP)</w:t>
            </w:r>
          </w:p>
        </w:tc>
        <w:tc>
          <w:tcPr>
            <w:tcW w:w="7796" w:type="dxa"/>
          </w:tcPr>
          <w:p w14:paraId="5C005A7E" w14:textId="124B9443" w:rsidR="0001217F" w:rsidRPr="004D30F4" w:rsidRDefault="0001217F" w:rsidP="0001217F">
            <w:pPr>
              <w:pStyle w:val="TableText"/>
              <w:cnfStyle w:val="000000000000" w:firstRow="0" w:lastRow="0" w:firstColumn="0" w:lastColumn="0" w:oddVBand="0" w:evenVBand="0" w:oddHBand="0" w:evenHBand="0" w:firstRowFirstColumn="0" w:firstRowLastColumn="0" w:lastRowFirstColumn="0" w:lastRowLastColumn="0"/>
            </w:pPr>
            <w:r w:rsidRPr="004D30F4">
              <w:t>The CNGP was announced in December 2020</w:t>
            </w:r>
            <w:r w:rsidR="00F756D3" w:rsidRPr="004D30F4">
              <w:t xml:space="preserve"> to accelerate the reduction of emissions within the public sector</w:t>
            </w:r>
            <w:r w:rsidRPr="004D30F4">
              <w:t>. In pursuit of this goal agencies are required to:</w:t>
            </w:r>
          </w:p>
          <w:p w14:paraId="149C6B98" w14:textId="77777777" w:rsidR="0001217F" w:rsidRPr="004D30F4" w:rsidRDefault="0001217F" w:rsidP="003E7E0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4D30F4">
              <w:t>Measure, verify, and report their emissions annually.</w:t>
            </w:r>
          </w:p>
          <w:p w14:paraId="4FD85533" w14:textId="77777777" w:rsidR="0001217F" w:rsidRPr="004D30F4" w:rsidRDefault="0001217F" w:rsidP="003E7E0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4D30F4">
              <w:t xml:space="preserve">Set gross science-based emissions reduction targets and longer-term reduction plans. </w:t>
            </w:r>
          </w:p>
          <w:p w14:paraId="39495B19" w14:textId="77777777" w:rsidR="0001217F" w:rsidRPr="004D30F4" w:rsidRDefault="0001217F" w:rsidP="003E7E0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4D30F4">
              <w:t xml:space="preserve">Introduce a plan to reduce their organisation’s emissions. </w:t>
            </w:r>
          </w:p>
          <w:p w14:paraId="4E389231" w14:textId="3E2AC6BA" w:rsidR="0001217F" w:rsidRPr="004D30F4" w:rsidRDefault="0001217F" w:rsidP="003E7E0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4D30F4">
              <w:t>Offset remaining gross emissions from 2025 to achieve carbon neutrality</w:t>
            </w:r>
            <w:r w:rsidR="00895E5D">
              <w:rPr>
                <w:rStyle w:val="FootnoteReference"/>
              </w:rPr>
              <w:footnoteReference w:id="3"/>
            </w:r>
          </w:p>
          <w:p w14:paraId="3EDFD9B0" w14:textId="058A89C8" w:rsidR="0001217F" w:rsidRPr="00B4557E" w:rsidRDefault="0001217F" w:rsidP="003E7E00">
            <w:pPr>
              <w:pStyle w:val="TableText"/>
              <w:numPr>
                <w:ilvl w:val="0"/>
                <w:numId w:val="12"/>
              </w:numPr>
              <w:cnfStyle w:val="000000000000" w:firstRow="0" w:lastRow="0" w:firstColumn="0" w:lastColumn="0" w:oddVBand="0" w:evenVBand="0" w:oddHBand="0" w:evenHBand="0" w:firstRowFirstColumn="0" w:firstRowLastColumn="0" w:lastRowFirstColumn="0" w:lastRowLastColumn="0"/>
            </w:pPr>
            <w:r w:rsidRPr="00653A18">
              <w:t>As well as specific requirements on vehicle fleet optimisation and transition, undertake energy ratings of our</w:t>
            </w:r>
            <w:r w:rsidR="00290BAA">
              <w:t xml:space="preserve"> larger</w:t>
            </w:r>
            <w:r w:rsidRPr="00653A18">
              <w:t xml:space="preserve"> office buildings and replace our largest coal boilers. </w:t>
            </w:r>
          </w:p>
        </w:tc>
      </w:tr>
      <w:tr w:rsidR="0001217F" w14:paraId="49147967" w14:textId="77777777" w:rsidTr="003E4115">
        <w:trPr>
          <w:cantSplit/>
        </w:trPr>
        <w:tc>
          <w:tcPr>
            <w:cnfStyle w:val="001000000000" w:firstRow="0" w:lastRow="0" w:firstColumn="1" w:lastColumn="0" w:oddVBand="0" w:evenVBand="0" w:oddHBand="0" w:evenHBand="0" w:firstRowFirstColumn="0" w:firstRowLastColumn="0" w:lastRowFirstColumn="0" w:lastRowLastColumn="0"/>
            <w:tcW w:w="0" w:type="dxa"/>
          </w:tcPr>
          <w:p w14:paraId="03F8B6F2" w14:textId="73F78F9E" w:rsidR="0001217F" w:rsidRPr="00653A18" w:rsidRDefault="0001217F" w:rsidP="005935DF">
            <w:pPr>
              <w:rPr>
                <w:rFonts w:cstheme="minorHAnsi"/>
                <w:b w:val="0"/>
                <w:sz w:val="22"/>
              </w:rPr>
            </w:pPr>
            <w:r w:rsidRPr="00653A18">
              <w:rPr>
                <w:rFonts w:cstheme="minorHAnsi"/>
                <w:bCs/>
                <w:sz w:val="22"/>
              </w:rPr>
              <w:t xml:space="preserve">Government Targets: </w:t>
            </w:r>
            <w:r w:rsidR="005935DF">
              <w:rPr>
                <w:rFonts w:cstheme="minorHAnsi"/>
                <w:bCs/>
                <w:sz w:val="22"/>
              </w:rPr>
              <w:t xml:space="preserve">  </w:t>
            </w:r>
            <w:r w:rsidRPr="00653A18">
              <w:rPr>
                <w:rFonts w:cstheme="minorHAnsi"/>
                <w:bCs/>
                <w:sz w:val="22"/>
              </w:rPr>
              <w:t>Target 9</w:t>
            </w:r>
          </w:p>
        </w:tc>
        <w:tc>
          <w:tcPr>
            <w:tcW w:w="7796" w:type="dxa"/>
          </w:tcPr>
          <w:p w14:paraId="2FF29BC8" w14:textId="1B041910" w:rsidR="0001217F" w:rsidRPr="0001217F" w:rsidRDefault="0001217F" w:rsidP="0001217F">
            <w:pPr>
              <w:pStyle w:val="TableText"/>
              <w:cnfStyle w:val="000000000000" w:firstRow="0" w:lastRow="0" w:firstColumn="0" w:lastColumn="0" w:oddVBand="0" w:evenVBand="0" w:oddHBand="0" w:evenHBand="0" w:firstRowFirstColumn="0" w:firstRowLastColumn="0" w:lastRowFirstColumn="0" w:lastRowLastColumn="0"/>
            </w:pPr>
            <w:r w:rsidRPr="0001217F">
              <w:t>In April 2024, the Government confirmed nine targets</w:t>
            </w:r>
            <w:r w:rsidR="000B2192">
              <w:t>, including</w:t>
            </w:r>
            <w:r w:rsidRPr="0001217F">
              <w:t xml:space="preserve"> Target 9 </w:t>
            </w:r>
            <w:r w:rsidR="00EE4425">
              <w:t xml:space="preserve">- </w:t>
            </w:r>
            <w:r w:rsidRPr="0001217F">
              <w:t>reduce net greenhouse gas emissions:</w:t>
            </w:r>
          </w:p>
          <w:p w14:paraId="778F21E6" w14:textId="1F80F5DA" w:rsidR="0001217F" w:rsidRPr="00B4557E" w:rsidRDefault="0001217F" w:rsidP="003E7E00">
            <w:pPr>
              <w:pStyle w:val="TableText"/>
              <w:numPr>
                <w:ilvl w:val="0"/>
                <w:numId w:val="13"/>
              </w:numPr>
              <w:cnfStyle w:val="000000000000" w:firstRow="0" w:lastRow="0" w:firstColumn="0" w:lastColumn="0" w:oddVBand="0" w:evenVBand="0" w:oddHBand="0" w:evenHBand="0" w:firstRowFirstColumn="0" w:firstRowLastColumn="0" w:lastRowFirstColumn="0" w:lastRowLastColumn="0"/>
            </w:pPr>
            <w:r w:rsidRPr="00653A18">
              <w:t>“On track to meet New Zealand’s 2050 net zero climate change targets with total net emissions of no more than 290 megatonnes from 2022 to 2025 and 305 megatonnes from 2026 to 2030”.</w:t>
            </w:r>
          </w:p>
        </w:tc>
      </w:tr>
      <w:tr w:rsidR="0001217F" w14:paraId="384E700C" w14:textId="77777777" w:rsidTr="003E4115">
        <w:trPr>
          <w:cantSplit/>
        </w:trPr>
        <w:tc>
          <w:tcPr>
            <w:cnfStyle w:val="001000000000" w:firstRow="0" w:lastRow="0" w:firstColumn="1" w:lastColumn="0" w:oddVBand="0" w:evenVBand="0" w:oddHBand="0" w:evenHBand="0" w:firstRowFirstColumn="0" w:firstRowLastColumn="0" w:lastRowFirstColumn="0" w:lastRowLastColumn="0"/>
            <w:tcW w:w="0" w:type="dxa"/>
          </w:tcPr>
          <w:p w14:paraId="4D72E9DA" w14:textId="190A7392" w:rsidR="0001217F" w:rsidRPr="00653A18" w:rsidRDefault="0001217F" w:rsidP="00707CDE">
            <w:pPr>
              <w:rPr>
                <w:rFonts w:cstheme="minorHAnsi"/>
                <w:b w:val="0"/>
                <w:sz w:val="22"/>
              </w:rPr>
            </w:pPr>
            <w:r w:rsidRPr="005935DF">
              <w:rPr>
                <w:rFonts w:cstheme="minorHAnsi"/>
                <w:bCs/>
                <w:sz w:val="22"/>
              </w:rPr>
              <w:t>Government’s Climate Strategy</w:t>
            </w:r>
          </w:p>
        </w:tc>
        <w:tc>
          <w:tcPr>
            <w:tcW w:w="7796" w:type="dxa"/>
          </w:tcPr>
          <w:p w14:paraId="4C82283C" w14:textId="44054D24" w:rsidR="0001217F" w:rsidRPr="00B4557E" w:rsidRDefault="00B4557E" w:rsidP="0001217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The strategy titled </w:t>
            </w:r>
            <w:r w:rsidR="0001217F" w:rsidRPr="00653A18">
              <w:rPr>
                <w:rFonts w:asciiTheme="minorHAnsi" w:hAnsiTheme="minorHAnsi"/>
              </w:rPr>
              <w:t>“Responding to a changing climate” was released in July 2024 by the Minister for the Environment</w:t>
            </w:r>
            <w:r w:rsidR="00A62B3D">
              <w:rPr>
                <w:rFonts w:asciiTheme="minorHAnsi" w:hAnsiTheme="minorHAnsi"/>
              </w:rPr>
              <w:t>. It</w:t>
            </w:r>
            <w:r w:rsidR="0001217F" w:rsidRPr="00653A18">
              <w:rPr>
                <w:rFonts w:asciiTheme="minorHAnsi" w:hAnsiTheme="minorHAnsi"/>
              </w:rPr>
              <w:t xml:space="preserve"> set</w:t>
            </w:r>
            <w:r w:rsidR="00946A57">
              <w:rPr>
                <w:rFonts w:asciiTheme="minorHAnsi" w:hAnsiTheme="minorHAnsi"/>
              </w:rPr>
              <w:t>s</w:t>
            </w:r>
            <w:r w:rsidR="0001217F" w:rsidRPr="00653A18">
              <w:rPr>
                <w:rFonts w:asciiTheme="minorHAnsi" w:hAnsiTheme="minorHAnsi"/>
              </w:rPr>
              <w:t xml:space="preserve"> out the importance of doubling renewable energy in New Zealand by 2050 and installing 10,000 public charging points for electric vehicles. </w:t>
            </w:r>
          </w:p>
        </w:tc>
      </w:tr>
    </w:tbl>
    <w:p w14:paraId="513F5BD3" w14:textId="77777777" w:rsidR="00FA3944" w:rsidRDefault="00FA3944" w:rsidP="00804B67"/>
    <w:p w14:paraId="0B71CE06" w14:textId="77777777" w:rsidR="00FA3944" w:rsidRDefault="00FA3944">
      <w:pPr>
        <w:spacing w:before="0" w:after="160" w:line="259" w:lineRule="auto"/>
        <w:rPr>
          <w:rFonts w:asciiTheme="majorHAnsi" w:eastAsiaTheme="majorEastAsia" w:hAnsiTheme="majorHAnsi" w:cstheme="majorBidi"/>
          <w:b/>
          <w:color w:val="15284C" w:themeColor="text2"/>
          <w:sz w:val="52"/>
          <w:szCs w:val="32"/>
        </w:rPr>
      </w:pPr>
      <w:r>
        <w:br w:type="page"/>
      </w:r>
    </w:p>
    <w:p w14:paraId="2978E3FE" w14:textId="06B29103" w:rsidR="00003E00" w:rsidRDefault="00463FB7" w:rsidP="00352639">
      <w:pPr>
        <w:pStyle w:val="Heading1"/>
      </w:pPr>
      <w:bookmarkStart w:id="28" w:name="_Toc204940766"/>
      <w:r>
        <w:lastRenderedPageBreak/>
        <w:t>Levers for change</w:t>
      </w:r>
      <w:bookmarkEnd w:id="28"/>
      <w:r>
        <w:t xml:space="preserve"> </w:t>
      </w:r>
    </w:p>
    <w:p w14:paraId="2F2121BF" w14:textId="38A76073" w:rsidR="00D73018" w:rsidRPr="00463FB7" w:rsidRDefault="00D73018" w:rsidP="007B12D2">
      <w:r>
        <w:t xml:space="preserve">Health NZ has several levers for change </w:t>
      </w:r>
      <w:r w:rsidR="007B12D2">
        <w:t>through policy changes, governance, ou</w:t>
      </w:r>
      <w:r w:rsidR="00EE4425">
        <w:t>r</w:t>
      </w:r>
      <w:r w:rsidR="007B12D2">
        <w:t xml:space="preserve"> approach to health care (prevention and models of care)</w:t>
      </w:r>
      <w:r w:rsidR="00EE4425">
        <w:t>,</w:t>
      </w:r>
      <w:r w:rsidR="007B12D2">
        <w:t xml:space="preserve"> and </w:t>
      </w:r>
      <w:r w:rsidR="00B43A11">
        <w:t xml:space="preserve">leveraging the innovation and policy outside of Health NZ. </w:t>
      </w:r>
    </w:p>
    <w:p w14:paraId="72E0A93E" w14:textId="4EEB26CE" w:rsidR="008C0A89" w:rsidRPr="00653A18" w:rsidRDefault="000C17B8" w:rsidP="000D0ABF">
      <w:pPr>
        <w:pStyle w:val="Heading2"/>
      </w:pPr>
      <w:bookmarkStart w:id="29" w:name="_Toc204940767"/>
      <w:r>
        <w:t xml:space="preserve">Impacts of population health on </w:t>
      </w:r>
      <w:r w:rsidR="006522B2">
        <w:t>health sector emissions</w:t>
      </w:r>
      <w:bookmarkEnd w:id="29"/>
    </w:p>
    <w:p w14:paraId="10D6BBF5" w14:textId="3F7F29BF" w:rsidR="00BC16A7" w:rsidRPr="00BC16A7" w:rsidRDefault="00A070B7" w:rsidP="00BC16A7">
      <w:pPr>
        <w:rPr>
          <w:shd w:val="clear" w:color="auto" w:fill="FFFFFF"/>
        </w:rPr>
      </w:pPr>
      <w:r w:rsidRPr="00A070B7">
        <w:rPr>
          <w:shd w:val="clear" w:color="auto" w:fill="FFFFFF"/>
        </w:rPr>
        <w:t>The opportunity in health is a virtuous cycle</w:t>
      </w:r>
      <w:r w:rsidR="0059054A">
        <w:rPr>
          <w:shd w:val="clear" w:color="auto" w:fill="FFFFFF"/>
        </w:rPr>
        <w:t xml:space="preserve"> (</w:t>
      </w:r>
      <w:r w:rsidR="00F940A8">
        <w:rPr>
          <w:shd w:val="clear" w:color="auto" w:fill="FFFFFF"/>
        </w:rPr>
        <w:t>F</w:t>
      </w:r>
      <w:r w:rsidR="0059054A">
        <w:rPr>
          <w:shd w:val="clear" w:color="auto" w:fill="FFFFFF"/>
        </w:rPr>
        <w:t xml:space="preserve">igure </w:t>
      </w:r>
      <w:r w:rsidR="00C9329C">
        <w:rPr>
          <w:shd w:val="clear" w:color="auto" w:fill="FFFFFF"/>
        </w:rPr>
        <w:t>3</w:t>
      </w:r>
      <w:r w:rsidR="0059054A">
        <w:rPr>
          <w:shd w:val="clear" w:color="auto" w:fill="FFFFFF"/>
        </w:rPr>
        <w:t>)</w:t>
      </w:r>
      <w:r w:rsidRPr="00A070B7">
        <w:rPr>
          <w:shd w:val="clear" w:color="auto" w:fill="FFFFFF"/>
        </w:rPr>
        <w:t xml:space="preserve">; through health promotion and illness prevention, New Zealanders can be supported to be happy and healthy, requiring less intensive support to maintain wellness, which in turn avoids emissions. The more Health </w:t>
      </w:r>
      <w:r w:rsidR="00E61074">
        <w:rPr>
          <w:shd w:val="clear" w:color="auto" w:fill="FFFFFF"/>
        </w:rPr>
        <w:t>NZ</w:t>
      </w:r>
      <w:r w:rsidRPr="00A070B7">
        <w:rPr>
          <w:shd w:val="clear" w:color="auto" w:fill="FFFFFF"/>
        </w:rPr>
        <w:t xml:space="preserve"> can reduce its emissions and manage its environmental impact, the more it can contribute to global efforts to limit global warming to 1.5°C above pre-industrial levels. This potentially reduces the frequency and severity of climate impacts and enables environmental benefits for the health of New Zealanders.</w:t>
      </w:r>
    </w:p>
    <w:p w14:paraId="6B3F4B29" w14:textId="58740F15" w:rsidR="00AA1338" w:rsidRDefault="00CA7BF2" w:rsidP="00AA1338">
      <w:r>
        <w:rPr>
          <w:noProof/>
        </w:rPr>
        <w:drawing>
          <wp:inline distT="0" distB="0" distL="0" distR="0" wp14:anchorId="10AB7EBA" wp14:editId="04E0D620">
            <wp:extent cx="5905500" cy="3854042"/>
            <wp:effectExtent l="0" t="0" r="0" b="0"/>
            <wp:docPr id="1037901832" name="Picture 1" descr="Figure 3 Virtuous cycle of health benefits of emissions reduction, adapted from Dr D. Pencheon, University of Ex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01832" name="Picture 1" descr="Figure 3 Virtuous cycle of health benefits of emissions reduction, adapted from Dr D. Pencheon, University of Exeter"/>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934509" cy="3872974"/>
                    </a:xfrm>
                    <a:prstGeom prst="rect">
                      <a:avLst/>
                    </a:prstGeom>
                    <a:ln>
                      <a:noFill/>
                    </a:ln>
                    <a:extLst>
                      <a:ext uri="{53640926-AAD7-44D8-BBD7-CCE9431645EC}">
                        <a14:shadowObscured xmlns:a14="http://schemas.microsoft.com/office/drawing/2010/main"/>
                      </a:ext>
                    </a:extLst>
                  </pic:spPr>
                </pic:pic>
              </a:graphicData>
            </a:graphic>
          </wp:inline>
        </w:drawing>
      </w:r>
    </w:p>
    <w:p w14:paraId="26CDBE17" w14:textId="28687D90" w:rsidR="00680A25" w:rsidRPr="00BC16A7" w:rsidRDefault="00680A25" w:rsidP="00C175FC">
      <w:pPr>
        <w:pStyle w:val="Figure"/>
      </w:pPr>
      <w:bookmarkStart w:id="30" w:name="_Toc198286801"/>
      <w:r>
        <w:t xml:space="preserve">Figure </w:t>
      </w:r>
      <w:r>
        <w:fldChar w:fldCharType="begin"/>
      </w:r>
      <w:r>
        <w:instrText xml:space="preserve"> SEQ Figure \* ARABIC </w:instrText>
      </w:r>
      <w:r>
        <w:fldChar w:fldCharType="separate"/>
      </w:r>
      <w:r w:rsidR="008B20C4">
        <w:rPr>
          <w:noProof/>
        </w:rPr>
        <w:t>3</w:t>
      </w:r>
      <w:r>
        <w:fldChar w:fldCharType="end"/>
      </w:r>
      <w:r>
        <w:t xml:space="preserve"> Virtuous cycle of health benefits of emissions reduction</w:t>
      </w:r>
      <w:r w:rsidR="008C097D">
        <w:t xml:space="preserve">, adapted from </w:t>
      </w:r>
      <w:r w:rsidR="00CD2D9E">
        <w:t xml:space="preserve">Dr </w:t>
      </w:r>
      <w:r w:rsidR="008C097D">
        <w:t>D. Pencheon, University</w:t>
      </w:r>
      <w:r w:rsidR="00CD2D9E">
        <w:t xml:space="preserve"> of Exeter</w:t>
      </w:r>
      <w:r w:rsidR="008C097D">
        <w:rPr>
          <w:rStyle w:val="EndnoteReference"/>
        </w:rPr>
        <w:endnoteReference w:id="11"/>
      </w:r>
      <w:bookmarkEnd w:id="30"/>
      <w:r>
        <w:t xml:space="preserve"> </w:t>
      </w:r>
    </w:p>
    <w:p w14:paraId="15332587" w14:textId="77777777" w:rsidR="00A070B7" w:rsidRPr="00A070B7" w:rsidRDefault="00A070B7" w:rsidP="00A070B7">
      <w:pPr>
        <w:rPr>
          <w:shd w:val="clear" w:color="auto" w:fill="FFFFFF"/>
        </w:rPr>
      </w:pPr>
      <w:r w:rsidRPr="00A070B7">
        <w:rPr>
          <w:shd w:val="clear" w:color="auto" w:fill="FFFFFF"/>
        </w:rPr>
        <w:t>The determinants of health are factors that impact the health of individuals and communities, many of which have direct and indirect links to and impacts from climate change, such as:</w:t>
      </w:r>
    </w:p>
    <w:p w14:paraId="467062D7" w14:textId="77777777" w:rsidR="0085337C" w:rsidRDefault="0085337C" w:rsidP="00860B29">
      <w:pPr>
        <w:pStyle w:val="Bulletpoints2"/>
      </w:pPr>
      <w:r w:rsidRPr="00653A18">
        <w:lastRenderedPageBreak/>
        <w:t>Paid employment / living wage</w:t>
      </w:r>
    </w:p>
    <w:p w14:paraId="38D67B4A" w14:textId="55147E10" w:rsidR="00661846" w:rsidRPr="00653A18" w:rsidRDefault="00661846" w:rsidP="00860B29">
      <w:pPr>
        <w:pStyle w:val="Bulletpoints2"/>
      </w:pPr>
      <w:r>
        <w:t>Education</w:t>
      </w:r>
    </w:p>
    <w:p w14:paraId="608CB53C" w14:textId="77777777" w:rsidR="0085337C" w:rsidRPr="00653A18" w:rsidRDefault="0085337C" w:rsidP="00860B29">
      <w:pPr>
        <w:pStyle w:val="Bulletpoints2"/>
      </w:pPr>
      <w:r w:rsidRPr="00653A18">
        <w:t xml:space="preserve">Quality warm and dry housing </w:t>
      </w:r>
    </w:p>
    <w:p w14:paraId="1111A48D" w14:textId="69570D1C" w:rsidR="0085337C" w:rsidRPr="00653A18" w:rsidRDefault="0085337C" w:rsidP="00860B29">
      <w:pPr>
        <w:pStyle w:val="Bulletpoints2"/>
      </w:pPr>
      <w:r w:rsidRPr="00653A18">
        <w:t xml:space="preserve">Reduce access to harmful </w:t>
      </w:r>
      <w:r w:rsidR="00C24A7F" w:rsidRPr="00653A18">
        <w:t>substances,</w:t>
      </w:r>
      <w:r w:rsidRPr="00653A18">
        <w:t xml:space="preserve"> alcohol, tobacco and harmful chemicals</w:t>
      </w:r>
    </w:p>
    <w:p w14:paraId="6CE28252" w14:textId="5EF41B86" w:rsidR="0085337C" w:rsidRPr="00653A18" w:rsidRDefault="0085337C" w:rsidP="00860B29">
      <w:pPr>
        <w:pStyle w:val="Bulletpoints2"/>
      </w:pPr>
      <w:r w:rsidRPr="00653A18">
        <w:t xml:space="preserve">Enhancing positive choices and behaviours </w:t>
      </w:r>
      <w:r w:rsidR="002C6DB8">
        <w:t xml:space="preserve">such as; </w:t>
      </w:r>
      <w:r w:rsidRPr="00653A18">
        <w:t>health</w:t>
      </w:r>
      <w:r w:rsidR="002C6DB8">
        <w:t>y</w:t>
      </w:r>
      <w:r w:rsidRPr="00653A18">
        <w:t xml:space="preserve"> balanced diets, increased mobility </w:t>
      </w:r>
      <w:r w:rsidR="002C6DB8">
        <w:t>and active travel</w:t>
      </w:r>
    </w:p>
    <w:p w14:paraId="48AE8078" w14:textId="77777777" w:rsidR="0085337C" w:rsidRPr="00653A18" w:rsidRDefault="0085337C" w:rsidP="00860B29">
      <w:pPr>
        <w:pStyle w:val="Bulletpoints2"/>
      </w:pPr>
      <w:r w:rsidRPr="00653A18">
        <w:t xml:space="preserve">Social inclusion and cohesiveness </w:t>
      </w:r>
    </w:p>
    <w:p w14:paraId="11FB9D64" w14:textId="5DFBADCB" w:rsidR="008B312E" w:rsidRDefault="0085337C" w:rsidP="00860B29">
      <w:pPr>
        <w:pStyle w:val="Bulletpoints2"/>
      </w:pPr>
      <w:r w:rsidRPr="00653A18">
        <w:t xml:space="preserve">Discrimination and trauma across generations </w:t>
      </w:r>
    </w:p>
    <w:p w14:paraId="339DE5C3" w14:textId="790D9978" w:rsidR="002B6EF9" w:rsidRPr="00653A18" w:rsidRDefault="002B6EF9" w:rsidP="00860B29">
      <w:pPr>
        <w:pStyle w:val="Bulletpoints2"/>
      </w:pPr>
      <w:r>
        <w:t xml:space="preserve">Access to </w:t>
      </w:r>
      <w:r w:rsidR="001B6C25">
        <w:t>a healthy and resilient</w:t>
      </w:r>
      <w:r>
        <w:t xml:space="preserve"> natural environment</w:t>
      </w:r>
    </w:p>
    <w:p w14:paraId="35249F8B" w14:textId="0398BB5D" w:rsidR="009A77B4" w:rsidRDefault="009A77B4" w:rsidP="009A77B4">
      <w:r>
        <w:t>Many of these factors are outside of Health NZ’s direct control, but the organi</w:t>
      </w:r>
      <w:r w:rsidR="00641BD5">
        <w:t>s</w:t>
      </w:r>
      <w:r>
        <w:t>ation plays a role in supporting others to make informed decisions that enhance health outcomes across the public sector.</w:t>
      </w:r>
    </w:p>
    <w:p w14:paraId="3351B15C" w14:textId="373D2CFF" w:rsidR="006079C4" w:rsidRDefault="006079C4" w:rsidP="006079C4">
      <w:r>
        <w:t>Some public health actions leveraging the determinants of health also have climate change co-benefits, meaning that there are actions that work to improve population health as well as reduce emissions. These actions have two-fold benefits for the health system by improving the health of individuals, but also directly contributing to the lessening of the magnitude of climate change and therefore the burden on the health sector that will result. Examples of actions with health and climate co-benefits include:</w:t>
      </w:r>
    </w:p>
    <w:p w14:paraId="600DF6EE" w14:textId="77777777" w:rsidR="006079C4" w:rsidRDefault="006079C4" w:rsidP="00860B29">
      <w:pPr>
        <w:pStyle w:val="Bulletpoints2"/>
      </w:pPr>
      <w:r>
        <w:t xml:space="preserve">Promoting the use of public or active modes of transport over driving private vehicles. Public and active modes of transport generate less emissions as well as improving the amount of physical activity done by individuals which is associated with improved health outcomes. </w:t>
      </w:r>
    </w:p>
    <w:p w14:paraId="12C6E081" w14:textId="77777777" w:rsidR="006079C4" w:rsidRDefault="006079C4" w:rsidP="00860B29">
      <w:pPr>
        <w:pStyle w:val="Bulletpoints2"/>
      </w:pPr>
      <w:r>
        <w:t xml:space="preserve">Improved housing is warmer, less damp and costs less to heat. This reduces the electricity needed to keep homes warm over winter, and the associated financial costs and leads to reduced illness, especially for children. </w:t>
      </w:r>
    </w:p>
    <w:p w14:paraId="729F78BF" w14:textId="77777777" w:rsidR="006079C4" w:rsidRDefault="006079C4" w:rsidP="00860B29">
      <w:pPr>
        <w:pStyle w:val="Bulletpoints2"/>
      </w:pPr>
      <w:r>
        <w:t>Reducing meat and dairy consumption is associated with health benefits as well as lower carbon emissions.</w:t>
      </w:r>
    </w:p>
    <w:p w14:paraId="59095F0D" w14:textId="35103AAE" w:rsidR="009A77B4" w:rsidRDefault="009A77B4" w:rsidP="009A77B4">
      <w:r>
        <w:t>The New Zealand publicly funded health system has always been committed to keeping New Zealanders well through a public health approach. Recently, the Government Policy Statement 2024-2027</w:t>
      </w:r>
      <w:r w:rsidR="0049044F">
        <w:t xml:space="preserve">, Health NZ’s Statement of </w:t>
      </w:r>
      <w:r w:rsidR="0049044F" w:rsidRPr="00923117">
        <w:t>Intent (2024-28)</w:t>
      </w:r>
      <w:r w:rsidRPr="00923117">
        <w:t xml:space="preserve"> and the New Zealand Health Plan</w:t>
      </w:r>
      <w:r w:rsidR="0049044F" w:rsidRPr="00923117">
        <w:t xml:space="preserve"> </w:t>
      </w:r>
      <w:r w:rsidRPr="00923117">
        <w:t>have provided expectations, principles, and approaches</w:t>
      </w:r>
      <w:r>
        <w:t xml:space="preserve"> to further this commitment. These include actions to address five modifiable </w:t>
      </w:r>
      <w:r w:rsidR="00670C2C">
        <w:t>behaviours</w:t>
      </w:r>
      <w:r w:rsidR="00037E5D">
        <w:t xml:space="preserve"> (Table 7)</w:t>
      </w:r>
      <w:r>
        <w:t xml:space="preserve"> to support health and key principles relating to access to timely and quality care. </w:t>
      </w:r>
      <w:r w:rsidR="00E44EC8">
        <w:t>Both</w:t>
      </w:r>
      <w:r>
        <w:t xml:space="preserve"> </w:t>
      </w:r>
      <w:r w:rsidR="00754CD5">
        <w:t>aspects</w:t>
      </w:r>
      <w:r>
        <w:t xml:space="preserve"> will help reduce Health NZ’s emissions over time by reducing the need for and intensity of treatment required.</w:t>
      </w:r>
    </w:p>
    <w:p w14:paraId="37C56ADB" w14:textId="77777777" w:rsidR="00BD66DC" w:rsidRDefault="00BD66DC" w:rsidP="009A77B4"/>
    <w:p w14:paraId="5BCA090F" w14:textId="0BD07CC7" w:rsidR="009E49A3" w:rsidRPr="00653A18" w:rsidRDefault="00B4046E" w:rsidP="00C175FC">
      <w:pPr>
        <w:pStyle w:val="Figure"/>
      </w:pPr>
      <w:bookmarkStart w:id="31" w:name="_Toc198286789"/>
      <w:r>
        <w:lastRenderedPageBreak/>
        <w:t xml:space="preserve">Table </w:t>
      </w:r>
      <w:r>
        <w:fldChar w:fldCharType="begin"/>
      </w:r>
      <w:r>
        <w:instrText xml:space="preserve"> SEQ Table \* ARABIC </w:instrText>
      </w:r>
      <w:r>
        <w:fldChar w:fldCharType="separate"/>
      </w:r>
      <w:r w:rsidR="008B20C4">
        <w:rPr>
          <w:noProof/>
        </w:rPr>
        <w:t>7</w:t>
      </w:r>
      <w:r>
        <w:fldChar w:fldCharType="end"/>
      </w:r>
      <w:r>
        <w:t xml:space="preserve"> Five modifiable </w:t>
      </w:r>
      <w:r w:rsidR="005C7ADC">
        <w:t>risk factors</w:t>
      </w:r>
      <w:r>
        <w:t xml:space="preserve"> from the Government Policy </w:t>
      </w:r>
      <w:r w:rsidR="0072082C">
        <w:t>Statement</w:t>
      </w:r>
      <w:r>
        <w:t xml:space="preserve"> on Health </w:t>
      </w:r>
      <w:r w:rsidR="005C7ADC">
        <w:t>2024-27</w:t>
      </w:r>
      <w:bookmarkEnd w:id="31"/>
    </w:p>
    <w:tbl>
      <w:tblPr>
        <w:tblStyle w:val="TeWhatuOra"/>
        <w:tblW w:w="5000" w:type="pct"/>
        <w:tblLook w:val="04A0" w:firstRow="1" w:lastRow="0" w:firstColumn="1" w:lastColumn="0" w:noHBand="0" w:noVBand="1"/>
      </w:tblPr>
      <w:tblGrid>
        <w:gridCol w:w="3402"/>
        <w:gridCol w:w="6236"/>
      </w:tblGrid>
      <w:tr w:rsidR="00C831A5" w:rsidRPr="00653A18" w14:paraId="7428F9B3" w14:textId="77777777" w:rsidTr="00803944">
        <w:trPr>
          <w:cnfStyle w:val="100000000000" w:firstRow="1" w:lastRow="0" w:firstColumn="0" w:lastColumn="0" w:oddVBand="0" w:evenVBand="0" w:oddHBand="0" w:evenHBand="0" w:firstRowFirstColumn="0" w:firstRowLastColumn="0" w:lastRowFirstColumn="0" w:lastRowLastColumn="0"/>
          <w:trHeight w:hRule="exact" w:val="20"/>
          <w:tblHeader/>
        </w:trPr>
        <w:tc>
          <w:tcPr>
            <w:cnfStyle w:val="001000000000" w:firstRow="0" w:lastRow="0" w:firstColumn="1" w:lastColumn="0" w:oddVBand="0" w:evenVBand="0" w:oddHBand="0" w:evenHBand="0" w:firstRowFirstColumn="0" w:firstRowLastColumn="0" w:lastRowFirstColumn="0" w:lastRowLastColumn="0"/>
            <w:tcW w:w="3402" w:type="dxa"/>
            <w:tcBorders>
              <w:top w:val="nil"/>
              <w:left w:val="nil"/>
              <w:bottom w:val="single" w:sz="8" w:space="0" w:color="BFBFBF" w:themeColor="text1" w:themeTint="40"/>
              <w:right w:val="nil"/>
            </w:tcBorders>
          </w:tcPr>
          <w:p w14:paraId="3998979F" w14:textId="77777777" w:rsidR="00C831A5" w:rsidRDefault="00C831A5">
            <w:pPr>
              <w:rPr>
                <w:sz w:val="2"/>
              </w:rPr>
            </w:pPr>
            <w:bookmarkStart w:id="32" w:name="_d0dcc504_70e6_4a66_8671_fad3669f9e80"/>
            <w:bookmarkStart w:id="33" w:name="_c08e6578_53a2_461c_ae33_77c2b3108ccb"/>
            <w:bookmarkEnd w:id="32"/>
          </w:p>
        </w:tc>
        <w:tc>
          <w:tcPr>
            <w:tcW w:w="6236" w:type="dxa"/>
            <w:tcBorders>
              <w:top w:val="nil"/>
              <w:left w:val="nil"/>
              <w:bottom w:val="single" w:sz="8" w:space="0" w:color="BFBFBF" w:themeColor="text1" w:themeTint="40"/>
              <w:right w:val="nil"/>
            </w:tcBorders>
          </w:tcPr>
          <w:p w14:paraId="2DFD9424" w14:textId="77777777" w:rsidR="00C831A5" w:rsidRDefault="00C831A5">
            <w:pPr>
              <w:cnfStyle w:val="100000000000" w:firstRow="1" w:lastRow="0" w:firstColumn="0" w:lastColumn="0" w:oddVBand="0" w:evenVBand="0" w:oddHBand="0" w:evenHBand="0" w:firstRowFirstColumn="0" w:firstRowLastColumn="0" w:lastRowFirstColumn="0" w:lastRowLastColumn="0"/>
              <w:rPr>
                <w:sz w:val="2"/>
              </w:rPr>
            </w:pPr>
          </w:p>
        </w:tc>
      </w:tr>
      <w:tr w:rsidR="00C831A5" w:rsidRPr="00653A18" w14:paraId="7B4B391E" w14:textId="77777777" w:rsidTr="00803944">
        <w:trPr>
          <w:cnfStyle w:val="100000000000" w:firstRow="1" w:lastRow="0" w:firstColumn="0" w:lastColumn="0" w:oddVBand="0" w:evenVBand="0" w:oddHBand="0" w:evenHBand="0" w:firstRowFirstColumn="0" w:firstRowLastColumn="0" w:lastRowFirstColumn="0" w:lastRowLastColumn="0"/>
          <w:trHeight w:val="271"/>
          <w:tblHeader/>
        </w:trPr>
        <w:tc>
          <w:tcPr>
            <w:cnfStyle w:val="001000000000" w:firstRow="0" w:lastRow="0" w:firstColumn="1" w:lastColumn="0" w:oddVBand="0" w:evenVBand="0" w:oddHBand="0" w:evenHBand="0" w:firstRowFirstColumn="0" w:firstRowLastColumn="0" w:lastRowFirstColumn="0" w:lastRowLastColumn="0"/>
            <w:tcW w:w="3402" w:type="dxa"/>
            <w:tcBorders>
              <w:top w:val="single" w:sz="8" w:space="0" w:color="BFBFBF" w:themeColor="text1" w:themeTint="40"/>
            </w:tcBorders>
          </w:tcPr>
          <w:p w14:paraId="630032F3" w14:textId="77777777" w:rsidR="00C831A5" w:rsidRPr="00653A18" w:rsidRDefault="00C831A5">
            <w:pPr>
              <w:spacing w:before="0" w:after="160" w:line="259" w:lineRule="auto"/>
            </w:pPr>
            <w:r w:rsidRPr="00653A18">
              <w:t xml:space="preserve">Five modifiable </w:t>
            </w:r>
            <w:r>
              <w:t>risk factors</w:t>
            </w:r>
          </w:p>
        </w:tc>
        <w:tc>
          <w:tcPr>
            <w:tcW w:w="6236" w:type="dxa"/>
            <w:tcBorders>
              <w:top w:val="single" w:sz="8" w:space="0" w:color="BFBFBF" w:themeColor="text1" w:themeTint="40"/>
            </w:tcBorders>
          </w:tcPr>
          <w:p w14:paraId="19AF75E9" w14:textId="77777777" w:rsidR="00C831A5" w:rsidRPr="00653A18" w:rsidRDefault="00C831A5">
            <w:pPr>
              <w:spacing w:before="0" w:after="160" w:line="259" w:lineRule="auto"/>
              <w:cnfStyle w:val="100000000000" w:firstRow="1" w:lastRow="0" w:firstColumn="0" w:lastColumn="0" w:oddVBand="0" w:evenVBand="0" w:oddHBand="0" w:evenHBand="0" w:firstRowFirstColumn="0" w:firstRowLastColumn="0" w:lastRowFirstColumn="0" w:lastRowLastColumn="0"/>
            </w:pPr>
            <w:r>
              <w:t>What this means in practice</w:t>
            </w:r>
            <w:r w:rsidRPr="00653A18">
              <w:t xml:space="preserve"> </w:t>
            </w:r>
          </w:p>
        </w:tc>
      </w:tr>
      <w:tr w:rsidR="00C831A5" w:rsidRPr="00653A18" w14:paraId="01F5A571" w14:textId="77777777" w:rsidTr="00803944">
        <w:trPr>
          <w:trHeight w:val="488"/>
        </w:trPr>
        <w:tc>
          <w:tcPr>
            <w:cnfStyle w:val="001000000000" w:firstRow="0" w:lastRow="0" w:firstColumn="1" w:lastColumn="0" w:oddVBand="0" w:evenVBand="0" w:oddHBand="0" w:evenHBand="0" w:firstRowFirstColumn="0" w:firstRowLastColumn="0" w:lastRowFirstColumn="0" w:lastRowLastColumn="0"/>
            <w:tcW w:w="3402" w:type="dxa"/>
          </w:tcPr>
          <w:p w14:paraId="0FDB2D10" w14:textId="77777777" w:rsidR="00C831A5" w:rsidRPr="00653A18" w:rsidRDefault="00C831A5">
            <w:pPr>
              <w:spacing w:before="0" w:after="160" w:line="259" w:lineRule="auto"/>
            </w:pPr>
            <w:r w:rsidRPr="00653A18">
              <w:rPr>
                <w:bCs/>
              </w:rPr>
              <w:t xml:space="preserve">Quit smoking </w:t>
            </w:r>
          </w:p>
        </w:tc>
        <w:tc>
          <w:tcPr>
            <w:tcW w:w="6236" w:type="dxa"/>
          </w:tcPr>
          <w:p w14:paraId="665C6759" w14:textId="77777777" w:rsidR="00C831A5" w:rsidRPr="00653A18" w:rsidRDefault="00C831A5">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 xml:space="preserve">by increasing smokefree and vapefree environments and support the achievement </w:t>
            </w:r>
            <w:r w:rsidRPr="000D699E">
              <w:t>of Smokefree 2025.</w:t>
            </w:r>
          </w:p>
        </w:tc>
      </w:tr>
      <w:tr w:rsidR="00C831A5" w:rsidRPr="00653A18" w14:paraId="7A4EA63D" w14:textId="77777777" w:rsidTr="00803944">
        <w:trPr>
          <w:trHeight w:val="543"/>
        </w:trPr>
        <w:tc>
          <w:tcPr>
            <w:cnfStyle w:val="001000000000" w:firstRow="0" w:lastRow="0" w:firstColumn="1" w:lastColumn="0" w:oddVBand="0" w:evenVBand="0" w:oddHBand="0" w:evenHBand="0" w:firstRowFirstColumn="0" w:firstRowLastColumn="0" w:lastRowFirstColumn="0" w:lastRowLastColumn="0"/>
            <w:tcW w:w="3402" w:type="dxa"/>
          </w:tcPr>
          <w:p w14:paraId="47D886F0" w14:textId="77777777" w:rsidR="00C831A5" w:rsidRPr="00653A18" w:rsidRDefault="00C831A5">
            <w:pPr>
              <w:spacing w:before="0" w:after="160" w:line="259" w:lineRule="auto"/>
            </w:pPr>
            <w:r w:rsidRPr="00653A18">
              <w:rPr>
                <w:bCs/>
              </w:rPr>
              <w:t xml:space="preserve">Eat better </w:t>
            </w:r>
          </w:p>
        </w:tc>
        <w:tc>
          <w:tcPr>
            <w:tcW w:w="6236" w:type="dxa"/>
          </w:tcPr>
          <w:p w14:paraId="58BD8971" w14:textId="77777777" w:rsidR="00C831A5" w:rsidRPr="00653A18" w:rsidRDefault="00C831A5">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by increasing access to affordable, healthy food and drink, supporting healthy food choices.</w:t>
            </w:r>
          </w:p>
        </w:tc>
      </w:tr>
      <w:tr w:rsidR="00C831A5" w:rsidRPr="00653A18" w14:paraId="6B60D2D2" w14:textId="77777777" w:rsidTr="00803944">
        <w:trPr>
          <w:trHeight w:val="675"/>
        </w:trPr>
        <w:tc>
          <w:tcPr>
            <w:cnfStyle w:val="001000000000" w:firstRow="0" w:lastRow="0" w:firstColumn="1" w:lastColumn="0" w:oddVBand="0" w:evenVBand="0" w:oddHBand="0" w:evenHBand="0" w:firstRowFirstColumn="0" w:firstRowLastColumn="0" w:lastRowFirstColumn="0" w:lastRowLastColumn="0"/>
            <w:tcW w:w="3402" w:type="dxa"/>
          </w:tcPr>
          <w:p w14:paraId="364C6B78" w14:textId="77777777" w:rsidR="00C831A5" w:rsidRPr="00653A18" w:rsidRDefault="00C831A5">
            <w:pPr>
              <w:spacing w:before="0" w:after="160" w:line="259" w:lineRule="auto"/>
            </w:pPr>
            <w:r w:rsidRPr="00653A18">
              <w:rPr>
                <w:bCs/>
              </w:rPr>
              <w:t xml:space="preserve">Increase physical activity </w:t>
            </w:r>
          </w:p>
        </w:tc>
        <w:tc>
          <w:tcPr>
            <w:tcW w:w="6236" w:type="dxa"/>
          </w:tcPr>
          <w:p w14:paraId="2CC3B76E" w14:textId="77777777" w:rsidR="00C831A5" w:rsidRPr="00653A18" w:rsidRDefault="00C831A5">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by increasing access to physically active options, facilities, and supportive environments.</w:t>
            </w:r>
          </w:p>
        </w:tc>
      </w:tr>
      <w:tr w:rsidR="00C831A5" w:rsidRPr="00653A18" w14:paraId="2037CD07" w14:textId="77777777" w:rsidTr="00803944">
        <w:trPr>
          <w:trHeight w:val="594"/>
        </w:trPr>
        <w:tc>
          <w:tcPr>
            <w:cnfStyle w:val="001000000000" w:firstRow="0" w:lastRow="0" w:firstColumn="1" w:lastColumn="0" w:oddVBand="0" w:evenVBand="0" w:oddHBand="0" w:evenHBand="0" w:firstRowFirstColumn="0" w:firstRowLastColumn="0" w:lastRowFirstColumn="0" w:lastRowLastColumn="0"/>
            <w:tcW w:w="3402" w:type="dxa"/>
          </w:tcPr>
          <w:p w14:paraId="7C84B6A6" w14:textId="77777777" w:rsidR="00C831A5" w:rsidRPr="00653A18" w:rsidRDefault="00C831A5">
            <w:pPr>
              <w:spacing w:before="0" w:after="160" w:line="259" w:lineRule="auto"/>
            </w:pPr>
            <w:r w:rsidRPr="00653A18">
              <w:rPr>
                <w:bCs/>
              </w:rPr>
              <w:t xml:space="preserve">Minimise harm from alcohol </w:t>
            </w:r>
          </w:p>
        </w:tc>
        <w:tc>
          <w:tcPr>
            <w:tcW w:w="6236" w:type="dxa"/>
          </w:tcPr>
          <w:p w14:paraId="0A6001F5" w14:textId="77777777" w:rsidR="00C831A5" w:rsidRPr="00653A18" w:rsidRDefault="00C831A5">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by reducing alcohol access and normalisation.</w:t>
            </w:r>
          </w:p>
        </w:tc>
      </w:tr>
      <w:tr w:rsidR="00C831A5" w:rsidRPr="00653A18" w14:paraId="2D8C6802" w14:textId="77777777" w:rsidTr="00803944">
        <w:trPr>
          <w:trHeight w:val="680"/>
        </w:trPr>
        <w:tc>
          <w:tcPr>
            <w:cnfStyle w:val="001000000000" w:firstRow="0" w:lastRow="0" w:firstColumn="1" w:lastColumn="0" w:oddVBand="0" w:evenVBand="0" w:oddHBand="0" w:evenHBand="0" w:firstRowFirstColumn="0" w:firstRowLastColumn="0" w:lastRowFirstColumn="0" w:lastRowLastColumn="0"/>
            <w:tcW w:w="3402" w:type="dxa"/>
          </w:tcPr>
          <w:p w14:paraId="17C141CA" w14:textId="77777777" w:rsidR="00C831A5" w:rsidRPr="00653A18" w:rsidRDefault="00C831A5">
            <w:pPr>
              <w:spacing w:before="0" w:after="160" w:line="259" w:lineRule="auto"/>
            </w:pPr>
            <w:r w:rsidRPr="00653A18">
              <w:rPr>
                <w:bCs/>
              </w:rPr>
              <w:t xml:space="preserve">Develop positive and healthy relationships </w:t>
            </w:r>
          </w:p>
        </w:tc>
        <w:tc>
          <w:tcPr>
            <w:tcW w:w="6236" w:type="dxa"/>
          </w:tcPr>
          <w:p w14:paraId="6C05975B" w14:textId="77777777" w:rsidR="00C831A5" w:rsidRPr="00653A18" w:rsidRDefault="00C831A5">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653A18">
              <w:t>by creating thriving, connected neighbourhoods, and maintaining healthy environments.</w:t>
            </w:r>
          </w:p>
        </w:tc>
      </w:tr>
      <w:bookmarkEnd w:id="33"/>
    </w:tbl>
    <w:p w14:paraId="7E7EE891" w14:textId="77777777" w:rsidR="00C831A5" w:rsidRDefault="00C831A5" w:rsidP="00C831A5">
      <w:pPr>
        <w:spacing w:after="0"/>
      </w:pPr>
    </w:p>
    <w:p w14:paraId="7FE33998" w14:textId="627B0DA4" w:rsidR="00531303" w:rsidRPr="00653A18" w:rsidRDefault="00E31EF9" w:rsidP="00C831A5">
      <w:pPr>
        <w:pStyle w:val="Heading2"/>
        <w:spacing w:before="120"/>
      </w:pPr>
      <w:bookmarkStart w:id="34" w:name="_Toc204940768"/>
      <w:r>
        <w:t>Health Target</w:t>
      </w:r>
      <w:r w:rsidR="00D54B68">
        <w:t>s</w:t>
      </w:r>
      <w:r w:rsidR="00531303">
        <w:t xml:space="preserve"> </w:t>
      </w:r>
      <w:r w:rsidR="00BC0470">
        <w:t xml:space="preserve">and </w:t>
      </w:r>
      <w:r w:rsidR="00B7241A">
        <w:t>emission</w:t>
      </w:r>
      <w:r w:rsidR="00BC0470">
        <w:t>s</w:t>
      </w:r>
      <w:r w:rsidR="00B7241A">
        <w:t xml:space="preserve"> reduction </w:t>
      </w:r>
      <w:r w:rsidR="00794BFF">
        <w:t>co-benefits</w:t>
      </w:r>
      <w:bookmarkEnd w:id="34"/>
    </w:p>
    <w:p w14:paraId="5D427A63" w14:textId="2102186D" w:rsidR="00FA0C5C" w:rsidRDefault="00F14742" w:rsidP="00531303">
      <w:pPr>
        <w:rPr>
          <w:shd w:val="clear" w:color="auto" w:fill="FFFFFF"/>
        </w:rPr>
      </w:pPr>
      <w:r>
        <w:rPr>
          <w:shd w:val="clear" w:color="auto" w:fill="FFFFFF"/>
        </w:rPr>
        <w:t xml:space="preserve">At </w:t>
      </w:r>
      <w:r w:rsidRPr="00F14742">
        <w:rPr>
          <w:shd w:val="clear" w:color="auto" w:fill="FFFFFF"/>
        </w:rPr>
        <w:t>Health New Zealand | Te Whatu Ora our ambition is to provide quality, compassionate, affordable healthcare to all New Zealanders, at the right time and in the right place</w:t>
      </w:r>
      <w:r>
        <w:rPr>
          <w:shd w:val="clear" w:color="auto" w:fill="FFFFFF"/>
        </w:rPr>
        <w:t xml:space="preserve">. </w:t>
      </w:r>
      <w:r w:rsidR="004D7BE6">
        <w:rPr>
          <w:shd w:val="clear" w:color="auto" w:fill="FFFFFF"/>
        </w:rPr>
        <w:t xml:space="preserve">Prevention and timely interventions can help reduce emissions through reducing </w:t>
      </w:r>
      <w:r w:rsidR="00821BB0">
        <w:rPr>
          <w:shd w:val="clear" w:color="auto" w:fill="FFFFFF"/>
        </w:rPr>
        <w:t xml:space="preserve">the need for more intensive care and support. </w:t>
      </w:r>
    </w:p>
    <w:p w14:paraId="4B2570F5" w14:textId="0EAD57F3" w:rsidR="00531303" w:rsidRDefault="008913B3" w:rsidP="00680C34">
      <w:pPr>
        <w:spacing w:after="120"/>
        <w:rPr>
          <w:shd w:val="clear" w:color="auto" w:fill="FFFFFF"/>
        </w:rPr>
      </w:pPr>
      <w:r w:rsidRPr="008913B3">
        <w:rPr>
          <w:shd w:val="clear" w:color="auto" w:fill="FFFFFF"/>
        </w:rPr>
        <w:t>In 2024</w:t>
      </w:r>
      <w:r w:rsidR="00D50D7B">
        <w:rPr>
          <w:shd w:val="clear" w:color="auto" w:fill="FFFFFF"/>
        </w:rPr>
        <w:t>,</w:t>
      </w:r>
      <w:r w:rsidRPr="008913B3">
        <w:rPr>
          <w:shd w:val="clear" w:color="auto" w:fill="FFFFFF"/>
        </w:rPr>
        <w:t xml:space="preserve"> the Government announced </w:t>
      </w:r>
      <w:r w:rsidR="00096743">
        <w:rPr>
          <w:shd w:val="clear" w:color="auto" w:fill="FFFFFF"/>
        </w:rPr>
        <w:t xml:space="preserve">five </w:t>
      </w:r>
      <w:r w:rsidRPr="008913B3">
        <w:rPr>
          <w:shd w:val="clear" w:color="auto" w:fill="FFFFFF"/>
        </w:rPr>
        <w:t>health targets</w:t>
      </w:r>
      <w:r w:rsidR="00096743">
        <w:rPr>
          <w:shd w:val="clear" w:color="auto" w:fill="FFFFFF"/>
        </w:rPr>
        <w:t xml:space="preserve"> and five mental health</w:t>
      </w:r>
      <w:r w:rsidR="001D7827">
        <w:rPr>
          <w:shd w:val="clear" w:color="auto" w:fill="FFFFFF"/>
        </w:rPr>
        <w:t xml:space="preserve"> and addiction</w:t>
      </w:r>
      <w:r w:rsidR="00096743">
        <w:rPr>
          <w:shd w:val="clear" w:color="auto" w:fill="FFFFFF"/>
        </w:rPr>
        <w:t xml:space="preserve"> targets</w:t>
      </w:r>
      <w:r w:rsidR="00821BB0">
        <w:rPr>
          <w:shd w:val="clear" w:color="auto" w:fill="FFFFFF"/>
        </w:rPr>
        <w:t xml:space="preserve"> to </w:t>
      </w:r>
      <w:r w:rsidR="00C3608A">
        <w:rPr>
          <w:shd w:val="clear" w:color="auto" w:fill="FFFFFF"/>
        </w:rPr>
        <w:t xml:space="preserve">drive the provision of </w:t>
      </w:r>
      <w:r w:rsidR="002E5EF2">
        <w:rPr>
          <w:shd w:val="clear" w:color="auto" w:fill="FFFFFF"/>
        </w:rPr>
        <w:t>care at the right time in the right place</w:t>
      </w:r>
      <w:r w:rsidR="00096743">
        <w:rPr>
          <w:shd w:val="clear" w:color="auto" w:fill="FFFFFF"/>
        </w:rPr>
        <w:t xml:space="preserve">. </w:t>
      </w:r>
      <w:r w:rsidR="002E5EF2">
        <w:rPr>
          <w:shd w:val="clear" w:color="auto" w:fill="FFFFFF"/>
        </w:rPr>
        <w:t>The health targets are</w:t>
      </w:r>
      <w:r w:rsidR="000C16B1">
        <w:rPr>
          <w:shd w:val="clear" w:color="auto" w:fill="FFFFFF"/>
        </w:rPr>
        <w:t xml:space="preserve"> </w:t>
      </w:r>
      <w:r w:rsidRPr="008913B3">
        <w:rPr>
          <w:shd w:val="clear" w:color="auto" w:fill="FFFFFF"/>
        </w:rPr>
        <w:t>for cancer treatment, childhood immunisation, emergency departments and wait times for first specialist assessments and elective treatment.</w:t>
      </w:r>
      <w:r>
        <w:rPr>
          <w:shd w:val="clear" w:color="auto" w:fill="FFFFFF"/>
        </w:rPr>
        <w:t xml:space="preserve"> </w:t>
      </w:r>
      <w:r w:rsidR="00874D2F">
        <w:rPr>
          <w:shd w:val="clear" w:color="auto" w:fill="FFFFFF"/>
        </w:rPr>
        <w:t>In addition</w:t>
      </w:r>
      <w:r w:rsidR="00CF1003">
        <w:rPr>
          <w:shd w:val="clear" w:color="auto" w:fill="FFFFFF"/>
        </w:rPr>
        <w:t xml:space="preserve"> to the </w:t>
      </w:r>
      <w:r w:rsidR="001D7950">
        <w:rPr>
          <w:shd w:val="clear" w:color="auto" w:fill="FFFFFF"/>
        </w:rPr>
        <w:t xml:space="preserve">co-benefits derived through the </w:t>
      </w:r>
      <w:r w:rsidR="00AB2583">
        <w:rPr>
          <w:shd w:val="clear" w:color="auto" w:fill="FFFFFF"/>
        </w:rPr>
        <w:t>prevention</w:t>
      </w:r>
      <w:r w:rsidR="00CF1003">
        <w:rPr>
          <w:shd w:val="clear" w:color="auto" w:fill="FFFFFF"/>
        </w:rPr>
        <w:t xml:space="preserve"> </w:t>
      </w:r>
      <w:r w:rsidR="00AE2A03">
        <w:rPr>
          <w:shd w:val="clear" w:color="auto" w:fill="FFFFFF"/>
        </w:rPr>
        <w:t xml:space="preserve">aspects </w:t>
      </w:r>
      <w:r w:rsidR="00793FB1">
        <w:rPr>
          <w:shd w:val="clear" w:color="auto" w:fill="FFFFFF"/>
        </w:rPr>
        <w:t xml:space="preserve">of </w:t>
      </w:r>
      <w:r>
        <w:rPr>
          <w:shd w:val="clear" w:color="auto" w:fill="FFFFFF"/>
        </w:rPr>
        <w:t>these targets</w:t>
      </w:r>
      <w:r w:rsidR="002E5EF2">
        <w:rPr>
          <w:shd w:val="clear" w:color="auto" w:fill="FFFFFF"/>
        </w:rPr>
        <w:t xml:space="preserve"> (e.g. childhood immunisation</w:t>
      </w:r>
      <w:r w:rsidR="001D7827">
        <w:rPr>
          <w:shd w:val="clear" w:color="auto" w:fill="FFFFFF"/>
        </w:rPr>
        <w:t xml:space="preserve"> and </w:t>
      </w:r>
      <w:r w:rsidR="004968BF">
        <w:rPr>
          <w:shd w:val="clear" w:color="auto" w:fill="FFFFFF"/>
        </w:rPr>
        <w:t>s</w:t>
      </w:r>
      <w:r w:rsidR="00570D3D" w:rsidRPr="00570D3D">
        <w:rPr>
          <w:shd w:val="clear" w:color="auto" w:fill="FFFFFF"/>
        </w:rPr>
        <w:t>trengthened focus on prevention and early intervention</w:t>
      </w:r>
      <w:r w:rsidR="00570D3D">
        <w:rPr>
          <w:shd w:val="clear" w:color="auto" w:fill="FFFFFF"/>
        </w:rPr>
        <w:t xml:space="preserve"> for Mental Health</w:t>
      </w:r>
      <w:r w:rsidR="002E5EF2">
        <w:rPr>
          <w:shd w:val="clear" w:color="auto" w:fill="FFFFFF"/>
        </w:rPr>
        <w:t>)</w:t>
      </w:r>
      <w:r w:rsidR="0091322C">
        <w:rPr>
          <w:shd w:val="clear" w:color="auto" w:fill="FFFFFF"/>
        </w:rPr>
        <w:t xml:space="preserve">, further </w:t>
      </w:r>
      <w:r w:rsidR="00952561">
        <w:rPr>
          <w:shd w:val="clear" w:color="auto" w:fill="FFFFFF"/>
        </w:rPr>
        <w:t xml:space="preserve">emissions reductions </w:t>
      </w:r>
      <w:r w:rsidR="000E0F11">
        <w:rPr>
          <w:shd w:val="clear" w:color="auto" w:fill="FFFFFF"/>
        </w:rPr>
        <w:t xml:space="preserve">will likely be associated with </w:t>
      </w:r>
      <w:r w:rsidR="00AA6582">
        <w:rPr>
          <w:shd w:val="clear" w:color="auto" w:fill="FFFFFF"/>
        </w:rPr>
        <w:t xml:space="preserve">the drive for </w:t>
      </w:r>
      <w:r w:rsidR="0095689C">
        <w:rPr>
          <w:shd w:val="clear" w:color="auto" w:fill="FFFFFF"/>
        </w:rPr>
        <w:t xml:space="preserve">more </w:t>
      </w:r>
      <w:r w:rsidR="00764C47">
        <w:rPr>
          <w:shd w:val="clear" w:color="auto" w:fill="FFFFFF"/>
        </w:rPr>
        <w:t>timely deliver</w:t>
      </w:r>
      <w:r w:rsidR="00E87B9B">
        <w:rPr>
          <w:shd w:val="clear" w:color="auto" w:fill="FFFFFF"/>
        </w:rPr>
        <w:t>y</w:t>
      </w:r>
      <w:r w:rsidR="00764C47">
        <w:rPr>
          <w:shd w:val="clear" w:color="auto" w:fill="FFFFFF"/>
        </w:rPr>
        <w:t xml:space="preserve"> of </w:t>
      </w:r>
      <w:r w:rsidR="00DC165C">
        <w:rPr>
          <w:shd w:val="clear" w:color="auto" w:fill="FFFFFF"/>
        </w:rPr>
        <w:t xml:space="preserve">health </w:t>
      </w:r>
      <w:r w:rsidR="00AB2583">
        <w:rPr>
          <w:shd w:val="clear" w:color="auto" w:fill="FFFFFF"/>
        </w:rPr>
        <w:t>and mental health</w:t>
      </w:r>
      <w:r w:rsidR="00DC165C">
        <w:rPr>
          <w:shd w:val="clear" w:color="auto" w:fill="FFFFFF"/>
        </w:rPr>
        <w:t xml:space="preserve"> services</w:t>
      </w:r>
      <w:r w:rsidR="00531303" w:rsidRPr="00A070B7">
        <w:rPr>
          <w:shd w:val="clear" w:color="auto" w:fill="FFFFFF"/>
        </w:rPr>
        <w:t>.</w:t>
      </w:r>
      <w:r w:rsidR="007733CF">
        <w:rPr>
          <w:shd w:val="clear" w:color="auto" w:fill="FFFFFF"/>
        </w:rPr>
        <w:t xml:space="preserve"> </w:t>
      </w:r>
      <w:r w:rsidR="0085032B">
        <w:rPr>
          <w:shd w:val="clear" w:color="auto" w:fill="FFFFFF"/>
        </w:rPr>
        <w:t>Examples include:</w:t>
      </w:r>
    </w:p>
    <w:p w14:paraId="5DA6C86C" w14:textId="2DBDAD41" w:rsidR="0085032B" w:rsidRDefault="00BF4905" w:rsidP="004B7C81">
      <w:pPr>
        <w:pStyle w:val="ListParagraph"/>
        <w:numPr>
          <w:ilvl w:val="0"/>
          <w:numId w:val="17"/>
        </w:numPr>
        <w:rPr>
          <w:shd w:val="clear" w:color="auto" w:fill="FFFFFF"/>
        </w:rPr>
      </w:pPr>
      <w:r>
        <w:rPr>
          <w:shd w:val="clear" w:color="auto" w:fill="FFFFFF"/>
        </w:rPr>
        <w:t>F</w:t>
      </w:r>
      <w:r w:rsidR="00901820" w:rsidRPr="00901820">
        <w:rPr>
          <w:shd w:val="clear" w:color="auto" w:fill="FFFFFF"/>
        </w:rPr>
        <w:t>aster access to</w:t>
      </w:r>
      <w:r w:rsidR="00901820">
        <w:rPr>
          <w:shd w:val="clear" w:color="auto" w:fill="FFFFFF"/>
        </w:rPr>
        <w:t xml:space="preserve"> </w:t>
      </w:r>
      <w:r w:rsidR="001D7827">
        <w:rPr>
          <w:shd w:val="clear" w:color="auto" w:fill="FFFFFF"/>
        </w:rPr>
        <w:t xml:space="preserve">health and mental health assessment, services and </w:t>
      </w:r>
      <w:r w:rsidR="00901820" w:rsidRPr="00901820">
        <w:rPr>
          <w:shd w:val="clear" w:color="auto" w:fill="FFFFFF"/>
        </w:rPr>
        <w:t>treatments</w:t>
      </w:r>
      <w:r w:rsidR="00BF721B">
        <w:rPr>
          <w:shd w:val="clear" w:color="auto" w:fill="FFFFFF"/>
        </w:rPr>
        <w:t xml:space="preserve"> </w:t>
      </w:r>
      <w:r w:rsidR="00184F02">
        <w:rPr>
          <w:shd w:val="clear" w:color="auto" w:fill="FFFFFF"/>
        </w:rPr>
        <w:t xml:space="preserve">- </w:t>
      </w:r>
      <w:r w:rsidR="0049616F">
        <w:rPr>
          <w:shd w:val="clear" w:color="auto" w:fill="FFFFFF"/>
        </w:rPr>
        <w:t>reducing</w:t>
      </w:r>
      <w:r w:rsidR="00FB20F4">
        <w:rPr>
          <w:shd w:val="clear" w:color="auto" w:fill="FFFFFF"/>
        </w:rPr>
        <w:t xml:space="preserve"> the likelihood </w:t>
      </w:r>
      <w:r w:rsidR="00552226">
        <w:rPr>
          <w:shd w:val="clear" w:color="auto" w:fill="FFFFFF"/>
        </w:rPr>
        <w:t xml:space="preserve">of more </w:t>
      </w:r>
      <w:r w:rsidR="00005BC6">
        <w:rPr>
          <w:shd w:val="clear" w:color="auto" w:fill="FFFFFF"/>
        </w:rPr>
        <w:t xml:space="preserve">intensive </w:t>
      </w:r>
      <w:r w:rsidR="00D517BC">
        <w:rPr>
          <w:shd w:val="clear" w:color="auto" w:fill="FFFFFF"/>
        </w:rPr>
        <w:t>health services</w:t>
      </w:r>
      <w:r w:rsidR="0065093D">
        <w:rPr>
          <w:shd w:val="clear" w:color="auto" w:fill="FFFFFF"/>
        </w:rPr>
        <w:t xml:space="preserve"> </w:t>
      </w:r>
      <w:r w:rsidR="001437EC">
        <w:rPr>
          <w:shd w:val="clear" w:color="auto" w:fill="FFFFFF"/>
        </w:rPr>
        <w:t xml:space="preserve">being </w:t>
      </w:r>
      <w:r w:rsidR="0065093D">
        <w:rPr>
          <w:shd w:val="clear" w:color="auto" w:fill="FFFFFF"/>
        </w:rPr>
        <w:t>required</w:t>
      </w:r>
      <w:r w:rsidR="002B4C7D">
        <w:rPr>
          <w:shd w:val="clear" w:color="auto" w:fill="FFFFFF"/>
        </w:rPr>
        <w:t xml:space="preserve">, which are </w:t>
      </w:r>
      <w:r w:rsidR="001437EC">
        <w:rPr>
          <w:shd w:val="clear" w:color="auto" w:fill="FFFFFF"/>
        </w:rPr>
        <w:t xml:space="preserve">likely to be </w:t>
      </w:r>
      <w:r w:rsidR="002B4C7D">
        <w:rPr>
          <w:shd w:val="clear" w:color="auto" w:fill="FFFFFF"/>
        </w:rPr>
        <w:t>more emission</w:t>
      </w:r>
      <w:r w:rsidR="00D34689">
        <w:rPr>
          <w:shd w:val="clear" w:color="auto" w:fill="FFFFFF"/>
        </w:rPr>
        <w:t>s</w:t>
      </w:r>
      <w:r w:rsidR="002B4C7D">
        <w:rPr>
          <w:shd w:val="clear" w:color="auto" w:fill="FFFFFF"/>
        </w:rPr>
        <w:t xml:space="preserve"> intensive. </w:t>
      </w:r>
    </w:p>
    <w:p w14:paraId="5F21D3CB" w14:textId="3BFB1134" w:rsidR="004E4BEF" w:rsidRDefault="004E4BEF" w:rsidP="004B7C81">
      <w:pPr>
        <w:pStyle w:val="ListParagraph"/>
        <w:numPr>
          <w:ilvl w:val="0"/>
          <w:numId w:val="17"/>
        </w:numPr>
        <w:rPr>
          <w:shd w:val="clear" w:color="auto" w:fill="FFFFFF"/>
        </w:rPr>
      </w:pPr>
      <w:r>
        <w:rPr>
          <w:shd w:val="clear" w:color="auto" w:fill="FFFFFF"/>
        </w:rPr>
        <w:t xml:space="preserve">Patient travel emissions can </w:t>
      </w:r>
      <w:r w:rsidR="001437EC">
        <w:rPr>
          <w:shd w:val="clear" w:color="auto" w:fill="FFFFFF"/>
        </w:rPr>
        <w:t xml:space="preserve">also </w:t>
      </w:r>
      <w:r>
        <w:rPr>
          <w:shd w:val="clear" w:color="auto" w:fill="FFFFFF"/>
        </w:rPr>
        <w:t>be reduced through:</w:t>
      </w:r>
    </w:p>
    <w:p w14:paraId="19972A0E" w14:textId="4C1B6BE3" w:rsidR="004E4BEF" w:rsidRDefault="00D400A8" w:rsidP="0014235E">
      <w:pPr>
        <w:pStyle w:val="ListParagraph"/>
        <w:numPr>
          <w:ilvl w:val="1"/>
          <w:numId w:val="17"/>
        </w:numPr>
        <w:spacing w:after="120" w:line="240" w:lineRule="auto"/>
        <w:ind w:left="1434" w:hanging="357"/>
        <w:rPr>
          <w:shd w:val="clear" w:color="auto" w:fill="FFFFFF"/>
        </w:rPr>
      </w:pPr>
      <w:r>
        <w:rPr>
          <w:shd w:val="clear" w:color="auto" w:fill="FFFFFF"/>
        </w:rPr>
        <w:t>More c</w:t>
      </w:r>
      <w:r w:rsidR="00E145B2">
        <w:rPr>
          <w:shd w:val="clear" w:color="auto" w:fill="FFFFFF"/>
        </w:rPr>
        <w:t>oordinated service delivery</w:t>
      </w:r>
      <w:r w:rsidR="00184F02">
        <w:rPr>
          <w:shd w:val="clear" w:color="auto" w:fill="FFFFFF"/>
        </w:rPr>
        <w:t xml:space="preserve"> </w:t>
      </w:r>
      <w:r w:rsidR="000C16B1">
        <w:rPr>
          <w:shd w:val="clear" w:color="auto" w:fill="FFFFFF"/>
        </w:rPr>
        <w:t>reducing the number of separate patient appointments</w:t>
      </w:r>
    </w:p>
    <w:p w14:paraId="619F1658" w14:textId="09040C10" w:rsidR="00E145B2" w:rsidRDefault="004E4BEF" w:rsidP="0014235E">
      <w:pPr>
        <w:pStyle w:val="ListParagraph"/>
        <w:numPr>
          <w:ilvl w:val="1"/>
          <w:numId w:val="17"/>
        </w:numPr>
        <w:spacing w:after="120" w:line="240" w:lineRule="auto"/>
        <w:ind w:left="1434" w:hanging="357"/>
        <w:rPr>
          <w:shd w:val="clear" w:color="auto" w:fill="FFFFFF"/>
        </w:rPr>
      </w:pPr>
      <w:r>
        <w:rPr>
          <w:shd w:val="clear" w:color="auto" w:fill="FFFFFF"/>
        </w:rPr>
        <w:t>E</w:t>
      </w:r>
      <w:r w:rsidR="00D755AC">
        <w:rPr>
          <w:shd w:val="clear" w:color="auto" w:fill="FFFFFF"/>
        </w:rPr>
        <w:t>nabling some services to be provided in more locations, closer to patients and wh</w:t>
      </w:r>
      <w:r w:rsidR="000A27BD">
        <w:rPr>
          <w:rFonts w:cstheme="minorHAnsi"/>
          <w:shd w:val="clear" w:color="auto" w:fill="FFFFFF"/>
        </w:rPr>
        <w:t>ā</w:t>
      </w:r>
      <w:r w:rsidR="00D755AC">
        <w:rPr>
          <w:shd w:val="clear" w:color="auto" w:fill="FFFFFF"/>
        </w:rPr>
        <w:t>nau</w:t>
      </w:r>
    </w:p>
    <w:p w14:paraId="7FF4E272" w14:textId="5C96AE92" w:rsidR="0078748C" w:rsidRPr="00901820" w:rsidRDefault="0078748C" w:rsidP="0014235E">
      <w:pPr>
        <w:pStyle w:val="ListParagraph"/>
        <w:numPr>
          <w:ilvl w:val="1"/>
          <w:numId w:val="17"/>
        </w:numPr>
        <w:spacing w:after="120" w:line="240" w:lineRule="auto"/>
        <w:ind w:left="1434" w:hanging="357"/>
        <w:rPr>
          <w:shd w:val="clear" w:color="auto" w:fill="FFFFFF"/>
        </w:rPr>
      </w:pPr>
      <w:r>
        <w:rPr>
          <w:shd w:val="clear" w:color="auto" w:fill="FFFFFF"/>
        </w:rPr>
        <w:t>Increased use of digital hea</w:t>
      </w:r>
      <w:r w:rsidR="004B0D4A">
        <w:rPr>
          <w:shd w:val="clear" w:color="auto" w:fill="FFFFFF"/>
        </w:rPr>
        <w:t>lthcare</w:t>
      </w:r>
    </w:p>
    <w:p w14:paraId="00487FAF" w14:textId="03E1DF96" w:rsidR="004A6EF3" w:rsidRPr="00653A18" w:rsidRDefault="00901E93" w:rsidP="00901E93">
      <w:pPr>
        <w:pStyle w:val="Heading2"/>
      </w:pPr>
      <w:bookmarkStart w:id="35" w:name="_Toc204940769"/>
      <w:r w:rsidRPr="00653A18">
        <w:lastRenderedPageBreak/>
        <w:t>Wider innovation levers</w:t>
      </w:r>
      <w:bookmarkEnd w:id="35"/>
    </w:p>
    <w:p w14:paraId="7F3E6F37" w14:textId="769C5D0C" w:rsidR="00964CCE" w:rsidRPr="00653A18" w:rsidRDefault="00964CCE" w:rsidP="00A468C2">
      <w:r w:rsidRPr="00653A18">
        <w:t xml:space="preserve">Various national and global opportunities within and beyond the health sector will provide mechanisms for </w:t>
      </w:r>
      <w:r w:rsidR="008674ED" w:rsidRPr="00653A18">
        <w:t xml:space="preserve">Health NZ to reduce emissions. These include </w:t>
      </w:r>
      <w:r w:rsidRPr="00653A18">
        <w:t xml:space="preserve">legislative levers and market innovations. </w:t>
      </w:r>
    </w:p>
    <w:p w14:paraId="15C37ADC" w14:textId="7AE7BD32" w:rsidR="00A468C2" w:rsidRPr="00653A18" w:rsidRDefault="00A468C2" w:rsidP="00A468C2">
      <w:pPr>
        <w:pStyle w:val="Heading3"/>
      </w:pPr>
      <w:bookmarkStart w:id="36" w:name="_Toc204940770"/>
      <w:r w:rsidRPr="00653A18">
        <w:t xml:space="preserve">Health </w:t>
      </w:r>
      <w:r w:rsidR="00F91429">
        <w:t>t</w:t>
      </w:r>
      <w:r w:rsidR="0067444D">
        <w:t>echnology</w:t>
      </w:r>
      <w:r w:rsidR="00C5026F">
        <w:t xml:space="preserve"> </w:t>
      </w:r>
      <w:r w:rsidR="007A4A4F">
        <w:t>and innovation</w:t>
      </w:r>
      <w:bookmarkEnd w:id="36"/>
    </w:p>
    <w:p w14:paraId="074CFF0D" w14:textId="5D437E78" w:rsidR="00A468C2" w:rsidRPr="00653A18" w:rsidRDefault="00A468C2" w:rsidP="00A468C2">
      <w:r w:rsidRPr="00653A18">
        <w:t xml:space="preserve">Within the health sector, innovation and advances in health technology will provide further opportunity for improving patient care whilst reducing emissions, through reducing the intensity and/or length of healthcare interventions. Health NZ should remain cognisant of market innovation and disruption and seek to trial where feasible:  </w:t>
      </w:r>
    </w:p>
    <w:p w14:paraId="2FE140E2" w14:textId="0A09FB6D" w:rsidR="00A468C2" w:rsidRPr="00653A18" w:rsidRDefault="00B823E5" w:rsidP="00167FC4">
      <w:pPr>
        <w:pStyle w:val="Bulletpoints2"/>
        <w:spacing w:before="120" w:after="120" w:line="240" w:lineRule="auto"/>
        <w:ind w:left="714" w:hanging="357"/>
        <w:rPr>
          <w:lang w:val="en-NZ"/>
        </w:rPr>
      </w:pPr>
      <w:r>
        <w:rPr>
          <w:lang w:val="en-NZ"/>
        </w:rPr>
        <w:t>Prediction and early intervention - a</w:t>
      </w:r>
      <w:r w:rsidR="00A468C2" w:rsidRPr="00653A18">
        <w:rPr>
          <w:lang w:val="en-NZ"/>
        </w:rPr>
        <w:t xml:space="preserve">dvances in predictive capability and earlier intervention </w:t>
      </w:r>
      <w:r w:rsidR="002A794E">
        <w:rPr>
          <w:lang w:val="en-NZ"/>
        </w:rPr>
        <w:t xml:space="preserve">to </w:t>
      </w:r>
      <w:r w:rsidR="00A468C2" w:rsidRPr="00653A18">
        <w:rPr>
          <w:lang w:val="en-NZ"/>
        </w:rPr>
        <w:t xml:space="preserve">support New Zealanders to stay </w:t>
      </w:r>
      <w:r w:rsidR="00892929" w:rsidRPr="00653A18">
        <w:rPr>
          <w:lang w:val="en-NZ"/>
        </w:rPr>
        <w:t>well.</w:t>
      </w:r>
      <w:r w:rsidR="00A468C2" w:rsidRPr="00653A18">
        <w:rPr>
          <w:lang w:val="en-NZ"/>
        </w:rPr>
        <w:t xml:space="preserve"> </w:t>
      </w:r>
    </w:p>
    <w:p w14:paraId="6F82E98D" w14:textId="3A5FCF27" w:rsidR="00A468C2" w:rsidRPr="00653A18" w:rsidRDefault="00B823E5" w:rsidP="00167FC4">
      <w:pPr>
        <w:pStyle w:val="Bulletpoints2"/>
        <w:spacing w:before="120" w:after="120" w:line="240" w:lineRule="auto"/>
        <w:ind w:left="714" w:hanging="357"/>
        <w:rPr>
          <w:lang w:val="en-NZ"/>
        </w:rPr>
      </w:pPr>
      <w:r>
        <w:rPr>
          <w:lang w:val="en-NZ"/>
        </w:rPr>
        <w:t xml:space="preserve">Innovation - advances </w:t>
      </w:r>
      <w:r w:rsidR="00A468C2" w:rsidRPr="00653A18">
        <w:rPr>
          <w:lang w:val="en-NZ"/>
        </w:rPr>
        <w:t xml:space="preserve">in health care treatment that helps reduce intensity of intervention, supports </w:t>
      </w:r>
      <w:r w:rsidR="004F4209">
        <w:rPr>
          <w:lang w:val="en-NZ"/>
        </w:rPr>
        <w:t>New Zealanders</w:t>
      </w:r>
      <w:r w:rsidR="004F4209" w:rsidRPr="00653A18">
        <w:rPr>
          <w:lang w:val="en-NZ"/>
        </w:rPr>
        <w:t xml:space="preserve"> </w:t>
      </w:r>
      <w:r w:rsidR="00A468C2" w:rsidRPr="00653A18">
        <w:rPr>
          <w:lang w:val="en-NZ"/>
        </w:rPr>
        <w:t xml:space="preserve">getting home quicker with improved patient </w:t>
      </w:r>
      <w:r w:rsidR="00892929" w:rsidRPr="00653A18">
        <w:rPr>
          <w:lang w:val="en-NZ"/>
        </w:rPr>
        <w:t>outcomes</w:t>
      </w:r>
      <w:r w:rsidR="00EC4F9D" w:rsidRPr="00653A18">
        <w:rPr>
          <w:lang w:val="en-NZ"/>
        </w:rPr>
        <w:t xml:space="preserve">. </w:t>
      </w:r>
    </w:p>
    <w:p w14:paraId="0C46C30F" w14:textId="089AD1FB" w:rsidR="00A468C2" w:rsidRPr="00653A18" w:rsidRDefault="00B823E5" w:rsidP="00167FC4">
      <w:pPr>
        <w:pStyle w:val="Bulletpoints2"/>
        <w:spacing w:before="120" w:after="120" w:line="240" w:lineRule="auto"/>
        <w:ind w:left="714" w:hanging="357"/>
        <w:rPr>
          <w:lang w:val="en-NZ"/>
        </w:rPr>
      </w:pPr>
      <w:r>
        <w:rPr>
          <w:lang w:val="en-NZ"/>
        </w:rPr>
        <w:t>Social prescribing - i</w:t>
      </w:r>
      <w:r w:rsidR="00A468C2" w:rsidRPr="00653A18">
        <w:rPr>
          <w:lang w:val="en-NZ"/>
        </w:rPr>
        <w:t>ncreasing global evidence based of innovative and novel patient interventions such as green and social prescribing</w:t>
      </w:r>
      <w:r w:rsidR="00A468C2" w:rsidRPr="00653A18">
        <w:rPr>
          <w:rStyle w:val="EndnoteReference"/>
          <w:lang w:val="en-NZ"/>
        </w:rPr>
        <w:endnoteReference w:id="12"/>
      </w:r>
      <w:r w:rsidR="00A468C2" w:rsidRPr="00653A18">
        <w:rPr>
          <w:lang w:val="en-NZ"/>
        </w:rPr>
        <w:t xml:space="preserve">, which is an approach that connects people to activities, groups, and services in their community to meet the practical, </w:t>
      </w:r>
      <w:r w:rsidR="00EC4F9D" w:rsidRPr="00653A18">
        <w:rPr>
          <w:lang w:val="en-NZ"/>
        </w:rPr>
        <w:t>social,</w:t>
      </w:r>
      <w:r w:rsidR="00A468C2" w:rsidRPr="00653A18">
        <w:rPr>
          <w:lang w:val="en-NZ"/>
        </w:rPr>
        <w:t xml:space="preserve"> and emotional needs </w:t>
      </w:r>
      <w:r w:rsidR="00027C78" w:rsidRPr="00653A18">
        <w:rPr>
          <w:lang w:val="en-NZ"/>
        </w:rPr>
        <w:t>to support</w:t>
      </w:r>
      <w:r w:rsidR="00A468C2" w:rsidRPr="00653A18">
        <w:rPr>
          <w:lang w:val="en-NZ"/>
        </w:rPr>
        <w:t xml:space="preserve"> their health and wellbeing</w:t>
      </w:r>
      <w:r w:rsidR="00B63A3B" w:rsidRPr="00653A18">
        <w:rPr>
          <w:lang w:val="en-NZ"/>
        </w:rPr>
        <w:t>.</w:t>
      </w:r>
      <w:r w:rsidR="00A468C2" w:rsidRPr="00653A18">
        <w:rPr>
          <w:lang w:val="en-NZ"/>
        </w:rPr>
        <w:t xml:space="preserve"> </w:t>
      </w:r>
    </w:p>
    <w:p w14:paraId="11B5BB3E" w14:textId="36763040" w:rsidR="00A468C2" w:rsidRDefault="00B823E5" w:rsidP="00167FC4">
      <w:pPr>
        <w:pStyle w:val="Bulletpoints2"/>
        <w:spacing w:before="120" w:after="120" w:line="240" w:lineRule="auto"/>
        <w:ind w:left="714" w:hanging="357"/>
        <w:rPr>
          <w:lang w:val="en-NZ"/>
        </w:rPr>
      </w:pPr>
      <w:r>
        <w:rPr>
          <w:lang w:val="en-NZ"/>
        </w:rPr>
        <w:t>Resource effici</w:t>
      </w:r>
      <w:r w:rsidR="002B41BB">
        <w:rPr>
          <w:lang w:val="en-NZ"/>
        </w:rPr>
        <w:t>ency - a</w:t>
      </w:r>
      <w:r w:rsidR="00A468C2" w:rsidRPr="00653A18">
        <w:rPr>
          <w:lang w:val="en-NZ"/>
        </w:rPr>
        <w:t xml:space="preserve"> clinician-driven focus on reducing unnecessary use of equipment, treatments, </w:t>
      </w:r>
      <w:r w:rsidR="00EC4F9D" w:rsidRPr="00653A18">
        <w:rPr>
          <w:lang w:val="en-NZ"/>
        </w:rPr>
        <w:t>procedures,</w:t>
      </w:r>
      <w:r w:rsidR="00A468C2" w:rsidRPr="00653A18">
        <w:rPr>
          <w:lang w:val="en-NZ"/>
        </w:rPr>
        <w:t xml:space="preserve"> and medication would provide more opportunities to reduce supply chain emissions as well as reducing hospital energy and transport use, as well as reducing waste. It also has the co-benefit of better outcomes for patients and a reduced burden on the healthcare system</w:t>
      </w:r>
      <w:r w:rsidR="00EC4F9D" w:rsidRPr="00653A18">
        <w:rPr>
          <w:lang w:val="en-NZ"/>
        </w:rPr>
        <w:t xml:space="preserve">. </w:t>
      </w:r>
    </w:p>
    <w:p w14:paraId="481C039C" w14:textId="7A187A4E" w:rsidR="001A043E" w:rsidRDefault="001A043E" w:rsidP="00167FC4">
      <w:pPr>
        <w:pStyle w:val="Bulletpoints2"/>
        <w:spacing w:before="120" w:after="120" w:line="240" w:lineRule="auto"/>
        <w:ind w:left="714" w:hanging="357"/>
        <w:rPr>
          <w:lang w:val="en-NZ"/>
        </w:rPr>
      </w:pPr>
      <w:r>
        <w:rPr>
          <w:lang w:val="en-NZ"/>
        </w:rPr>
        <w:t xml:space="preserve">Emissions data – improved quantum of data on the emissions of pharmaceuticals and medical devices through Environmental Product Declarations and embed this data into </w:t>
      </w:r>
      <w:r w:rsidR="008A09F8">
        <w:rPr>
          <w:lang w:val="en-NZ"/>
        </w:rPr>
        <w:t>o</w:t>
      </w:r>
      <w:r>
        <w:rPr>
          <w:lang w:val="en-NZ"/>
        </w:rPr>
        <w:t xml:space="preserve">nline decision support systems supported by New Zealand ePrescribing System (NZePS) and Medication Data Repository (MDR) to encourage the prescription of lower emissions solutions for patients. </w:t>
      </w:r>
    </w:p>
    <w:p w14:paraId="75C350FC" w14:textId="77777777" w:rsidR="001A043E" w:rsidRPr="00653A18" w:rsidRDefault="001A043E" w:rsidP="00167FC4">
      <w:pPr>
        <w:pStyle w:val="Bulletpoints2"/>
        <w:spacing w:before="120" w:after="120" w:line="240" w:lineRule="auto"/>
        <w:ind w:left="714" w:hanging="357"/>
        <w:rPr>
          <w:lang w:val="en-NZ"/>
        </w:rPr>
      </w:pPr>
      <w:r>
        <w:rPr>
          <w:lang w:val="en-NZ"/>
        </w:rPr>
        <w:t xml:space="preserve">Move towards greater digitisation of clinical information with improved integration of telehealth technology into clinical workflow to encourage and decrease face to face care where it is clinically safe to do so. </w:t>
      </w:r>
    </w:p>
    <w:p w14:paraId="70F09DFA" w14:textId="6F25C537" w:rsidR="00546B9F" w:rsidRPr="00653A18" w:rsidRDefault="00E234EC" w:rsidP="00374AED">
      <w:pPr>
        <w:pStyle w:val="Heading3"/>
      </w:pPr>
      <w:bookmarkStart w:id="37" w:name="_Toc204940771"/>
      <w:r w:rsidRPr="00653A18">
        <w:t>Domestic</w:t>
      </w:r>
      <w:r>
        <w:t xml:space="preserve"> </w:t>
      </w:r>
      <w:r w:rsidR="001B39FC">
        <w:t>tr</w:t>
      </w:r>
      <w:r>
        <w:t>ends</w:t>
      </w:r>
      <w:bookmarkEnd w:id="37"/>
    </w:p>
    <w:p w14:paraId="59E965F2" w14:textId="5A654D40" w:rsidR="00546B9F" w:rsidRPr="00053402" w:rsidRDefault="00546B9F" w:rsidP="00BC21A4">
      <w:r w:rsidRPr="00053402">
        <w:t xml:space="preserve">Changes in the domestic context through legislative levers, reforms and market disruption can present opportunities for Health NZ to reduce emissions. The Government’s </w:t>
      </w:r>
      <w:r w:rsidR="00892929" w:rsidRPr="00053402">
        <w:t>strategy:</w:t>
      </w:r>
      <w:r w:rsidRPr="00053402">
        <w:t xml:space="preserve"> ‘Responding to a Changing Climate’ includes several areas that Health NZ may be able to maximi</w:t>
      </w:r>
      <w:r w:rsidR="00641BD5" w:rsidRPr="00053402">
        <w:t>s</w:t>
      </w:r>
      <w:r w:rsidRPr="00053402">
        <w:t>e to reduce emissions:</w:t>
      </w:r>
    </w:p>
    <w:p w14:paraId="69F8E4EE" w14:textId="267F877E" w:rsidR="00546B9F" w:rsidRPr="00053402" w:rsidRDefault="00500F91" w:rsidP="00167FC4">
      <w:pPr>
        <w:pStyle w:val="Bulletpoints2"/>
        <w:spacing w:before="120" w:after="120" w:line="240" w:lineRule="auto"/>
        <w:ind w:left="714" w:hanging="357"/>
        <w:rPr>
          <w:lang w:val="en-NZ"/>
        </w:rPr>
      </w:pPr>
      <w:r w:rsidRPr="00053402">
        <w:rPr>
          <w:lang w:val="en-NZ"/>
        </w:rPr>
        <w:t xml:space="preserve">Renewable energy – a </w:t>
      </w:r>
      <w:r w:rsidR="00546B9F" w:rsidRPr="00053402">
        <w:rPr>
          <w:lang w:val="en-NZ"/>
        </w:rPr>
        <w:t xml:space="preserve">doubling </w:t>
      </w:r>
      <w:r w:rsidR="009920A9" w:rsidRPr="00053402">
        <w:rPr>
          <w:lang w:val="en-NZ"/>
        </w:rPr>
        <w:t xml:space="preserve">of </w:t>
      </w:r>
      <w:r w:rsidR="00546B9F" w:rsidRPr="00053402">
        <w:rPr>
          <w:lang w:val="en-NZ"/>
        </w:rPr>
        <w:t>renewable energy by 2050</w:t>
      </w:r>
      <w:r w:rsidR="00927507" w:rsidRPr="00053402">
        <w:rPr>
          <w:lang w:val="en-NZ"/>
        </w:rPr>
        <w:t xml:space="preserve"> will help reduce the emissions intensity of purchased </w:t>
      </w:r>
      <w:r w:rsidR="00892929" w:rsidRPr="00053402">
        <w:rPr>
          <w:lang w:val="en-NZ"/>
        </w:rPr>
        <w:t>energy.</w:t>
      </w:r>
    </w:p>
    <w:p w14:paraId="0C736D82" w14:textId="4C009520" w:rsidR="00546B9F" w:rsidRPr="00053402" w:rsidRDefault="00500F91" w:rsidP="00167FC4">
      <w:pPr>
        <w:pStyle w:val="Bulletpoints2"/>
        <w:spacing w:before="120" w:after="120" w:line="240" w:lineRule="auto"/>
        <w:ind w:left="714" w:hanging="357"/>
        <w:rPr>
          <w:lang w:val="en-NZ"/>
        </w:rPr>
      </w:pPr>
      <w:r w:rsidRPr="00053402">
        <w:rPr>
          <w:lang w:val="en-NZ"/>
        </w:rPr>
        <w:lastRenderedPageBreak/>
        <w:t>Vehicle charging – i</w:t>
      </w:r>
      <w:r w:rsidR="00546B9F" w:rsidRPr="00053402">
        <w:rPr>
          <w:lang w:val="en-NZ"/>
        </w:rPr>
        <w:t xml:space="preserve">nstalling 10,000 public charging points for electric vehicles </w:t>
      </w:r>
      <w:r w:rsidR="00927507" w:rsidRPr="00053402">
        <w:rPr>
          <w:lang w:val="en-NZ"/>
        </w:rPr>
        <w:t xml:space="preserve">may </w:t>
      </w:r>
      <w:r w:rsidR="004A775C" w:rsidRPr="00053402">
        <w:rPr>
          <w:lang w:val="en-NZ"/>
        </w:rPr>
        <w:t>enable further electrification of fleet by opening up access to more communities</w:t>
      </w:r>
      <w:r w:rsidR="00927507" w:rsidRPr="00053402">
        <w:rPr>
          <w:lang w:val="en-NZ"/>
        </w:rPr>
        <w:t xml:space="preserve">. </w:t>
      </w:r>
    </w:p>
    <w:p w14:paraId="433CCF0C" w14:textId="77777777" w:rsidR="00546B9F" w:rsidRPr="00053402" w:rsidRDefault="00546B9F" w:rsidP="00167FC4">
      <w:pPr>
        <w:pStyle w:val="Bulletpoints2"/>
        <w:spacing w:before="120" w:after="120" w:line="240" w:lineRule="auto"/>
        <w:ind w:left="714" w:hanging="357"/>
        <w:rPr>
          <w:lang w:val="en-NZ"/>
        </w:rPr>
      </w:pPr>
      <w:r w:rsidRPr="00053402">
        <w:rPr>
          <w:lang w:val="en-NZ"/>
        </w:rPr>
        <w:t>Nature based solutions – “restoring biodiversity, while investigating new ways of harnessing nature to remove emissions from the atmosphere”</w:t>
      </w:r>
      <w:r w:rsidRPr="00053402">
        <w:rPr>
          <w:rStyle w:val="EndnoteReference"/>
          <w:lang w:val="en-NZ"/>
        </w:rPr>
        <w:endnoteReference w:id="13"/>
      </w:r>
    </w:p>
    <w:p w14:paraId="0EDFC964" w14:textId="77777777" w:rsidR="00546B9F" w:rsidRPr="00053402" w:rsidRDefault="00546B9F" w:rsidP="00892929">
      <w:r w:rsidRPr="00053402">
        <w:t>Innovation in the national market will also provide decarbonisation opportunities that Health NZ may be able to leverage:</w:t>
      </w:r>
    </w:p>
    <w:p w14:paraId="3A3DC67D" w14:textId="586D0800" w:rsidR="00546B9F" w:rsidRPr="00053402" w:rsidRDefault="00372073" w:rsidP="00167FC4">
      <w:pPr>
        <w:pStyle w:val="Bulletpoints2"/>
        <w:spacing w:before="120" w:after="120" w:line="240" w:lineRule="auto"/>
        <w:ind w:left="714" w:hanging="357"/>
        <w:rPr>
          <w:lang w:val="en-NZ"/>
        </w:rPr>
      </w:pPr>
      <w:r w:rsidRPr="00053402">
        <w:rPr>
          <w:lang w:val="en-NZ"/>
        </w:rPr>
        <w:t>Travel</w:t>
      </w:r>
      <w:r w:rsidR="00546B9F" w:rsidRPr="00053402">
        <w:rPr>
          <w:lang w:val="en-NZ"/>
        </w:rPr>
        <w:t xml:space="preserve"> and logistics – directly or </w:t>
      </w:r>
      <w:r w:rsidR="00CC5387">
        <w:rPr>
          <w:lang w:val="en-NZ"/>
        </w:rPr>
        <w:t xml:space="preserve">through </w:t>
      </w:r>
      <w:r w:rsidR="00546B9F" w:rsidRPr="00053402">
        <w:rPr>
          <w:lang w:val="en-NZ"/>
        </w:rPr>
        <w:t xml:space="preserve">our suppliers using </w:t>
      </w:r>
      <w:r w:rsidR="00BF6AB7">
        <w:rPr>
          <w:lang w:val="en-NZ"/>
        </w:rPr>
        <w:t>lower emissions fleets and fuels for aviation and</w:t>
      </w:r>
      <w:r w:rsidR="00546B9F" w:rsidRPr="00053402">
        <w:rPr>
          <w:lang w:val="en-NZ"/>
        </w:rPr>
        <w:t xml:space="preserve"> heavy vehicles and market innovation</w:t>
      </w:r>
      <w:r w:rsidR="0050727A">
        <w:rPr>
          <w:lang w:val="en-NZ"/>
        </w:rPr>
        <w:t>s</w:t>
      </w:r>
      <w:r w:rsidR="00546B9F" w:rsidRPr="00053402">
        <w:rPr>
          <w:lang w:val="en-NZ"/>
        </w:rPr>
        <w:t xml:space="preserve"> such low emissions domestic coastal shipping and passenger sea planes</w:t>
      </w:r>
      <w:r w:rsidRPr="00053402">
        <w:rPr>
          <w:lang w:val="en-NZ"/>
        </w:rPr>
        <w:t xml:space="preserve">. </w:t>
      </w:r>
    </w:p>
    <w:p w14:paraId="6EF475FC" w14:textId="3A317CDA" w:rsidR="00546B9F" w:rsidRPr="00053402" w:rsidRDefault="00546B9F" w:rsidP="00167FC4">
      <w:pPr>
        <w:pStyle w:val="Bulletpoints2"/>
        <w:spacing w:before="120" w:after="120" w:line="240" w:lineRule="auto"/>
        <w:ind w:left="714" w:hanging="357"/>
        <w:rPr>
          <w:lang w:val="en-NZ"/>
        </w:rPr>
      </w:pPr>
      <w:r w:rsidRPr="00053402">
        <w:rPr>
          <w:lang w:val="en-NZ"/>
        </w:rPr>
        <w:t>Construction</w:t>
      </w:r>
      <w:r w:rsidR="004F4209" w:rsidRPr="00053402">
        <w:rPr>
          <w:lang w:val="en-NZ"/>
        </w:rPr>
        <w:t xml:space="preserve"> materials and process</w:t>
      </w:r>
      <w:r w:rsidRPr="00053402">
        <w:rPr>
          <w:lang w:val="en-NZ"/>
        </w:rPr>
        <w:t xml:space="preserve"> – more domestic building supplies and techniques that reduce emissions such as lower carbon concrete and steel, or increased feasibility in Aotearoa</w:t>
      </w:r>
      <w:r w:rsidR="00AC76C4" w:rsidRPr="00053402">
        <w:rPr>
          <w:lang w:val="en-NZ"/>
        </w:rPr>
        <w:t xml:space="preserve"> New Zealand</w:t>
      </w:r>
      <w:r w:rsidRPr="00053402">
        <w:rPr>
          <w:lang w:val="en-NZ"/>
        </w:rPr>
        <w:t xml:space="preserve"> of timber frame buildings that are multi storey and seismically resilient.</w:t>
      </w:r>
    </w:p>
    <w:p w14:paraId="335F36D0" w14:textId="705B8D8C" w:rsidR="00546B9F" w:rsidRPr="00053402" w:rsidRDefault="00546B9F" w:rsidP="00167FC4">
      <w:pPr>
        <w:pStyle w:val="Bulletpoints2"/>
        <w:spacing w:before="120" w:after="120" w:line="240" w:lineRule="auto"/>
        <w:ind w:left="714" w:hanging="357"/>
        <w:rPr>
          <w:lang w:val="en-NZ"/>
        </w:rPr>
      </w:pPr>
      <w:r w:rsidRPr="00053402">
        <w:rPr>
          <w:lang w:val="en-NZ"/>
        </w:rPr>
        <w:t xml:space="preserve">Waste management – </w:t>
      </w:r>
      <w:r w:rsidR="00A75C77" w:rsidRPr="00053402">
        <w:rPr>
          <w:lang w:val="en-NZ"/>
        </w:rPr>
        <w:t>the</w:t>
      </w:r>
      <w:r w:rsidR="009404B4" w:rsidRPr="00053402">
        <w:rPr>
          <w:lang w:val="en-NZ"/>
        </w:rPr>
        <w:t>re</w:t>
      </w:r>
      <w:r w:rsidR="00A75C77" w:rsidRPr="00053402">
        <w:rPr>
          <w:lang w:val="en-NZ"/>
        </w:rPr>
        <w:t xml:space="preserve"> is potential for </w:t>
      </w:r>
      <w:r w:rsidRPr="00053402">
        <w:rPr>
          <w:lang w:val="en-NZ"/>
        </w:rPr>
        <w:t>innovati</w:t>
      </w:r>
      <w:r w:rsidR="002468C4" w:rsidRPr="00053402">
        <w:rPr>
          <w:lang w:val="en-NZ"/>
        </w:rPr>
        <w:t>on</w:t>
      </w:r>
      <w:r w:rsidR="00A75C77" w:rsidRPr="00053402">
        <w:rPr>
          <w:lang w:val="en-NZ"/>
        </w:rPr>
        <w:t xml:space="preserve">, new waste </w:t>
      </w:r>
      <w:r w:rsidR="00D33234" w:rsidRPr="00053402">
        <w:rPr>
          <w:lang w:val="en-NZ"/>
        </w:rPr>
        <w:t xml:space="preserve">reprocessing and </w:t>
      </w:r>
      <w:r w:rsidR="001029EE" w:rsidRPr="00053402">
        <w:rPr>
          <w:lang w:val="en-NZ"/>
        </w:rPr>
        <w:t>recycling</w:t>
      </w:r>
      <w:r w:rsidR="00D33234" w:rsidRPr="00053402">
        <w:rPr>
          <w:lang w:val="en-NZ"/>
        </w:rPr>
        <w:t xml:space="preserve"> </w:t>
      </w:r>
      <w:r w:rsidR="001029EE" w:rsidRPr="00053402">
        <w:rPr>
          <w:lang w:val="en-NZ"/>
        </w:rPr>
        <w:t>opportunities</w:t>
      </w:r>
      <w:r w:rsidR="00D33234" w:rsidRPr="00053402">
        <w:rPr>
          <w:lang w:val="en-NZ"/>
        </w:rPr>
        <w:t xml:space="preserve"> </w:t>
      </w:r>
      <w:r w:rsidR="008B58B4" w:rsidRPr="00053402">
        <w:rPr>
          <w:lang w:val="en-NZ"/>
        </w:rPr>
        <w:t>to move solutions</w:t>
      </w:r>
      <w:r w:rsidR="00C96C9A" w:rsidRPr="00053402">
        <w:rPr>
          <w:lang w:val="en-NZ"/>
        </w:rPr>
        <w:t xml:space="preserve"> further up the waste hierarchy</w:t>
      </w:r>
      <w:r w:rsidR="008B58B4" w:rsidRPr="00053402">
        <w:rPr>
          <w:lang w:val="en-NZ"/>
        </w:rPr>
        <w:t xml:space="preserve">, </w:t>
      </w:r>
      <w:r w:rsidR="00D33234" w:rsidRPr="00053402">
        <w:rPr>
          <w:lang w:val="en-NZ"/>
        </w:rPr>
        <w:t xml:space="preserve">as well as </w:t>
      </w:r>
      <w:r w:rsidR="001029EE" w:rsidRPr="00053402">
        <w:rPr>
          <w:lang w:val="en-NZ"/>
        </w:rPr>
        <w:t xml:space="preserve">improved consistency of </w:t>
      </w:r>
      <w:r w:rsidR="00CC33B5" w:rsidRPr="00053402">
        <w:rPr>
          <w:lang w:val="en-NZ"/>
        </w:rPr>
        <w:t xml:space="preserve">waste services </w:t>
      </w:r>
      <w:r w:rsidR="001029EE" w:rsidRPr="00053402">
        <w:rPr>
          <w:lang w:val="en-NZ"/>
        </w:rPr>
        <w:t xml:space="preserve">availability across regions. </w:t>
      </w:r>
    </w:p>
    <w:p w14:paraId="3D2FC7B7" w14:textId="6D1314A9" w:rsidR="00374AED" w:rsidRPr="00653A18" w:rsidRDefault="00374AED" w:rsidP="00374AED">
      <w:pPr>
        <w:pStyle w:val="Heading3"/>
      </w:pPr>
      <w:bookmarkStart w:id="38" w:name="_Toc204940772"/>
      <w:r w:rsidRPr="00653A18">
        <w:t>Global trends</w:t>
      </w:r>
      <w:bookmarkEnd w:id="38"/>
    </w:p>
    <w:p w14:paraId="166068A5" w14:textId="7C86E919" w:rsidR="00876FF8" w:rsidRPr="00876FF8" w:rsidRDefault="00876FF8" w:rsidP="00876FF8">
      <w:r w:rsidRPr="00876FF8">
        <w:t>Reducing carbon emissions is a global imperative, reflected in international declarations, pacts, and treaties</w:t>
      </w:r>
      <w:r w:rsidR="00AF0B3C">
        <w:t xml:space="preserve"> </w:t>
      </w:r>
      <w:r w:rsidR="00E13B27">
        <w:t>such as</w:t>
      </w:r>
      <w:r w:rsidRPr="00876FF8">
        <w:t xml:space="preserve"> the Paris Agreement</w:t>
      </w:r>
      <w:r w:rsidR="002B41BB">
        <w:t xml:space="preserve">. </w:t>
      </w:r>
    </w:p>
    <w:p w14:paraId="0B9B36D8" w14:textId="049D7833" w:rsidR="00876FF8" w:rsidRPr="00876FF8" w:rsidRDefault="00876FF8" w:rsidP="00876FF8">
      <w:r w:rsidRPr="00876FF8">
        <w:t>Continuous improvement</w:t>
      </w:r>
      <w:r w:rsidR="00BA419E">
        <w:t>s</w:t>
      </w:r>
      <w:r w:rsidRPr="00876FF8">
        <w:t xml:space="preserve"> and innovation</w:t>
      </w:r>
      <w:r w:rsidR="005D2303">
        <w:t>s</w:t>
      </w:r>
      <w:r w:rsidRPr="00876FF8">
        <w:t xml:space="preserve"> in the global market are pressuring suppliers to reduce emissions and enhance supply chain processes. </w:t>
      </w:r>
      <w:r w:rsidR="006F2DE1" w:rsidRPr="006F2DE1">
        <w:t>The E</w:t>
      </w:r>
      <w:r w:rsidR="006F2DE1">
        <w:t xml:space="preserve">uropean </w:t>
      </w:r>
      <w:r w:rsidR="006F2DE1" w:rsidRPr="006F2DE1">
        <w:t>U</w:t>
      </w:r>
      <w:r w:rsidR="006F2DE1">
        <w:t>nion</w:t>
      </w:r>
      <w:r w:rsidR="00590E02">
        <w:t xml:space="preserve"> (EU)</w:t>
      </w:r>
      <w:r w:rsidR="006F2DE1">
        <w:t xml:space="preserve"> has created a</w:t>
      </w:r>
      <w:r w:rsidR="006F2DE1" w:rsidRPr="006F2DE1">
        <w:t xml:space="preserve"> Carbon Border Adjustment Mechanism (CBAM) </w:t>
      </w:r>
      <w:r w:rsidR="00E16771">
        <w:t xml:space="preserve">that </w:t>
      </w:r>
      <w:r w:rsidR="004D0948">
        <w:t>requires</w:t>
      </w:r>
      <w:r w:rsidR="006F2DE1" w:rsidRPr="006F2DE1">
        <w:t xml:space="preserve"> companies importing goods into the EU</w:t>
      </w:r>
      <w:r w:rsidR="00692558">
        <w:t xml:space="preserve"> to</w:t>
      </w:r>
      <w:r w:rsidR="006F2DE1" w:rsidRPr="006F2DE1">
        <w:t xml:space="preserve"> pay for the carbon emissions produced during the making of those goods, similar to what EU companies pay.</w:t>
      </w:r>
      <w:r w:rsidR="009E73EC">
        <w:t xml:space="preserve"> </w:t>
      </w:r>
      <w:r w:rsidRPr="00876FF8">
        <w:t xml:space="preserve">Health NZ </w:t>
      </w:r>
      <w:r w:rsidR="009E73EC">
        <w:t>will look to</w:t>
      </w:r>
      <w:r w:rsidR="009E73EC" w:rsidRPr="00876FF8">
        <w:t xml:space="preserve"> </w:t>
      </w:r>
      <w:r w:rsidRPr="00876FF8">
        <w:t xml:space="preserve">leverage </w:t>
      </w:r>
      <w:r w:rsidR="009E73EC">
        <w:t>policies like this and wider global trend</w:t>
      </w:r>
      <w:r w:rsidR="00FE1D57">
        <w:t>s</w:t>
      </w:r>
      <w:r w:rsidR="009E73EC">
        <w:t xml:space="preserve"> </w:t>
      </w:r>
      <w:r w:rsidRPr="00876FF8">
        <w:t>by setting sustainability performance expectations to reduce its own supply chain emissions</w:t>
      </w:r>
      <w:r w:rsidR="00334082">
        <w:t xml:space="preserve">, bringing awareness with suppliers and </w:t>
      </w:r>
      <w:r w:rsidR="00025001">
        <w:t>supporting their compliance</w:t>
      </w:r>
      <w:r w:rsidRPr="00876FF8">
        <w:t>.</w:t>
      </w:r>
    </w:p>
    <w:p w14:paraId="498570B9" w14:textId="4E10AFB5" w:rsidR="00D07D23" w:rsidRPr="00D07D23" w:rsidRDefault="00D07D23" w:rsidP="006D6B55">
      <w:r w:rsidRPr="00D07D23">
        <w:t>The circular economy model aims to eliminate waste and promote the continual</w:t>
      </w:r>
      <w:r w:rsidR="00F24CC3">
        <w:t>, or adaptable,</w:t>
      </w:r>
      <w:r w:rsidRPr="00D07D23">
        <w:t xml:space="preserve"> use of resources, contrasting with the traditional linear economy of ‘take, make, dispose.’ In a circular economy, </w:t>
      </w:r>
      <w:r w:rsidR="00711840">
        <w:t>design of solutions is at the forefront, with</w:t>
      </w:r>
      <w:r w:rsidRPr="00D07D23">
        <w:t xml:space="preserve"> resources </w:t>
      </w:r>
      <w:r w:rsidR="00711840">
        <w:t>being</w:t>
      </w:r>
      <w:r w:rsidR="00711840" w:rsidRPr="00D07D23">
        <w:t xml:space="preserve"> </w:t>
      </w:r>
      <w:r w:rsidRPr="00D07D23">
        <w:t>used for as long as possible, maximi</w:t>
      </w:r>
      <w:r>
        <w:t>s</w:t>
      </w:r>
      <w:r w:rsidRPr="00D07D23">
        <w:t xml:space="preserve">ing value before recovering and regenerating products and materials, thereby reducing emissions. This involves designing </w:t>
      </w:r>
      <w:r w:rsidR="0098363A">
        <w:t>solutions</w:t>
      </w:r>
      <w:r w:rsidR="000C2CB4" w:rsidRPr="00D07D23">
        <w:t xml:space="preserve"> </w:t>
      </w:r>
      <w:r w:rsidRPr="00D07D23">
        <w:t>for durability, reuse</w:t>
      </w:r>
      <w:r w:rsidR="00CB0CE7">
        <w:t>/refurbishment</w:t>
      </w:r>
      <w:r w:rsidRPr="00D07D23">
        <w:t>, remanufacturing, and recycling.</w:t>
      </w:r>
    </w:p>
    <w:p w14:paraId="02535B12" w14:textId="14895B1E" w:rsidR="00247027" w:rsidRPr="00653A18" w:rsidRDefault="00D07D23" w:rsidP="00F91DA9">
      <w:pPr>
        <w:sectPr w:rsidR="00247027" w:rsidRPr="00653A18" w:rsidSect="001F3843">
          <w:headerReference w:type="default" r:id="rId24"/>
          <w:footerReference w:type="default" r:id="rId25"/>
          <w:footnotePr>
            <w:numFmt w:val="lowerRoman"/>
          </w:footnotePr>
          <w:endnotePr>
            <w:numFmt w:val="decimal"/>
          </w:endnotePr>
          <w:pgSz w:w="11906" w:h="16838" w:code="9"/>
          <w:pgMar w:top="1134" w:right="1134" w:bottom="1134" w:left="1134" w:header="1304" w:footer="454" w:gutter="0"/>
          <w:cols w:space="708"/>
          <w:titlePg/>
          <w:docGrid w:linePitch="360"/>
        </w:sectPr>
      </w:pPr>
      <w:r w:rsidRPr="00D07D23">
        <w:t>As more countries strive to reduce emissions, mechanisms may be established to incentivi</w:t>
      </w:r>
      <w:r w:rsidR="00840365">
        <w:t>s</w:t>
      </w:r>
      <w:r w:rsidRPr="00D07D23">
        <w:t>e contributions or penali</w:t>
      </w:r>
      <w:r>
        <w:t>s</w:t>
      </w:r>
      <w:r w:rsidRPr="00D07D23">
        <w:t>e non-compliance. Current efforts include legislation and policies that penali</w:t>
      </w:r>
      <w:r>
        <w:t>s</w:t>
      </w:r>
      <w:r w:rsidRPr="00D07D23">
        <w:t>e excessive emissions and embed stringent reduction requirements into funding considerations.</w:t>
      </w:r>
      <w:r w:rsidR="0011049A">
        <w:br w:type="page"/>
      </w:r>
    </w:p>
    <w:p w14:paraId="47CCF189" w14:textId="2DB6B89A" w:rsidR="00FE11FA" w:rsidRPr="00653A18" w:rsidRDefault="00201348" w:rsidP="004A70A6">
      <w:pPr>
        <w:pStyle w:val="Dividerheading"/>
        <w:ind w:left="0"/>
        <w:rPr>
          <w:b w:val="0"/>
          <w:color w:val="0C818E" w:themeColor="accent1"/>
        </w:rPr>
      </w:pPr>
      <w:r w:rsidRPr="00653A18">
        <w:rPr>
          <w:noProof/>
          <w:color w:val="0C818E" w:themeColor="accent1"/>
        </w:rPr>
        <w:lastRenderedPageBreak/>
        <w:drawing>
          <wp:anchor distT="0" distB="0" distL="114300" distR="114300" simplePos="0" relativeHeight="251658241" behindDoc="1" locked="0" layoutInCell="1" allowOverlap="1" wp14:anchorId="545B86D9" wp14:editId="23B8D56F">
            <wp:simplePos x="0" y="0"/>
            <wp:positionH relativeFrom="column">
              <wp:posOffset>-720090</wp:posOffset>
            </wp:positionH>
            <wp:positionV relativeFrom="paragraph">
              <wp:posOffset>-1079500</wp:posOffset>
            </wp:positionV>
            <wp:extent cx="7559040" cy="9749155"/>
            <wp:effectExtent l="0" t="0" r="3810" b="4445"/>
            <wp:wrapNone/>
            <wp:docPr id="159697465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74659" name="Picture 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9040" cy="9749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70A6" w:rsidRPr="00653A18">
        <w:rPr>
          <w:color w:val="0C818E" w:themeColor="accent1"/>
        </w:rPr>
        <w:t xml:space="preserve">‘Footprint’ reduction actions </w:t>
      </w:r>
    </w:p>
    <w:p w14:paraId="1C5B00A2" w14:textId="77777777" w:rsidR="00B729E0" w:rsidRPr="00653A18" w:rsidRDefault="004A4A6A" w:rsidP="00201348">
      <w:pPr>
        <w:pStyle w:val="Dividerheading"/>
        <w:ind w:left="0"/>
        <w:rPr>
          <w:color w:val="0C818E" w:themeColor="accent1"/>
        </w:rPr>
      </w:pPr>
      <w:r w:rsidRPr="00653A18">
        <w:rPr>
          <w:color w:val="0C818E" w:themeColor="accent1"/>
        </w:rPr>
        <w:t xml:space="preserve"> </w:t>
      </w:r>
    </w:p>
    <w:p w14:paraId="6A33F933" w14:textId="77777777" w:rsidR="00DF19E5" w:rsidRPr="00653A18" w:rsidRDefault="00DF19E5">
      <w:pPr>
        <w:spacing w:before="0" w:after="160" w:line="259" w:lineRule="auto"/>
      </w:pPr>
      <w:r w:rsidRPr="00653A18">
        <w:br w:type="page"/>
      </w:r>
    </w:p>
    <w:p w14:paraId="66EC1C20" w14:textId="3A8AD210" w:rsidR="00DF19E5" w:rsidRPr="00653A18" w:rsidRDefault="00653C2B" w:rsidP="00DF19E5">
      <w:pPr>
        <w:pStyle w:val="Section2Heading1"/>
      </w:pPr>
      <w:bookmarkStart w:id="39" w:name="_Toc204940773"/>
      <w:r w:rsidRPr="00653A18">
        <w:lastRenderedPageBreak/>
        <w:t xml:space="preserve">Footprint </w:t>
      </w:r>
      <w:r w:rsidR="00A92737">
        <w:t>– Action Plan</w:t>
      </w:r>
      <w:bookmarkEnd w:id="39"/>
      <w:r w:rsidRPr="00653A18">
        <w:t xml:space="preserve"> </w:t>
      </w:r>
    </w:p>
    <w:p w14:paraId="73D6FCA4" w14:textId="307DD90F" w:rsidR="003E6BA5" w:rsidRPr="00653A18" w:rsidRDefault="003E6BA5" w:rsidP="003E6BA5">
      <w:r w:rsidRPr="00653A18">
        <w:t>Health NZ’s ‘Footprint’ emissions are measured year on year and includ</w:t>
      </w:r>
      <w:r w:rsidR="00635A12">
        <w:t>e</w:t>
      </w:r>
      <w:r w:rsidRPr="00653A18">
        <w:t xml:space="preserve"> many emissions sources where Health NZ has more direct control</w:t>
      </w:r>
      <w:r w:rsidR="00892929">
        <w:t>:</w:t>
      </w:r>
      <w:r w:rsidRPr="00653A18">
        <w:t xml:space="preserve"> </w:t>
      </w:r>
    </w:p>
    <w:p w14:paraId="5CBA1E3C" w14:textId="513E8195" w:rsidR="001710CC" w:rsidRPr="00653A18" w:rsidRDefault="001710CC" w:rsidP="007E5549">
      <w:pPr>
        <w:pStyle w:val="Bulletpoints2"/>
        <w:spacing w:before="120" w:after="120"/>
        <w:ind w:left="714" w:hanging="357"/>
        <w:rPr>
          <w:lang w:val="en-NZ"/>
        </w:rPr>
      </w:pPr>
      <w:r w:rsidRPr="00653A18">
        <w:rPr>
          <w:lang w:val="en-NZ"/>
        </w:rPr>
        <w:t xml:space="preserve">Energy, </w:t>
      </w:r>
      <w:r w:rsidR="00EC4F9D" w:rsidRPr="00653A18">
        <w:rPr>
          <w:lang w:val="en-NZ"/>
        </w:rPr>
        <w:t>water,</w:t>
      </w:r>
      <w:r w:rsidRPr="00653A18">
        <w:rPr>
          <w:lang w:val="en-NZ"/>
        </w:rPr>
        <w:t xml:space="preserve"> and waste </w:t>
      </w:r>
    </w:p>
    <w:p w14:paraId="7731A0B6" w14:textId="405FB3A0" w:rsidR="001710CC" w:rsidRPr="00653A18" w:rsidRDefault="00C06938" w:rsidP="007E5549">
      <w:pPr>
        <w:pStyle w:val="Bulletpoints2"/>
        <w:spacing w:before="120" w:after="120"/>
        <w:ind w:left="714" w:hanging="357"/>
        <w:rPr>
          <w:lang w:val="en-NZ"/>
        </w:rPr>
      </w:pPr>
      <w:r w:rsidRPr="00653A18">
        <w:rPr>
          <w:lang w:val="en-NZ"/>
        </w:rPr>
        <w:t xml:space="preserve">Funded patient transport, </w:t>
      </w:r>
      <w:r w:rsidR="00EC4F9D" w:rsidRPr="00653A18">
        <w:rPr>
          <w:lang w:val="en-NZ"/>
        </w:rPr>
        <w:t>fleet,</w:t>
      </w:r>
      <w:r w:rsidRPr="00653A18">
        <w:rPr>
          <w:lang w:val="en-NZ"/>
        </w:rPr>
        <w:t xml:space="preserve"> and business travel </w:t>
      </w:r>
    </w:p>
    <w:p w14:paraId="3C7D0579" w14:textId="55595791" w:rsidR="00C06938" w:rsidRPr="00653A18" w:rsidRDefault="00C06938" w:rsidP="007E5549">
      <w:pPr>
        <w:pStyle w:val="Bulletpoints2"/>
        <w:spacing w:before="120" w:after="120"/>
        <w:ind w:left="714" w:hanging="357"/>
        <w:rPr>
          <w:lang w:val="en-NZ"/>
        </w:rPr>
      </w:pPr>
      <w:r w:rsidRPr="00653A18">
        <w:rPr>
          <w:lang w:val="en-NZ"/>
        </w:rPr>
        <w:t>Medical gases and vapours</w:t>
      </w:r>
    </w:p>
    <w:p w14:paraId="0AFFE878" w14:textId="54E82428" w:rsidR="00DF19E5" w:rsidRPr="00653A18" w:rsidRDefault="00C33ECA" w:rsidP="00DF19E5">
      <w:pPr>
        <w:pStyle w:val="Section2Heading2"/>
      </w:pPr>
      <w:bookmarkStart w:id="40" w:name="_Toc204940774"/>
      <w:r>
        <w:t>Approach</w:t>
      </w:r>
      <w:bookmarkEnd w:id="40"/>
    </w:p>
    <w:p w14:paraId="16860C34" w14:textId="4D6F6828" w:rsidR="00DF19E5" w:rsidRPr="00653A18" w:rsidRDefault="003E6BA5" w:rsidP="00DF19E5">
      <w:pPr>
        <w:spacing w:before="0" w:after="160" w:line="259" w:lineRule="auto"/>
      </w:pPr>
      <w:r w:rsidRPr="00653A18">
        <w:t>Engage</w:t>
      </w:r>
      <w:r w:rsidR="00804B60" w:rsidRPr="00653A18">
        <w:t>ment</w:t>
      </w:r>
      <w:r w:rsidRPr="00653A18">
        <w:t xml:space="preserve"> across the organisation </w:t>
      </w:r>
      <w:r w:rsidR="00804B60" w:rsidRPr="00653A18">
        <w:t xml:space="preserve">has identified </w:t>
      </w:r>
      <w:r w:rsidR="009316E5">
        <w:t>various</w:t>
      </w:r>
      <w:r w:rsidR="009316E5" w:rsidRPr="00653A18">
        <w:t xml:space="preserve"> </w:t>
      </w:r>
      <w:r w:rsidR="00804B60" w:rsidRPr="00653A18">
        <w:t>committed actions or opportunities</w:t>
      </w:r>
      <w:r w:rsidR="00C06938" w:rsidRPr="00653A18">
        <w:t>. Where possible</w:t>
      </w:r>
      <w:r w:rsidR="00162163">
        <w:t xml:space="preserve">, due to </w:t>
      </w:r>
      <w:r w:rsidR="001D2BD4">
        <w:t xml:space="preserve">sufficient </w:t>
      </w:r>
      <w:r w:rsidR="00162163">
        <w:t xml:space="preserve">data availability and quality, </w:t>
      </w:r>
      <w:r w:rsidR="00C06938" w:rsidRPr="00653A18">
        <w:t>these actions have been modelled t</w:t>
      </w:r>
      <w:r w:rsidR="00095102" w:rsidRPr="00653A18">
        <w:t xml:space="preserve">o estimate the impact over time. </w:t>
      </w:r>
    </w:p>
    <w:p w14:paraId="66C31184" w14:textId="6116D3C7" w:rsidR="00095102" w:rsidRPr="00653A18" w:rsidRDefault="003E6E76" w:rsidP="003E6E76">
      <w:pPr>
        <w:pStyle w:val="Section2heading3"/>
      </w:pPr>
      <w:bookmarkStart w:id="41" w:name="_Toc204940775"/>
      <w:r w:rsidRPr="00653A18">
        <w:t>Modelling</w:t>
      </w:r>
      <w:bookmarkEnd w:id="41"/>
      <w:r w:rsidRPr="00653A18">
        <w:t xml:space="preserve"> </w:t>
      </w:r>
    </w:p>
    <w:p w14:paraId="18E3BE1E" w14:textId="38851095" w:rsidR="001634AF" w:rsidRPr="00653A18" w:rsidRDefault="001634AF" w:rsidP="00AE0BE1">
      <w:r w:rsidRPr="00653A18">
        <w:t xml:space="preserve">To provide a proactive pathway to Health NZ’s emissions reduction, modelled projections have been developed. Any differences between the forward projection and actual emissions measured at the end of each financial year facilitates more detailed assessment of </w:t>
      </w:r>
      <w:r w:rsidR="00CF31A9">
        <w:t>progress</w:t>
      </w:r>
      <w:r w:rsidR="007C6515">
        <w:t xml:space="preserve"> and</w:t>
      </w:r>
      <w:r w:rsidRPr="00653A18">
        <w:t xml:space="preserve"> any unplanned </w:t>
      </w:r>
      <w:r w:rsidR="00C24A7F" w:rsidRPr="00653A18">
        <w:t>consequences</w:t>
      </w:r>
      <w:r w:rsidR="00C24A7F">
        <w:t xml:space="preserve"> and</w:t>
      </w:r>
      <w:r w:rsidRPr="00653A18">
        <w:t xml:space="preserve"> identif</w:t>
      </w:r>
      <w:r w:rsidR="007C6515">
        <w:t>ies</w:t>
      </w:r>
      <w:r w:rsidRPr="00653A18">
        <w:t xml:space="preserve"> where corrective action may be required. </w:t>
      </w:r>
    </w:p>
    <w:p w14:paraId="0FFE01B5" w14:textId="486F9349" w:rsidR="00AE0BE1" w:rsidRPr="00653A18" w:rsidRDefault="00AE0BE1" w:rsidP="00AE0BE1">
      <w:r w:rsidRPr="00653A18">
        <w:t xml:space="preserve">Predicting outcomes over time has inherent margins of error and inaccuracies. Some </w:t>
      </w:r>
      <w:r w:rsidR="00CF31A9">
        <w:t>actions</w:t>
      </w:r>
      <w:r w:rsidRPr="00653A18">
        <w:t xml:space="preserve"> do not have sufficient data or evidence on the impact on Health NZ’s emissions profile and therefore </w:t>
      </w:r>
      <w:r w:rsidR="00E44EC8" w:rsidRPr="00653A18">
        <w:t>have not</w:t>
      </w:r>
      <w:r w:rsidRPr="00653A18">
        <w:t xml:space="preserve"> been included in modelling. </w:t>
      </w:r>
    </w:p>
    <w:p w14:paraId="3F5B265F" w14:textId="0C6C1D4C" w:rsidR="0099401C" w:rsidRPr="00653A18" w:rsidRDefault="0099401C" w:rsidP="001634AF">
      <w:r w:rsidRPr="00653A18">
        <w:t xml:space="preserve">The </w:t>
      </w:r>
      <w:r w:rsidR="008B2CE1">
        <w:t xml:space="preserve">emissions </w:t>
      </w:r>
      <w:r w:rsidRPr="00653A18">
        <w:t xml:space="preserve">modelling </w:t>
      </w:r>
      <w:r w:rsidR="00037E5D">
        <w:t xml:space="preserve">(Figure 4) </w:t>
      </w:r>
      <w:r w:rsidRPr="00653A18">
        <w:t xml:space="preserve">has </w:t>
      </w:r>
      <w:r w:rsidR="00504C7C" w:rsidRPr="00653A18">
        <w:t xml:space="preserve">three </w:t>
      </w:r>
      <w:r w:rsidRPr="00653A18">
        <w:t>aspects:</w:t>
      </w:r>
    </w:p>
    <w:p w14:paraId="51C90A7E" w14:textId="1D25ECEA" w:rsidR="0099401C" w:rsidRPr="00653A18" w:rsidRDefault="002F1E24" w:rsidP="007E5549">
      <w:pPr>
        <w:pStyle w:val="Bulletpoints2"/>
        <w:spacing w:before="120" w:after="120"/>
        <w:ind w:left="714" w:hanging="357"/>
        <w:rPr>
          <w:lang w:val="en-NZ"/>
        </w:rPr>
      </w:pPr>
      <w:r>
        <w:rPr>
          <w:lang w:val="en-NZ"/>
        </w:rPr>
        <w:t>M</w:t>
      </w:r>
      <w:r w:rsidR="2D8536B0" w:rsidRPr="5928CA26">
        <w:rPr>
          <w:lang w:val="en-NZ"/>
        </w:rPr>
        <w:t>easured and verified</w:t>
      </w:r>
      <w:r w:rsidR="0099401C" w:rsidRPr="00653A18">
        <w:rPr>
          <w:lang w:val="en-NZ"/>
        </w:rPr>
        <w:t xml:space="preserve"> </w:t>
      </w:r>
      <w:r w:rsidR="000F1C40" w:rsidRPr="00653A18">
        <w:rPr>
          <w:lang w:val="en-NZ"/>
        </w:rPr>
        <w:t>emissions</w:t>
      </w:r>
      <w:r w:rsidR="0099401C" w:rsidRPr="00653A18">
        <w:rPr>
          <w:lang w:val="en-NZ"/>
        </w:rPr>
        <w:t xml:space="preserve"> for the last two full financial years </w:t>
      </w:r>
    </w:p>
    <w:p w14:paraId="57EE3362" w14:textId="3A2EF0A7" w:rsidR="0099401C" w:rsidRPr="00653A18" w:rsidRDefault="0099401C" w:rsidP="007E5549">
      <w:pPr>
        <w:pStyle w:val="Bulletpoints2"/>
        <w:spacing w:before="120" w:after="120"/>
        <w:ind w:left="714" w:hanging="357"/>
        <w:rPr>
          <w:lang w:val="en-NZ"/>
        </w:rPr>
      </w:pPr>
      <w:r w:rsidRPr="00653A18">
        <w:rPr>
          <w:lang w:val="en-NZ"/>
        </w:rPr>
        <w:t xml:space="preserve">A business-as-usual </w:t>
      </w:r>
      <w:r w:rsidR="000F1C40" w:rsidRPr="00653A18">
        <w:rPr>
          <w:lang w:val="en-NZ"/>
        </w:rPr>
        <w:t xml:space="preserve">(BAU) </w:t>
      </w:r>
      <w:r w:rsidRPr="00653A18">
        <w:rPr>
          <w:lang w:val="en-NZ"/>
        </w:rPr>
        <w:t xml:space="preserve">projection based on </w:t>
      </w:r>
      <w:r w:rsidR="000F1C40" w:rsidRPr="00653A18">
        <w:rPr>
          <w:lang w:val="en-NZ"/>
        </w:rPr>
        <w:t xml:space="preserve">a </w:t>
      </w:r>
      <w:r w:rsidR="00CA6EE2" w:rsidRPr="00653A18">
        <w:rPr>
          <w:lang w:val="en-NZ"/>
        </w:rPr>
        <w:t>do-nothing</w:t>
      </w:r>
      <w:r w:rsidR="000F1C40" w:rsidRPr="00653A18">
        <w:rPr>
          <w:lang w:val="en-NZ"/>
        </w:rPr>
        <w:t xml:space="preserve"> scenario </w:t>
      </w:r>
      <w:r w:rsidR="00AE0BE1" w:rsidRPr="00653A18">
        <w:rPr>
          <w:lang w:val="en-NZ"/>
        </w:rPr>
        <w:t xml:space="preserve">by projecting emissions against </w:t>
      </w:r>
      <w:r w:rsidR="00CA6EE2" w:rsidRPr="00653A18">
        <w:rPr>
          <w:lang w:val="en-NZ"/>
        </w:rPr>
        <w:t xml:space="preserve">forward </w:t>
      </w:r>
      <w:r w:rsidR="43C5607F" w:rsidRPr="5928CA26">
        <w:rPr>
          <w:lang w:val="en-NZ"/>
        </w:rPr>
        <w:t xml:space="preserve">demand-based </w:t>
      </w:r>
      <w:r w:rsidR="00CA6EE2" w:rsidRPr="00653A18">
        <w:rPr>
          <w:lang w:val="en-NZ"/>
        </w:rPr>
        <w:t xml:space="preserve">estimates for </w:t>
      </w:r>
      <w:r w:rsidR="00AE0BE1" w:rsidRPr="00653A18">
        <w:rPr>
          <w:lang w:val="en-NZ"/>
        </w:rPr>
        <w:t xml:space="preserve">metrics </w:t>
      </w:r>
      <w:r w:rsidR="00CA6EE2" w:rsidRPr="00653A18">
        <w:rPr>
          <w:lang w:val="en-NZ"/>
        </w:rPr>
        <w:t xml:space="preserve">such as number of patient </w:t>
      </w:r>
      <w:r w:rsidR="00AE0BE1" w:rsidRPr="00653A18">
        <w:rPr>
          <w:lang w:val="en-NZ"/>
        </w:rPr>
        <w:t xml:space="preserve">bed days and staff FTE numbers. </w:t>
      </w:r>
    </w:p>
    <w:p w14:paraId="66F0B1DF" w14:textId="3C60BBA6" w:rsidR="00941604" w:rsidRDefault="00941604" w:rsidP="007E5549">
      <w:pPr>
        <w:pStyle w:val="Bulletpoints2"/>
        <w:spacing w:before="120" w:after="120"/>
        <w:ind w:left="714" w:hanging="357"/>
        <w:rPr>
          <w:lang w:val="en-NZ"/>
        </w:rPr>
      </w:pPr>
      <w:r>
        <w:rPr>
          <w:lang w:val="en-NZ"/>
        </w:rPr>
        <w:t xml:space="preserve">Estimations of the impact of specific planned actions. </w:t>
      </w:r>
    </w:p>
    <w:p w14:paraId="1C8AFA88" w14:textId="6A1471AB" w:rsidR="001B55A6" w:rsidRDefault="00E44EC8" w:rsidP="00074D9F">
      <w:r w:rsidRPr="00074D9F">
        <w:t>Most</w:t>
      </w:r>
      <w:r w:rsidR="00074D9F" w:rsidRPr="00074D9F">
        <w:t xml:space="preserve"> actions are driven by Health </w:t>
      </w:r>
      <w:r w:rsidR="00074D9F">
        <w:t>NZ</w:t>
      </w:r>
      <w:r w:rsidR="00074D9F" w:rsidRPr="00074D9F">
        <w:t xml:space="preserve"> and are within </w:t>
      </w:r>
      <w:r w:rsidR="00032795">
        <w:t>organisational</w:t>
      </w:r>
      <w:r w:rsidR="00074D9F" w:rsidRPr="00074D9F">
        <w:t xml:space="preserve"> control</w:t>
      </w:r>
      <w:r w:rsidR="00F63FB6">
        <w:t xml:space="preserve"> and </w:t>
      </w:r>
      <w:r w:rsidR="00EE51BC">
        <w:t>have confirmed budgets. Some actions are still subject to business case and approved funding</w:t>
      </w:r>
      <w:r w:rsidR="00A47492">
        <w:t>,</w:t>
      </w:r>
      <w:r w:rsidR="00EE51BC">
        <w:t xml:space="preserve"> these are denoted with a</w:t>
      </w:r>
      <w:r w:rsidR="00E54689">
        <w:t>n obelisk</w:t>
      </w:r>
      <w:r w:rsidR="00EE51BC">
        <w:t xml:space="preserve"> </w:t>
      </w:r>
      <w:r w:rsidR="00E54689">
        <w:t>(</w:t>
      </w:r>
      <w:r w:rsidR="00EE51BC">
        <w:rPr>
          <w:rFonts w:cstheme="minorHAnsi"/>
        </w:rPr>
        <w:t>†</w:t>
      </w:r>
      <w:r w:rsidR="00E54689">
        <w:rPr>
          <w:rFonts w:cstheme="minorHAnsi"/>
        </w:rPr>
        <w:t>).</w:t>
      </w:r>
      <w:r w:rsidR="00074D9F" w:rsidRPr="00113F81">
        <w:t xml:space="preserve"> A small number of actions, based on continuing or further potential behaviour change outcomes,</w:t>
      </w:r>
      <w:r w:rsidR="0098363A">
        <w:t xml:space="preserve"> </w:t>
      </w:r>
      <w:r w:rsidR="00074D9F" w:rsidRPr="00113F81">
        <w:t xml:space="preserve">are noted with an asterisk (*), indicating where Health NZ can only nudge and support the change. Including </w:t>
      </w:r>
      <w:r w:rsidR="00086A58" w:rsidRPr="00113F81">
        <w:t>behaviour</w:t>
      </w:r>
      <w:r w:rsidR="00074D9F" w:rsidRPr="00113F81">
        <w:t xml:space="preserve"> change actions in the modelling demonstrates their potential impact, thereby supporting the changes being realised.</w:t>
      </w:r>
      <w:r w:rsidR="001B55A6">
        <w:t xml:space="preserve"> For assumptions in relation to the modelling please see</w:t>
      </w:r>
      <w:r w:rsidR="00EE4EE0">
        <w:t xml:space="preserve"> the</w:t>
      </w:r>
      <w:r w:rsidR="001B55A6">
        <w:t xml:space="preserve"> Appendix. </w:t>
      </w:r>
    </w:p>
    <w:p w14:paraId="21069187" w14:textId="4826A5E8" w:rsidR="00FA333C" w:rsidRDefault="00FA333C" w:rsidP="00074D9F">
      <w:r>
        <w:rPr>
          <w:noProof/>
        </w:rPr>
        <w:lastRenderedPageBreak/>
        <w:drawing>
          <wp:inline distT="0" distB="0" distL="0" distR="0" wp14:anchorId="0DB78349" wp14:editId="6BD80B80">
            <wp:extent cx="6120130" cy="7055893"/>
            <wp:effectExtent l="0" t="0" r="13970" b="12065"/>
            <wp:docPr id="436199358" name="Chart 1" descr="Figure 4 Health NZ reduction pathway modelling">
              <a:extLst xmlns:a="http://schemas.openxmlformats.org/drawingml/2006/main">
                <a:ext uri="{FF2B5EF4-FFF2-40B4-BE49-F238E27FC236}">
                  <a16:creationId xmlns:a16="http://schemas.microsoft.com/office/drawing/2014/main" id="{37E8682F-4C88-945E-45C1-A071037C73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652057" w14:textId="2A23BD00" w:rsidR="003B2D39" w:rsidRPr="00435F49" w:rsidRDefault="00975891" w:rsidP="00824A17">
      <w:pPr>
        <w:pStyle w:val="Figure"/>
        <w:rPr>
          <w:lang w:val="en-US"/>
        </w:rPr>
      </w:pPr>
      <w:r w:rsidRPr="00435F49">
        <w:rPr>
          <w:lang w:val="en-US"/>
        </w:rPr>
        <w:t xml:space="preserve"> </w:t>
      </w:r>
      <w:bookmarkStart w:id="42" w:name="_Toc198286802"/>
      <w:r w:rsidR="00217F74" w:rsidRPr="00435F49">
        <w:rPr>
          <w:lang w:val="en-US"/>
        </w:rPr>
        <w:t xml:space="preserve">Figure </w:t>
      </w:r>
      <w:r w:rsidR="00217F74" w:rsidRPr="00435F49">
        <w:rPr>
          <w:lang w:val="en-US"/>
        </w:rPr>
        <w:fldChar w:fldCharType="begin"/>
      </w:r>
      <w:r w:rsidR="00217F74" w:rsidRPr="00435F49">
        <w:rPr>
          <w:lang w:val="en-US"/>
        </w:rPr>
        <w:instrText xml:space="preserve"> SEQ Figure \* ARABIC </w:instrText>
      </w:r>
      <w:r w:rsidR="00217F74" w:rsidRPr="00435F49">
        <w:rPr>
          <w:lang w:val="en-US"/>
        </w:rPr>
        <w:fldChar w:fldCharType="separate"/>
      </w:r>
      <w:r w:rsidR="008B20C4">
        <w:rPr>
          <w:noProof/>
          <w:lang w:val="en-US"/>
        </w:rPr>
        <w:t>4</w:t>
      </w:r>
      <w:r w:rsidR="00217F74" w:rsidRPr="00435F49">
        <w:rPr>
          <w:lang w:val="en-US"/>
        </w:rPr>
        <w:fldChar w:fldCharType="end"/>
      </w:r>
      <w:r w:rsidR="00217F74" w:rsidRPr="00435F49">
        <w:rPr>
          <w:lang w:val="en-US"/>
        </w:rPr>
        <w:t xml:space="preserve"> Health NZ reduction pathway modelling</w:t>
      </w:r>
      <w:bookmarkEnd w:id="42"/>
    </w:p>
    <w:p w14:paraId="7EFD2DD2" w14:textId="6AC83243" w:rsidR="008A1F30" w:rsidRDefault="0015191E" w:rsidP="004D30F4">
      <w:r w:rsidRPr="004D30F4">
        <w:t>Through the planned actions</w:t>
      </w:r>
      <w:r w:rsidR="00222B07" w:rsidRPr="004D30F4">
        <w:t xml:space="preserve"> </w:t>
      </w:r>
      <w:r w:rsidRPr="004D30F4">
        <w:t xml:space="preserve">Health NZ can demonstrate </w:t>
      </w:r>
      <w:r w:rsidR="007B1832" w:rsidRPr="004D30F4">
        <w:t xml:space="preserve">a pathway </w:t>
      </w:r>
      <w:r w:rsidRPr="004D30F4">
        <w:t xml:space="preserve">to achieve the 25% Category 1 and 2 emissions </w:t>
      </w:r>
      <w:r w:rsidR="00F76614">
        <w:t xml:space="preserve">reductions target </w:t>
      </w:r>
      <w:r w:rsidR="002328F1">
        <w:t>by</w:t>
      </w:r>
      <w:r w:rsidRPr="004D30F4">
        <w:t xml:space="preserve"> FY24/25</w:t>
      </w:r>
      <w:r w:rsidR="00A03691" w:rsidRPr="004D30F4">
        <w:t xml:space="preserve"> and science</w:t>
      </w:r>
      <w:r w:rsidR="00EC44FD">
        <w:t>-</w:t>
      </w:r>
      <w:r w:rsidR="00A03691" w:rsidRPr="004D30F4">
        <w:t>based</w:t>
      </w:r>
      <w:r w:rsidR="00B97B5C" w:rsidRPr="004D30F4">
        <w:t xml:space="preserve"> FY26/27</w:t>
      </w:r>
      <w:r w:rsidRPr="004D30F4">
        <w:t xml:space="preserve"> </w:t>
      </w:r>
      <w:r w:rsidR="00F76614">
        <w:t xml:space="preserve">emissions reduction </w:t>
      </w:r>
      <w:r w:rsidRPr="004D30F4">
        <w:t>target.</w:t>
      </w:r>
      <w:r w:rsidRPr="00B97B5C">
        <w:t xml:space="preserve"> However, further work is needed to identify </w:t>
      </w:r>
      <w:r w:rsidR="008B0349" w:rsidRPr="00B97B5C">
        <w:t xml:space="preserve">and model </w:t>
      </w:r>
      <w:r w:rsidR="00E14AA6" w:rsidRPr="00B97B5C">
        <w:t xml:space="preserve">additional </w:t>
      </w:r>
      <w:r w:rsidRPr="00B97B5C">
        <w:t xml:space="preserve">potential </w:t>
      </w:r>
      <w:r w:rsidR="002842CB" w:rsidRPr="00B97B5C">
        <w:t>actions</w:t>
      </w:r>
      <w:r w:rsidRPr="00B97B5C">
        <w:t xml:space="preserve"> to provide a pathway on how Health NZ aligns to the CNGP 42% level of expectation</w:t>
      </w:r>
      <w:r w:rsidR="008B0349" w:rsidRPr="00B97B5C">
        <w:t xml:space="preserve"> by </w:t>
      </w:r>
      <w:r w:rsidR="00B97B5C">
        <w:t>FY29/</w:t>
      </w:r>
      <w:r w:rsidR="00E02790">
        <w:t>3</w:t>
      </w:r>
      <w:r w:rsidR="00B97B5C">
        <w:t>0</w:t>
      </w:r>
      <w:r w:rsidRPr="00B97B5C">
        <w:t>.</w:t>
      </w:r>
      <w:r w:rsidRPr="00223CBC">
        <w:t xml:space="preserve"> </w:t>
      </w:r>
      <w:r w:rsidR="00B97B5C">
        <w:t xml:space="preserve">Further </w:t>
      </w:r>
      <w:r w:rsidR="004D30F4">
        <w:t>actions</w:t>
      </w:r>
      <w:r w:rsidR="00B97B5C">
        <w:t xml:space="preserve"> and targets will be explored in the 2027-2030 </w:t>
      </w:r>
      <w:r w:rsidR="004D30F4">
        <w:t xml:space="preserve">iteration of the </w:t>
      </w:r>
      <w:r w:rsidR="00B97B5C">
        <w:t xml:space="preserve">ERP. </w:t>
      </w:r>
      <w:r w:rsidR="008A1F30">
        <w:br w:type="page"/>
      </w:r>
    </w:p>
    <w:p w14:paraId="2F8EDABE" w14:textId="4AF047BE" w:rsidR="00DF19E5" w:rsidRPr="00653A18" w:rsidRDefault="004C5D1E" w:rsidP="0092592A">
      <w:pPr>
        <w:pStyle w:val="Section2Heading1"/>
      </w:pPr>
      <w:bookmarkStart w:id="43" w:name="_Toc204940776"/>
      <w:r>
        <w:lastRenderedPageBreak/>
        <w:t>Models of care</w:t>
      </w:r>
      <w:bookmarkEnd w:id="43"/>
    </w:p>
    <w:p w14:paraId="74C250DF" w14:textId="52EAAA58" w:rsidR="00557357" w:rsidRDefault="00456372" w:rsidP="0098271D">
      <w:pPr>
        <w:tabs>
          <w:tab w:val="left" w:pos="5551"/>
        </w:tabs>
        <w:spacing w:before="0" w:after="160" w:line="259" w:lineRule="auto"/>
      </w:pPr>
      <w:r>
        <w:t>Emissions</w:t>
      </w:r>
      <w:r w:rsidR="009C5695">
        <w:t xml:space="preserve"> can be avoided through </w:t>
      </w:r>
      <w:r>
        <w:t>how care is designed</w:t>
      </w:r>
      <w:r w:rsidR="00EC5E7D">
        <w:t>.</w:t>
      </w:r>
      <w:r>
        <w:t xml:space="preserve"> </w:t>
      </w:r>
      <w:r w:rsidR="00557357">
        <w:t xml:space="preserve">Low emissions, climate resilient and </w:t>
      </w:r>
      <w:r w:rsidR="0082704C">
        <w:t xml:space="preserve">sustainable </w:t>
      </w:r>
      <w:r w:rsidR="00557357">
        <w:t>models of care should always be seen as a dimension of clinical quality</w:t>
      </w:r>
      <w:r w:rsidR="000334C4">
        <w:t>,</w:t>
      </w:r>
      <w:r w:rsidR="00557357">
        <w:t xml:space="preserve"> </w:t>
      </w:r>
      <w:r w:rsidR="00AF1683">
        <w:t>and clinical a</w:t>
      </w:r>
      <w:r w:rsidR="008424C5">
        <w:t>ctions</w:t>
      </w:r>
      <w:r w:rsidR="004C5D1E">
        <w:t xml:space="preserve"> have the potential to reduce </w:t>
      </w:r>
      <w:r w:rsidR="00DC40A8">
        <w:t>both ‘</w:t>
      </w:r>
      <w:r w:rsidR="00670C2C">
        <w:t>F</w:t>
      </w:r>
      <w:r w:rsidR="00DC40A8">
        <w:t>ootprint’ and ‘</w:t>
      </w:r>
      <w:r w:rsidR="00670C2C">
        <w:t>F</w:t>
      </w:r>
      <w:r w:rsidR="00DC40A8">
        <w:t xml:space="preserve">ootprint </w:t>
      </w:r>
      <w:r w:rsidR="00670C2C">
        <w:t>P</w:t>
      </w:r>
      <w:r w:rsidR="00DC40A8">
        <w:t>lus’ emissions.</w:t>
      </w:r>
      <w:r w:rsidR="009B2E33">
        <w:t xml:space="preserve"> System change levers like</w:t>
      </w:r>
      <w:r w:rsidR="00A15952">
        <w:t xml:space="preserve"> t</w:t>
      </w:r>
      <w:r w:rsidR="00DC40A8">
        <w:t xml:space="preserve">hese are typically harder to quantify as they </w:t>
      </w:r>
      <w:r w:rsidR="00676492">
        <w:t xml:space="preserve">have multiple interactions across </w:t>
      </w:r>
      <w:r w:rsidR="00872F22">
        <w:t>the</w:t>
      </w:r>
      <w:r w:rsidR="00676492">
        <w:t xml:space="preserve"> system</w:t>
      </w:r>
      <w:r w:rsidR="009B2E33">
        <w:t>.</w:t>
      </w:r>
      <w:r w:rsidR="0098271D" w:rsidRPr="0098271D">
        <w:t xml:space="preserve"> </w:t>
      </w:r>
    </w:p>
    <w:p w14:paraId="7BC7BA9D" w14:textId="77777777" w:rsidR="006046C6" w:rsidDel="00A3492B" w:rsidRDefault="006046C6" w:rsidP="006046C6">
      <w:r w:rsidRPr="00C439AE" w:rsidDel="00A3492B">
        <w:t>When New Zealanders are unwell and need support, emissions can be further reduced through key principles such as providing the right support in a timely manner. Early and timely intervention can help avoid or at least delay more intensive, high-emission, and costly healthcare interventions. Health NZ’s priorities of timely access to quality healthcare will support this goal.</w:t>
      </w:r>
    </w:p>
    <w:p w14:paraId="384F1B1D" w14:textId="77777777" w:rsidR="006046C6" w:rsidRPr="00653A18" w:rsidDel="00A3492B" w:rsidRDefault="006046C6" w:rsidP="006046C6">
      <w:pPr>
        <w:pStyle w:val="Bulletpoints2"/>
        <w:rPr>
          <w:lang w:val="en-NZ"/>
        </w:rPr>
      </w:pPr>
      <w:r w:rsidRPr="00F56B8E" w:rsidDel="00A3492B">
        <w:rPr>
          <w:b/>
        </w:rPr>
        <w:t>Timeliness</w:t>
      </w:r>
      <w:r w:rsidRPr="00C439AE" w:rsidDel="00A3492B">
        <w:t xml:space="preserve"> - Ensuring that people can access the health care and services they need when they need it in a prompt and efficient way</w:t>
      </w:r>
      <w:r w:rsidRPr="00653A18" w:rsidDel="00A3492B">
        <w:rPr>
          <w:lang w:val="en-NZ"/>
        </w:rPr>
        <w:t>.</w:t>
      </w:r>
    </w:p>
    <w:p w14:paraId="4DCFE799" w14:textId="335B4E98" w:rsidR="006046C6" w:rsidRPr="00653A18" w:rsidDel="00A3492B" w:rsidRDefault="006046C6" w:rsidP="006046C6">
      <w:pPr>
        <w:pStyle w:val="Bulletpoints2"/>
        <w:rPr>
          <w:lang w:val="en-NZ"/>
        </w:rPr>
      </w:pPr>
      <w:r w:rsidRPr="00653A18" w:rsidDel="00A3492B">
        <w:rPr>
          <w:b/>
          <w:bCs/>
          <w:lang w:val="en-NZ"/>
        </w:rPr>
        <w:t xml:space="preserve">Access </w:t>
      </w:r>
      <w:r w:rsidRPr="00653A18" w:rsidDel="00A3492B">
        <w:rPr>
          <w:lang w:val="en-NZ"/>
        </w:rPr>
        <w:t>- Ensuring that every person, regardless of where they live in New Zealand, ha</w:t>
      </w:r>
      <w:r w:rsidRPr="00653A18">
        <w:rPr>
          <w:lang w:val="en-NZ"/>
        </w:rPr>
        <w:t>ve</w:t>
      </w:r>
      <w:r w:rsidRPr="00653A18" w:rsidDel="00A3492B">
        <w:rPr>
          <w:lang w:val="en-NZ"/>
        </w:rPr>
        <w:t xml:space="preserve"> equitable access to the health care and services they need.</w:t>
      </w:r>
    </w:p>
    <w:p w14:paraId="3BF4BE09" w14:textId="77777777" w:rsidR="006046C6" w:rsidRPr="00653A18" w:rsidDel="00A3492B" w:rsidRDefault="006046C6" w:rsidP="006046C6">
      <w:pPr>
        <w:pStyle w:val="Bulletpoints2"/>
        <w:rPr>
          <w:lang w:val="en-NZ"/>
        </w:rPr>
      </w:pPr>
      <w:r w:rsidRPr="00653A18" w:rsidDel="00A3492B">
        <w:rPr>
          <w:b/>
          <w:bCs/>
          <w:lang w:val="en-NZ"/>
        </w:rPr>
        <w:t xml:space="preserve">Quality </w:t>
      </w:r>
      <w:r w:rsidRPr="00653A18" w:rsidDel="00A3492B">
        <w:rPr>
          <w:lang w:val="en-NZ"/>
        </w:rPr>
        <w:t>- Ensuring that health care and services delivered in New Zealand are safe, easy to navigate, understandable and welcoming to users, and are continuously improving.</w:t>
      </w:r>
    </w:p>
    <w:p w14:paraId="5BB202C7" w14:textId="77777777" w:rsidR="00D161EE" w:rsidRDefault="00D161EE" w:rsidP="006046C6"/>
    <w:p w14:paraId="372B36DD" w14:textId="3E9B023F" w:rsidR="006046C6" w:rsidRPr="002F1E24" w:rsidDel="00A3492B" w:rsidRDefault="006046C6" w:rsidP="006046C6">
      <w:r w:rsidRPr="00923117" w:rsidDel="00A3492B">
        <w:t xml:space="preserve">Health NZ </w:t>
      </w:r>
      <w:r w:rsidR="00A97739">
        <w:t xml:space="preserve">has </w:t>
      </w:r>
      <w:r w:rsidRPr="00923117" w:rsidDel="00A3492B">
        <w:t xml:space="preserve">set out its actions to deliver on these aspects </w:t>
      </w:r>
      <w:r w:rsidR="00A97739">
        <w:t xml:space="preserve">and to achieve </w:t>
      </w:r>
      <w:r w:rsidR="00A97739" w:rsidRPr="00923117" w:rsidDel="00A3492B">
        <w:t>the five health and five mental health targe</w:t>
      </w:r>
      <w:r w:rsidR="00525B80">
        <w:t>ts</w:t>
      </w:r>
      <w:r w:rsidRPr="00923117" w:rsidDel="00A3492B">
        <w:t xml:space="preserve"> through </w:t>
      </w:r>
      <w:r w:rsidR="00957E89" w:rsidRPr="00923117">
        <w:t xml:space="preserve">the </w:t>
      </w:r>
      <w:r w:rsidR="00525B80">
        <w:t xml:space="preserve">Health </w:t>
      </w:r>
      <w:r w:rsidR="00957E89" w:rsidRPr="00923117">
        <w:t xml:space="preserve">New Zealand </w:t>
      </w:r>
      <w:r w:rsidR="00525B80">
        <w:t xml:space="preserve">Delivery </w:t>
      </w:r>
      <w:r w:rsidR="00957E89" w:rsidRPr="00F564E7">
        <w:t>Plan</w:t>
      </w:r>
      <w:r w:rsidR="00525B80">
        <w:rPr>
          <w:rStyle w:val="EndnoteReference"/>
        </w:rPr>
        <w:endnoteReference w:id="14"/>
      </w:r>
      <w:r w:rsidRPr="00923117" w:rsidDel="00A3492B">
        <w:t>.</w:t>
      </w:r>
    </w:p>
    <w:p w14:paraId="0FE47CBA" w14:textId="27AF1329" w:rsidR="006046C6" w:rsidRPr="00E90888" w:rsidDel="00A3492B" w:rsidRDefault="006046C6" w:rsidP="004D30F4">
      <w:pPr>
        <w:pStyle w:val="Box"/>
        <w:shd w:val="clear" w:color="auto" w:fill="28A1AC" w:themeFill="accent2"/>
        <w:rPr>
          <w:b/>
          <w:bCs/>
          <w:color w:val="FFFFFF" w:themeColor="background1"/>
        </w:rPr>
      </w:pPr>
      <w:r w:rsidRPr="00E90888" w:rsidDel="00A3492B">
        <w:rPr>
          <w:b/>
          <w:bCs/>
          <w:color w:val="FFFFFF" w:themeColor="background1"/>
        </w:rPr>
        <w:t>C</w:t>
      </w:r>
      <w:r w:rsidR="007E5549">
        <w:rPr>
          <w:b/>
          <w:bCs/>
          <w:color w:val="FFFFFF" w:themeColor="background1"/>
        </w:rPr>
        <w:t>ase study</w:t>
      </w:r>
      <w:r w:rsidRPr="00E90888" w:rsidDel="00A3492B">
        <w:rPr>
          <w:b/>
          <w:bCs/>
          <w:color w:val="FFFFFF" w:themeColor="background1"/>
        </w:rPr>
        <w:t xml:space="preserve"> – Early detection and intervention Diabetic Retinopathy (DR)</w:t>
      </w:r>
    </w:p>
    <w:p w14:paraId="4B91A723" w14:textId="332DB8CC" w:rsidR="006046C6" w:rsidRPr="00E90888" w:rsidDel="00A3492B" w:rsidRDefault="006046C6" w:rsidP="004D30F4">
      <w:pPr>
        <w:pStyle w:val="Box"/>
        <w:shd w:val="clear" w:color="auto" w:fill="28A1AC" w:themeFill="accent2"/>
        <w:rPr>
          <w:color w:val="FFFFFF" w:themeColor="background1"/>
        </w:rPr>
      </w:pPr>
      <w:r w:rsidRPr="00E90888" w:rsidDel="00A3492B">
        <w:rPr>
          <w:color w:val="FFFFFF" w:themeColor="background1"/>
        </w:rPr>
        <w:t>Health NZ has utilised AI and portable camera technology to enhance our early detection of Diabetic Retinopathy (DR), a leading cause of blindness in New Zealand for people under 50</w:t>
      </w:r>
      <w:r w:rsidR="00E63DCD" w:rsidRPr="00E90888">
        <w:rPr>
          <w:rStyle w:val="EndnoteReference"/>
          <w:color w:val="FFFFFF" w:themeColor="background1"/>
        </w:rPr>
        <w:endnoteReference w:id="15"/>
      </w:r>
      <w:r w:rsidR="00E90888" w:rsidRPr="00E90888">
        <w:rPr>
          <w:color w:val="FFFFFF" w:themeColor="background1"/>
        </w:rPr>
        <w:t>.</w:t>
      </w:r>
      <w:r w:rsidR="00E63DCD" w:rsidRPr="00E90888">
        <w:rPr>
          <w:color w:val="FFFFFF" w:themeColor="background1"/>
        </w:rPr>
        <w:t xml:space="preserve"> </w:t>
      </w:r>
      <w:r w:rsidRPr="00E90888" w:rsidDel="00A3492B">
        <w:rPr>
          <w:color w:val="FFFFFF" w:themeColor="background1"/>
        </w:rPr>
        <w:t>Evidence shows DR screening programmes can reduce risk of blindness by 56%</w:t>
      </w:r>
      <w:r w:rsidR="00E90888" w:rsidRPr="00E90888">
        <w:rPr>
          <w:rStyle w:val="EndnoteReference"/>
          <w:color w:val="FFFFFF" w:themeColor="background1"/>
        </w:rPr>
        <w:endnoteReference w:id="16"/>
      </w:r>
      <w:r w:rsidR="00E63DCD" w:rsidRPr="00E90888">
        <w:rPr>
          <w:color w:val="FFFFFF" w:themeColor="background1"/>
        </w:rPr>
        <w:t xml:space="preserve">. </w:t>
      </w:r>
    </w:p>
    <w:p w14:paraId="2DC5D311" w14:textId="18473C60" w:rsidR="006046C6" w:rsidRPr="00E90888" w:rsidDel="00A3492B" w:rsidRDefault="006046C6" w:rsidP="004D30F4">
      <w:pPr>
        <w:pStyle w:val="Box"/>
        <w:shd w:val="clear" w:color="auto" w:fill="28A1AC" w:themeFill="accent2"/>
        <w:rPr>
          <w:color w:val="FFFFFF" w:themeColor="background1"/>
        </w:rPr>
      </w:pPr>
      <w:r w:rsidRPr="00E90888" w:rsidDel="00A3492B">
        <w:rPr>
          <w:color w:val="FFFFFF" w:themeColor="background1"/>
        </w:rPr>
        <w:t xml:space="preserve">The programme </w:t>
      </w:r>
      <w:r w:rsidR="00177756" w:rsidRPr="00E90888">
        <w:rPr>
          <w:color w:val="FFFFFF" w:themeColor="background1"/>
        </w:rPr>
        <w:t>is</w:t>
      </w:r>
      <w:r w:rsidRPr="00E90888" w:rsidDel="00A3492B">
        <w:rPr>
          <w:color w:val="FFFFFF" w:themeColor="background1"/>
        </w:rPr>
        <w:t xml:space="preserve"> </w:t>
      </w:r>
      <w:r w:rsidR="0037744B" w:rsidRPr="00E90888">
        <w:rPr>
          <w:color w:val="FFFFFF" w:themeColor="background1"/>
        </w:rPr>
        <w:t>in trial phase</w:t>
      </w:r>
      <w:r w:rsidRPr="00E90888" w:rsidDel="00A3492B">
        <w:rPr>
          <w:color w:val="FFFFFF" w:themeColor="background1"/>
        </w:rPr>
        <w:t>. The portable screening technology is delivered by kai</w:t>
      </w:r>
      <w:r w:rsidRPr="00E90888" w:rsidDel="00A3492B">
        <w:rPr>
          <w:color w:val="FFFFFF" w:themeColor="background1"/>
          <w:lang w:val="mi-NZ"/>
        </w:rPr>
        <w:t xml:space="preserve">āwhina </w:t>
      </w:r>
      <w:r w:rsidRPr="00E90888" w:rsidDel="00A3492B">
        <w:rPr>
          <w:color w:val="FFFFFF" w:themeColor="background1"/>
        </w:rPr>
        <w:t xml:space="preserve">during routine healthcare visits at community and mobile clinics, improving access for patients that otherwise would be required to travel much farther to access specialist facilities and staff. </w:t>
      </w:r>
    </w:p>
    <w:p w14:paraId="193EF57D" w14:textId="77777777" w:rsidR="006046C6" w:rsidRPr="00E90888" w:rsidDel="00A3492B" w:rsidRDefault="006046C6" w:rsidP="004D30F4">
      <w:pPr>
        <w:pStyle w:val="Box"/>
        <w:shd w:val="clear" w:color="auto" w:fill="28A1AC" w:themeFill="accent2"/>
        <w:rPr>
          <w:color w:val="FFFFFF" w:themeColor="background1"/>
        </w:rPr>
      </w:pPr>
      <w:r w:rsidRPr="00E90888" w:rsidDel="00A3492B">
        <w:rPr>
          <w:color w:val="FFFFFF" w:themeColor="background1"/>
        </w:rPr>
        <w:t xml:space="preserve">Through early detection and intervention, we will enable many New Zealanders to keep their sight, while also avoiding (or at least delaying) emissions-intensive treatments and patient travel emissions. </w:t>
      </w:r>
    </w:p>
    <w:p w14:paraId="08B86683" w14:textId="77777777" w:rsidR="006046C6" w:rsidRDefault="006046C6" w:rsidP="0098271D">
      <w:pPr>
        <w:tabs>
          <w:tab w:val="left" w:pos="5551"/>
        </w:tabs>
        <w:spacing w:before="0" w:after="160" w:line="259" w:lineRule="auto"/>
      </w:pPr>
    </w:p>
    <w:p w14:paraId="6B274584" w14:textId="40D98DDA" w:rsidR="00557357" w:rsidRDefault="00557357" w:rsidP="00557357">
      <w:pPr>
        <w:pStyle w:val="Section2Heading2"/>
      </w:pPr>
      <w:bookmarkStart w:id="44" w:name="_Toc204940777"/>
      <w:r>
        <w:lastRenderedPageBreak/>
        <w:t>Progress</w:t>
      </w:r>
      <w:bookmarkEnd w:id="44"/>
    </w:p>
    <w:p w14:paraId="166ECFF6" w14:textId="218DFBD2" w:rsidR="0098271D" w:rsidRDefault="0098271D" w:rsidP="0098271D">
      <w:pPr>
        <w:tabs>
          <w:tab w:val="left" w:pos="5551"/>
        </w:tabs>
        <w:spacing w:before="0" w:after="160" w:line="259" w:lineRule="auto"/>
      </w:pPr>
      <w:r>
        <w:t>Health NZ has established National Clinical Networks</w:t>
      </w:r>
      <w:r w:rsidR="006861FA">
        <w:t xml:space="preserve"> (NCN</w:t>
      </w:r>
      <w:r w:rsidR="00F82948">
        <w:t>s)</w:t>
      </w:r>
      <w:r>
        <w:t xml:space="preserve"> to</w:t>
      </w:r>
      <w:r w:rsidR="00D516DD">
        <w:t>:</w:t>
      </w:r>
      <w:r w:rsidR="00557357">
        <w:t xml:space="preserve"> </w:t>
      </w:r>
    </w:p>
    <w:p w14:paraId="2F2290B8" w14:textId="7B722597" w:rsidR="0098271D" w:rsidRDefault="0098271D" w:rsidP="0098271D">
      <w:pPr>
        <w:pStyle w:val="Bulletpoints2"/>
      </w:pPr>
      <w:r>
        <w:t>develop national standards and models of care</w:t>
      </w:r>
    </w:p>
    <w:p w14:paraId="5C16B869" w14:textId="65191C65" w:rsidR="0098271D" w:rsidRDefault="0098271D" w:rsidP="0098271D">
      <w:pPr>
        <w:pStyle w:val="Bulletpoints2"/>
      </w:pPr>
      <w:r>
        <w:t>identify ways to address variation in service quality and outcomes</w:t>
      </w:r>
    </w:p>
    <w:p w14:paraId="6EAD7E9D" w14:textId="0F63495A" w:rsidR="0098271D" w:rsidRDefault="0098271D" w:rsidP="0098271D">
      <w:pPr>
        <w:pStyle w:val="Bulletpoints2"/>
      </w:pPr>
      <w:r>
        <w:t>address equity</w:t>
      </w:r>
    </w:p>
    <w:p w14:paraId="10DF5183" w14:textId="6F01C26E" w:rsidR="0098271D" w:rsidRDefault="0098271D" w:rsidP="0098271D">
      <w:pPr>
        <w:pStyle w:val="Bulletpoints2"/>
      </w:pPr>
      <w:r>
        <w:t>develop innovative, efficient, and evidence-based solutions to inform investments and workforce planning.</w:t>
      </w:r>
    </w:p>
    <w:p w14:paraId="6246C775" w14:textId="61E7CEB1" w:rsidR="0098271D" w:rsidRDefault="0098271D" w:rsidP="0098271D">
      <w:pPr>
        <w:tabs>
          <w:tab w:val="left" w:pos="5551"/>
        </w:tabs>
        <w:spacing w:before="0" w:after="160" w:line="259" w:lineRule="auto"/>
      </w:pPr>
      <w:r>
        <w:t xml:space="preserve">Support, analytics and expertise are being provided to each of the </w:t>
      </w:r>
      <w:r w:rsidR="003D07F0">
        <w:t>NCNs</w:t>
      </w:r>
      <w:r>
        <w:t xml:space="preserve"> to include sustainability, climate resilience and low emissions as a lens to their processes, work plans and outcomes and will culminate in a sustainable models of care framework to support ongoing decision making by the N</w:t>
      </w:r>
      <w:r w:rsidR="00316158">
        <w:t>CN</w:t>
      </w:r>
      <w:r>
        <w:t>s.</w:t>
      </w:r>
    </w:p>
    <w:p w14:paraId="166A792D" w14:textId="25BD6F85" w:rsidR="00DF19E5" w:rsidRDefault="0098271D" w:rsidP="0098271D">
      <w:pPr>
        <w:tabs>
          <w:tab w:val="left" w:pos="5551"/>
        </w:tabs>
        <w:spacing w:before="0" w:after="160" w:line="259" w:lineRule="auto"/>
      </w:pPr>
      <w:r>
        <w:t>Further work is needed to understand the avoided emissions from prevention and early intervention</w:t>
      </w:r>
      <w:r w:rsidR="00316158">
        <w:t>. T</w:t>
      </w:r>
      <w:r>
        <w:t>o help estimate this</w:t>
      </w:r>
      <w:r w:rsidR="00920D1C">
        <w:t>,</w:t>
      </w:r>
      <w:r>
        <w:t xml:space="preserve"> further exploration of Health NZ’s ‘Footprint’ is needed to assign the carbon intensity to specific types of </w:t>
      </w:r>
      <w:r w:rsidR="00892929">
        <w:t>intervention,</w:t>
      </w:r>
      <w:r>
        <w:t xml:space="preserve"> such as an inpatient bed day, a </w:t>
      </w:r>
      <w:r w:rsidR="009E179A">
        <w:t>surgical procedure/hour</w:t>
      </w:r>
      <w:r w:rsidR="003F0005">
        <w:t>,</w:t>
      </w:r>
      <w:r>
        <w:t xml:space="preserve"> and outpatient face to face appointment.</w:t>
      </w:r>
      <w:r w:rsidR="004A146F" w:rsidRPr="00653A18">
        <w:tab/>
      </w:r>
    </w:p>
    <w:p w14:paraId="25DFB76D" w14:textId="719E39F1" w:rsidR="007F5151" w:rsidRDefault="007F5151" w:rsidP="007F5151">
      <w:pPr>
        <w:pStyle w:val="Section2Heading2"/>
        <w:rPr>
          <w:rFonts w:eastAsia="Calibri"/>
        </w:rPr>
      </w:pPr>
      <w:bookmarkStart w:id="45" w:name="_Toc204940778"/>
      <w:r>
        <w:rPr>
          <w:rFonts w:eastAsia="Calibri"/>
        </w:rPr>
        <w:t>Models of care actions</w:t>
      </w:r>
      <w:bookmarkEnd w:id="45"/>
      <w:r>
        <w:rPr>
          <w:rFonts w:eastAsia="Calibri"/>
        </w:rPr>
        <w:t xml:space="preserve"> </w:t>
      </w:r>
    </w:p>
    <w:p w14:paraId="6FF4B94D" w14:textId="4126AE2F" w:rsidR="009973F0" w:rsidRDefault="005B59C3" w:rsidP="00824A17">
      <w:pPr>
        <w:pStyle w:val="Figure"/>
      </w:pPr>
      <w:bookmarkStart w:id="46" w:name="_Toc198286790"/>
      <w:r>
        <w:t xml:space="preserve">Table </w:t>
      </w:r>
      <w:r>
        <w:fldChar w:fldCharType="begin"/>
      </w:r>
      <w:r>
        <w:instrText xml:space="preserve"> SEQ Table \* ARABIC </w:instrText>
      </w:r>
      <w:r>
        <w:fldChar w:fldCharType="separate"/>
      </w:r>
      <w:r w:rsidR="008B20C4">
        <w:rPr>
          <w:noProof/>
        </w:rPr>
        <w:t>8</w:t>
      </w:r>
      <w:r>
        <w:fldChar w:fldCharType="end"/>
      </w:r>
      <w:r>
        <w:t xml:space="preserve"> Models of care actions</w:t>
      </w:r>
      <w:bookmarkEnd w:id="46"/>
    </w:p>
    <w:tbl>
      <w:tblPr>
        <w:tblStyle w:val="TeWhatuOra"/>
        <w:tblW w:w="5000" w:type="pct"/>
        <w:tblLook w:val="04A0" w:firstRow="1" w:lastRow="0" w:firstColumn="1" w:lastColumn="0" w:noHBand="0" w:noVBand="1"/>
      </w:tblPr>
      <w:tblGrid>
        <w:gridCol w:w="847"/>
        <w:gridCol w:w="3303"/>
        <w:gridCol w:w="2304"/>
        <w:gridCol w:w="1838"/>
        <w:gridCol w:w="1346"/>
      </w:tblGrid>
      <w:tr w:rsidR="00577734" w:rsidRPr="00653A18" w14:paraId="31912DAA" w14:textId="46B944E4" w:rsidTr="000A3C7E">
        <w:trPr>
          <w:cnfStyle w:val="100000000000" w:firstRow="1" w:lastRow="0" w:firstColumn="0" w:lastColumn="0" w:oddVBand="0" w:evenVBand="0" w:oddHBand="0" w:evenHBand="0" w:firstRowFirstColumn="0" w:firstRowLastColumn="0" w:lastRowFirstColumn="0" w:lastRowLastColumn="0"/>
          <w:trHeight w:val="605"/>
          <w:tblHeader/>
        </w:trPr>
        <w:tc>
          <w:tcPr>
            <w:cnfStyle w:val="001000000000" w:firstRow="0" w:lastRow="0" w:firstColumn="1" w:lastColumn="0" w:oddVBand="0" w:evenVBand="0" w:oddHBand="0" w:evenHBand="0" w:firstRowFirstColumn="0" w:firstRowLastColumn="0" w:lastRowFirstColumn="0" w:lastRowLastColumn="0"/>
            <w:tcW w:w="848" w:type="dxa"/>
          </w:tcPr>
          <w:p w14:paraId="080F5CC5" w14:textId="01801D26" w:rsidR="00577734" w:rsidRPr="00653A18" w:rsidRDefault="00577734">
            <w:pPr>
              <w:spacing w:before="0" w:after="160" w:line="259" w:lineRule="auto"/>
            </w:pPr>
            <w:r>
              <w:t>Ref</w:t>
            </w:r>
          </w:p>
        </w:tc>
        <w:tc>
          <w:tcPr>
            <w:tcW w:w="3363" w:type="dxa"/>
          </w:tcPr>
          <w:p w14:paraId="5066B97F" w14:textId="438A9FC6" w:rsidR="00577734" w:rsidRPr="00653A18" w:rsidRDefault="00577734">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2331" w:type="dxa"/>
          </w:tcPr>
          <w:p w14:paraId="0FE7255D" w14:textId="3A912347" w:rsidR="00577734" w:rsidRPr="00653A18" w:rsidRDefault="00577734">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839" w:type="dxa"/>
          </w:tcPr>
          <w:p w14:paraId="158C0295" w14:textId="4A3B22DE" w:rsidR="00577734" w:rsidRDefault="00577734">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1349" w:type="dxa"/>
          </w:tcPr>
          <w:p w14:paraId="65B5CEB8" w14:textId="03CE2801" w:rsidR="00577734" w:rsidRDefault="00577734">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7359D7" w:rsidRPr="00653A18" w14:paraId="2FCA007D" w14:textId="52155028" w:rsidTr="000A3C7E">
        <w:trPr>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2991942C" w14:textId="0BD59FBD" w:rsidR="007359D7" w:rsidRPr="003961EB" w:rsidRDefault="007359D7" w:rsidP="00BD66DC">
            <w:pPr>
              <w:spacing w:before="0" w:after="160" w:line="259" w:lineRule="auto"/>
              <w:rPr>
                <w:b w:val="0"/>
                <w:bCs/>
              </w:rPr>
            </w:pPr>
            <w:r>
              <w:rPr>
                <w:b w:val="0"/>
                <w:bCs/>
              </w:rPr>
              <w:t>MoC1</w:t>
            </w:r>
          </w:p>
        </w:tc>
        <w:tc>
          <w:tcPr>
            <w:tcW w:w="0" w:type="dxa"/>
            <w:vAlign w:val="center"/>
          </w:tcPr>
          <w:p w14:paraId="50EE256A" w14:textId="77D7EB13" w:rsidR="007359D7" w:rsidRPr="003961EB" w:rsidRDefault="007359D7"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t xml:space="preserve">Develop simple </w:t>
            </w:r>
            <w:r w:rsidR="0049475E">
              <w:t>guidance</w:t>
            </w:r>
            <w:r>
              <w:t xml:space="preserve"> for NCNs to assess the sustainability and climate considerations of a model of care</w:t>
            </w:r>
            <w:r w:rsidR="000274FF">
              <w:t xml:space="preserve"> / NCN work programme</w:t>
            </w:r>
          </w:p>
        </w:tc>
        <w:tc>
          <w:tcPr>
            <w:tcW w:w="0" w:type="dxa"/>
            <w:vAlign w:val="center"/>
          </w:tcPr>
          <w:p w14:paraId="5B1E2DA5" w14:textId="035D237C" w:rsidR="007359D7" w:rsidRPr="003961EB" w:rsidRDefault="0049475E" w:rsidP="007359D7">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t>Guidance</w:t>
            </w:r>
            <w:r w:rsidR="00A10505" w:rsidRPr="00A10505">
              <w:t xml:space="preserve"> is available for all N</w:t>
            </w:r>
            <w:r w:rsidR="00EE62DE">
              <w:t>CN</w:t>
            </w:r>
            <w:r w:rsidR="00A10505" w:rsidRPr="00A10505">
              <w:t>s to test</w:t>
            </w:r>
            <w:r w:rsidR="002C3164">
              <w:t>.</w:t>
            </w:r>
          </w:p>
        </w:tc>
        <w:tc>
          <w:tcPr>
            <w:tcW w:w="0" w:type="dxa"/>
            <w:vAlign w:val="center"/>
          </w:tcPr>
          <w:p w14:paraId="5C89C928" w14:textId="1247AFCF" w:rsidR="007359D7" w:rsidRPr="00653A18" w:rsidRDefault="007359D7" w:rsidP="007359D7">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 and NCN</w:t>
            </w:r>
            <w:r w:rsidR="007F7382">
              <w:t>s</w:t>
            </w:r>
          </w:p>
        </w:tc>
        <w:tc>
          <w:tcPr>
            <w:tcW w:w="0" w:type="dxa"/>
            <w:vAlign w:val="center"/>
          </w:tcPr>
          <w:p w14:paraId="09E61E3D" w14:textId="0C132065" w:rsidR="007359D7" w:rsidRPr="0012288A" w:rsidRDefault="00DF406E" w:rsidP="007359D7">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12288A">
              <w:t>August 2025</w:t>
            </w:r>
          </w:p>
        </w:tc>
      </w:tr>
      <w:tr w:rsidR="007359D7" w:rsidRPr="00653A18" w14:paraId="78DA75E8" w14:textId="77777777" w:rsidTr="000A3C7E">
        <w:trPr>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0E5C4297" w14:textId="1883A946" w:rsidR="007359D7" w:rsidRDefault="007359D7" w:rsidP="00BD66DC">
            <w:pPr>
              <w:spacing w:before="0" w:after="160" w:line="259" w:lineRule="auto"/>
              <w:rPr>
                <w:b w:val="0"/>
                <w:bCs/>
              </w:rPr>
            </w:pPr>
            <w:r>
              <w:rPr>
                <w:b w:val="0"/>
                <w:bCs/>
              </w:rPr>
              <w:t>MoC2</w:t>
            </w:r>
          </w:p>
        </w:tc>
        <w:tc>
          <w:tcPr>
            <w:tcW w:w="0" w:type="dxa"/>
            <w:vAlign w:val="center"/>
          </w:tcPr>
          <w:p w14:paraId="04735C7F" w14:textId="32A34ADE" w:rsidR="007359D7" w:rsidRDefault="007359D7" w:rsidP="00BD66DC">
            <w:pPr>
              <w:spacing w:before="0" w:after="160" w:line="259" w:lineRule="auto"/>
              <w:cnfStyle w:val="000000000000" w:firstRow="0" w:lastRow="0" w:firstColumn="0" w:lastColumn="0" w:oddVBand="0" w:evenVBand="0" w:oddHBand="0" w:evenHBand="0" w:firstRowFirstColumn="0" w:firstRowLastColumn="0" w:lastRowFirstColumn="0" w:lastRowLastColumn="0"/>
            </w:pPr>
            <w:r>
              <w:t>Provide sustainability support and input to all N</w:t>
            </w:r>
            <w:r w:rsidR="00D36B52">
              <w:t>CNs</w:t>
            </w:r>
            <w:r w:rsidRPr="00223CBC">
              <w:t xml:space="preserve"> </w:t>
            </w:r>
            <w:r w:rsidR="003E394D">
              <w:t>and</w:t>
            </w:r>
            <w:r w:rsidRPr="00223CBC">
              <w:t xml:space="preserve"> develop a sustainable models of care framework with the NCNs</w:t>
            </w:r>
          </w:p>
        </w:tc>
        <w:tc>
          <w:tcPr>
            <w:tcW w:w="0" w:type="dxa"/>
            <w:vAlign w:val="center"/>
          </w:tcPr>
          <w:p w14:paraId="58B02C1B" w14:textId="586059AD" w:rsidR="007359D7" w:rsidRDefault="007359D7" w:rsidP="007359D7">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Each </w:t>
            </w:r>
            <w:r w:rsidR="00D94069">
              <w:t xml:space="preserve">live </w:t>
            </w:r>
            <w:r>
              <w:t>network has at least one quantified emissions reduction project in their workplan</w:t>
            </w:r>
            <w:r w:rsidR="002C3164">
              <w:t>.</w:t>
            </w:r>
          </w:p>
        </w:tc>
        <w:tc>
          <w:tcPr>
            <w:tcW w:w="0" w:type="dxa"/>
            <w:vAlign w:val="center"/>
          </w:tcPr>
          <w:p w14:paraId="7998FBF2" w14:textId="42182500" w:rsidR="007359D7" w:rsidRDefault="007359D7" w:rsidP="007359D7">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 and NCN</w:t>
            </w:r>
            <w:r w:rsidR="007F7382">
              <w:t>s</w:t>
            </w:r>
          </w:p>
        </w:tc>
        <w:tc>
          <w:tcPr>
            <w:tcW w:w="0" w:type="dxa"/>
            <w:vAlign w:val="center"/>
          </w:tcPr>
          <w:p w14:paraId="7D066194" w14:textId="72D7585C" w:rsidR="007359D7" w:rsidRPr="0012288A" w:rsidRDefault="00D94069" w:rsidP="007359D7">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12288A">
              <w:t>December 2026</w:t>
            </w:r>
            <w:r w:rsidR="007359D7" w:rsidRPr="0012288A">
              <w:t xml:space="preserve"> </w:t>
            </w:r>
          </w:p>
        </w:tc>
      </w:tr>
      <w:tr w:rsidR="007359D7" w:rsidRPr="00653A18" w14:paraId="6EB05806" w14:textId="7DE66532" w:rsidTr="000A3C7E">
        <w:trPr>
          <w:trHeight w:val="1618"/>
        </w:trPr>
        <w:tc>
          <w:tcPr>
            <w:cnfStyle w:val="001000000000" w:firstRow="0" w:lastRow="0" w:firstColumn="1" w:lastColumn="0" w:oddVBand="0" w:evenVBand="0" w:oddHBand="0" w:evenHBand="0" w:firstRowFirstColumn="0" w:firstRowLastColumn="0" w:lastRowFirstColumn="0" w:lastRowLastColumn="0"/>
            <w:tcW w:w="0" w:type="dxa"/>
            <w:vAlign w:val="center"/>
          </w:tcPr>
          <w:p w14:paraId="73818450" w14:textId="198BAD75" w:rsidR="007359D7" w:rsidRPr="003961EB" w:rsidRDefault="007359D7" w:rsidP="00BD66DC">
            <w:pPr>
              <w:spacing w:before="0" w:after="160" w:line="259" w:lineRule="auto"/>
              <w:rPr>
                <w:b w:val="0"/>
                <w:bCs/>
              </w:rPr>
            </w:pPr>
            <w:r>
              <w:rPr>
                <w:b w:val="0"/>
                <w:bCs/>
              </w:rPr>
              <w:t>MoC</w:t>
            </w:r>
            <w:r w:rsidR="00756772">
              <w:rPr>
                <w:b w:val="0"/>
                <w:bCs/>
              </w:rPr>
              <w:t>3</w:t>
            </w:r>
          </w:p>
        </w:tc>
        <w:tc>
          <w:tcPr>
            <w:tcW w:w="0" w:type="dxa"/>
            <w:vAlign w:val="center"/>
          </w:tcPr>
          <w:p w14:paraId="4ABDE726" w14:textId="53315F35" w:rsidR="007359D7" w:rsidRPr="003961EB" w:rsidRDefault="001253C7"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1253C7">
              <w:t>Undertake a feasibility study on how Health NZ’s emissions inventory can be assigned to specific types of healthcare interventions to better track avoided emissions</w:t>
            </w:r>
          </w:p>
        </w:tc>
        <w:tc>
          <w:tcPr>
            <w:tcW w:w="0" w:type="dxa"/>
            <w:vAlign w:val="center"/>
          </w:tcPr>
          <w:p w14:paraId="725980D5" w14:textId="680CC1CA" w:rsidR="007359D7" w:rsidRPr="003961EB" w:rsidRDefault="001253C7" w:rsidP="007359D7">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t>Assess if e</w:t>
            </w:r>
            <w:r w:rsidR="007359D7" w:rsidRPr="00223CBC">
              <w:t xml:space="preserve">missions intensities </w:t>
            </w:r>
            <w:r>
              <w:t>can be</w:t>
            </w:r>
            <w:r w:rsidR="007359D7" w:rsidRPr="00223CBC">
              <w:t xml:space="preserve"> mapped for key clinical interventions. </w:t>
            </w:r>
          </w:p>
        </w:tc>
        <w:tc>
          <w:tcPr>
            <w:tcW w:w="0" w:type="dxa"/>
            <w:vAlign w:val="center"/>
          </w:tcPr>
          <w:p w14:paraId="6C6AC41D" w14:textId="4708915E" w:rsidR="007359D7" w:rsidRPr="00653A18" w:rsidRDefault="007359D7" w:rsidP="007359D7">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 and NCN</w:t>
            </w:r>
            <w:r w:rsidR="007F7382">
              <w:t>s</w:t>
            </w:r>
          </w:p>
        </w:tc>
        <w:tc>
          <w:tcPr>
            <w:tcW w:w="0" w:type="dxa"/>
            <w:vAlign w:val="center"/>
          </w:tcPr>
          <w:p w14:paraId="4A19489D" w14:textId="3C8A0828" w:rsidR="007359D7" w:rsidRPr="00653A18" w:rsidRDefault="00FB6AB7" w:rsidP="007359D7">
            <w:pPr>
              <w:spacing w:before="0" w:after="160" w:line="259" w:lineRule="auto"/>
              <w:cnfStyle w:val="000000000000" w:firstRow="0" w:lastRow="0" w:firstColumn="0" w:lastColumn="0" w:oddVBand="0" w:evenVBand="0" w:oddHBand="0" w:evenHBand="0" w:firstRowFirstColumn="0" w:firstRowLastColumn="0" w:lastRowFirstColumn="0" w:lastRowLastColumn="0"/>
            </w:pPr>
            <w:r>
              <w:t>Ju</w:t>
            </w:r>
            <w:r w:rsidR="001253C7">
              <w:t>ne</w:t>
            </w:r>
            <w:r>
              <w:t xml:space="preserve"> 202</w:t>
            </w:r>
            <w:r w:rsidR="001253C7">
              <w:t>7</w:t>
            </w:r>
          </w:p>
        </w:tc>
      </w:tr>
    </w:tbl>
    <w:p w14:paraId="41A78E37" w14:textId="5D5AF0EA" w:rsidR="00D40A75" w:rsidRDefault="00D40A75" w:rsidP="00D40A75">
      <w:pPr>
        <w:pStyle w:val="Section2Heading1"/>
      </w:pPr>
      <w:bookmarkStart w:id="47" w:name="_Toc204940779"/>
      <w:r>
        <w:lastRenderedPageBreak/>
        <w:t xml:space="preserve">Energy, </w:t>
      </w:r>
      <w:r w:rsidR="00EC4F9D">
        <w:t>water,</w:t>
      </w:r>
      <w:r>
        <w:t xml:space="preserve"> and waste</w:t>
      </w:r>
      <w:bookmarkEnd w:id="47"/>
    </w:p>
    <w:p w14:paraId="77DF60A0" w14:textId="3BE78815" w:rsidR="008343F2" w:rsidRDefault="008343F2" w:rsidP="00712621">
      <w:pPr>
        <w:rPr>
          <w:rFonts w:eastAsia="Calibri"/>
        </w:rPr>
      </w:pPr>
      <w:r w:rsidRPr="008343F2">
        <w:rPr>
          <w:rFonts w:eastAsia="Calibri"/>
        </w:rPr>
        <w:t xml:space="preserve">Energy, waste, and water emissions originate from the routine operations of healthcare facilities and corporate offices, including </w:t>
      </w:r>
      <w:r w:rsidR="00C712D3">
        <w:rPr>
          <w:rFonts w:eastAsia="Calibri"/>
        </w:rPr>
        <w:t xml:space="preserve">clinical activities, </w:t>
      </w:r>
      <w:r w:rsidRPr="008343F2">
        <w:rPr>
          <w:rFonts w:eastAsia="Calibri"/>
        </w:rPr>
        <w:t xml:space="preserve">heating, lighting, cleaning, catering, and waste management. </w:t>
      </w:r>
      <w:r w:rsidR="00D516DD">
        <w:rPr>
          <w:rFonts w:eastAsia="Calibri"/>
        </w:rPr>
        <w:t xml:space="preserve">This also includes refrigerant </w:t>
      </w:r>
      <w:r w:rsidR="008568A0">
        <w:rPr>
          <w:rFonts w:eastAsia="Calibri"/>
        </w:rPr>
        <w:t>leakage from</w:t>
      </w:r>
      <w:r w:rsidR="00D516DD">
        <w:rPr>
          <w:rFonts w:eastAsia="Calibri"/>
        </w:rPr>
        <w:t xml:space="preserve"> energy systems like chillers and heat pumps.</w:t>
      </w:r>
    </w:p>
    <w:p w14:paraId="04B27F40" w14:textId="385E2D78" w:rsidR="00C61FFF" w:rsidRDefault="00C61FFF" w:rsidP="00712621">
      <w:pPr>
        <w:rPr>
          <w:rFonts w:eastAsia="Calibri"/>
        </w:rPr>
      </w:pPr>
      <w:r>
        <w:rPr>
          <w:rFonts w:eastAsia="Calibri"/>
        </w:rPr>
        <w:t>In the</w:t>
      </w:r>
      <w:r w:rsidR="008343F2" w:rsidRPr="008343F2">
        <w:rPr>
          <w:rFonts w:eastAsia="Calibri"/>
        </w:rPr>
        <w:t xml:space="preserve"> FY22/23 baseline, these emissions amounted to </w:t>
      </w:r>
      <w:r w:rsidR="00F04534">
        <w:rPr>
          <w:rFonts w:eastAsia="Calibri"/>
        </w:rPr>
        <w:t>~</w:t>
      </w:r>
      <w:r w:rsidR="008343F2" w:rsidRPr="304EEA57">
        <w:rPr>
          <w:rFonts w:eastAsia="Calibri"/>
        </w:rPr>
        <w:t>13</w:t>
      </w:r>
      <w:r w:rsidR="00833C2F">
        <w:rPr>
          <w:rFonts w:eastAsia="Calibri"/>
        </w:rPr>
        <w:t>1</w:t>
      </w:r>
      <w:r w:rsidR="008343F2" w:rsidRPr="008343F2">
        <w:rPr>
          <w:rFonts w:eastAsia="Calibri"/>
        </w:rPr>
        <w:t>,000 tCO</w:t>
      </w:r>
      <w:r w:rsidR="008343F2" w:rsidRPr="00C61FFF">
        <w:rPr>
          <w:rFonts w:eastAsia="Calibri"/>
          <w:vertAlign w:val="subscript"/>
        </w:rPr>
        <w:t>2</w:t>
      </w:r>
      <w:r w:rsidR="008343F2" w:rsidRPr="008343F2">
        <w:rPr>
          <w:rFonts w:eastAsia="Calibri"/>
        </w:rPr>
        <w:t xml:space="preserve">e, representing 55% of Health NZ’s total </w:t>
      </w:r>
      <w:r w:rsidR="00F551BA">
        <w:rPr>
          <w:rFonts w:eastAsia="Calibri"/>
        </w:rPr>
        <w:t xml:space="preserve">measured </w:t>
      </w:r>
      <w:r w:rsidR="00DA1EF2">
        <w:rPr>
          <w:rFonts w:eastAsia="Calibri"/>
        </w:rPr>
        <w:t>‘</w:t>
      </w:r>
      <w:r w:rsidR="00F7598F">
        <w:rPr>
          <w:rFonts w:eastAsia="Calibri"/>
        </w:rPr>
        <w:t>F</w:t>
      </w:r>
      <w:r w:rsidR="00DA1EF2">
        <w:rPr>
          <w:rFonts w:eastAsia="Calibri"/>
        </w:rPr>
        <w:t>ootprint’</w:t>
      </w:r>
      <w:r w:rsidR="008343F2" w:rsidRPr="008343F2">
        <w:rPr>
          <w:rFonts w:eastAsia="Calibri"/>
        </w:rPr>
        <w:t xml:space="preserve">. By the end of FY23/24, emissions related to energy, waste, and </w:t>
      </w:r>
      <w:r w:rsidR="008343F2" w:rsidRPr="00572CC1">
        <w:rPr>
          <w:rFonts w:eastAsia="Calibri"/>
        </w:rPr>
        <w:t xml:space="preserve">water had decreased by </w:t>
      </w:r>
      <w:r w:rsidR="00F04534" w:rsidRPr="6633F3F2">
        <w:rPr>
          <w:rFonts w:eastAsia="Calibri"/>
        </w:rPr>
        <w:t>~</w:t>
      </w:r>
      <w:r w:rsidR="00BE5ACF">
        <w:rPr>
          <w:rFonts w:eastAsia="Calibri"/>
        </w:rPr>
        <w:t>23</w:t>
      </w:r>
      <w:r w:rsidR="008343F2" w:rsidRPr="6633F3F2">
        <w:rPr>
          <w:rFonts w:eastAsia="Calibri"/>
        </w:rPr>
        <w:t>,</w:t>
      </w:r>
      <w:r w:rsidR="008343F2" w:rsidRPr="00F56B8E">
        <w:rPr>
          <w:rFonts w:eastAsia="Calibri"/>
        </w:rPr>
        <w:t>000 tCO</w:t>
      </w:r>
      <w:r w:rsidR="008343F2" w:rsidRPr="00F56B8E">
        <w:rPr>
          <w:rFonts w:eastAsia="Calibri"/>
          <w:vertAlign w:val="subscript"/>
        </w:rPr>
        <w:t>2</w:t>
      </w:r>
      <w:r w:rsidR="008343F2" w:rsidRPr="00F56B8E">
        <w:rPr>
          <w:rFonts w:eastAsia="Calibri"/>
        </w:rPr>
        <w:t xml:space="preserve">e, or </w:t>
      </w:r>
      <w:r w:rsidR="44D7A6B9" w:rsidRPr="6D8AAB82">
        <w:rPr>
          <w:rFonts w:eastAsia="Calibri"/>
        </w:rPr>
        <w:t>2</w:t>
      </w:r>
      <w:r w:rsidR="008C54A1">
        <w:rPr>
          <w:rFonts w:eastAsia="Calibri"/>
        </w:rPr>
        <w:t>2</w:t>
      </w:r>
      <w:r w:rsidR="008343F2" w:rsidRPr="00F56B8E">
        <w:rPr>
          <w:rFonts w:eastAsia="Calibri"/>
        </w:rPr>
        <w:t>%,</w:t>
      </w:r>
      <w:r w:rsidR="008343F2" w:rsidRPr="00572CC1">
        <w:rPr>
          <w:rFonts w:eastAsia="Calibri"/>
        </w:rPr>
        <w:t xml:space="preserve"> resulting in a total of </w:t>
      </w:r>
      <w:r w:rsidR="00F04534" w:rsidRPr="00572CC1">
        <w:rPr>
          <w:rFonts w:eastAsia="Calibri"/>
        </w:rPr>
        <w:t>~</w:t>
      </w:r>
      <w:r w:rsidR="008C54A1" w:rsidRPr="11F50BDE">
        <w:rPr>
          <w:rFonts w:eastAsia="Calibri"/>
        </w:rPr>
        <w:t>10</w:t>
      </w:r>
      <w:r w:rsidR="008C54A1">
        <w:rPr>
          <w:rFonts w:eastAsia="Calibri"/>
        </w:rPr>
        <w:t>8</w:t>
      </w:r>
      <w:r w:rsidR="008343F2" w:rsidRPr="00F56B8E">
        <w:rPr>
          <w:rFonts w:eastAsia="Calibri"/>
        </w:rPr>
        <w:t>,000 tCO</w:t>
      </w:r>
      <w:r w:rsidR="008343F2" w:rsidRPr="00F56B8E">
        <w:rPr>
          <w:rFonts w:eastAsia="Calibri"/>
          <w:vertAlign w:val="subscript"/>
        </w:rPr>
        <w:t>2</w:t>
      </w:r>
      <w:r w:rsidR="008343F2" w:rsidRPr="00F56B8E">
        <w:rPr>
          <w:rFonts w:eastAsia="Calibri"/>
        </w:rPr>
        <w:t>e</w:t>
      </w:r>
      <w:r w:rsidR="008343F2" w:rsidRPr="00572CC1">
        <w:rPr>
          <w:rFonts w:eastAsia="Calibri"/>
        </w:rPr>
        <w:t>. This significant reduction</w:t>
      </w:r>
      <w:r w:rsidR="008343F2" w:rsidRPr="008343F2">
        <w:rPr>
          <w:rFonts w:eastAsia="Calibri"/>
        </w:rPr>
        <w:t xml:space="preserve"> in energy-related emissions is attributed to the progress made in eliminating coal as an energy source for hot water and steam production. The </w:t>
      </w:r>
      <w:r w:rsidRPr="008343F2">
        <w:rPr>
          <w:rFonts w:eastAsia="Calibri"/>
        </w:rPr>
        <w:t>modelling</w:t>
      </w:r>
      <w:r w:rsidR="008343F2" w:rsidRPr="008343F2">
        <w:rPr>
          <w:rFonts w:eastAsia="Calibri"/>
        </w:rPr>
        <w:t xml:space="preserve"> of planned actions</w:t>
      </w:r>
      <w:r w:rsidR="006E1F8E">
        <w:rPr>
          <w:rFonts w:eastAsia="Calibri"/>
        </w:rPr>
        <w:t xml:space="preserve"> (</w:t>
      </w:r>
      <w:r w:rsidR="00515662">
        <w:rPr>
          <w:rFonts w:eastAsia="Calibri"/>
        </w:rPr>
        <w:t>F</w:t>
      </w:r>
      <w:r w:rsidR="006E1F8E">
        <w:rPr>
          <w:rFonts w:eastAsia="Calibri"/>
        </w:rPr>
        <w:t xml:space="preserve">igure </w:t>
      </w:r>
      <w:r w:rsidR="004C689C">
        <w:rPr>
          <w:rFonts w:eastAsia="Calibri"/>
        </w:rPr>
        <w:t>5</w:t>
      </w:r>
      <w:r w:rsidR="006E1F8E">
        <w:rPr>
          <w:rFonts w:eastAsia="Calibri"/>
        </w:rPr>
        <w:t>)</w:t>
      </w:r>
      <w:r w:rsidR="008343F2" w:rsidRPr="008343F2">
        <w:rPr>
          <w:rFonts w:eastAsia="Calibri"/>
        </w:rPr>
        <w:t xml:space="preserve"> </w:t>
      </w:r>
      <w:r w:rsidR="00D10D69">
        <w:rPr>
          <w:rFonts w:eastAsia="Calibri"/>
        </w:rPr>
        <w:t>demonstrates</w:t>
      </w:r>
      <w:r w:rsidR="008343F2" w:rsidRPr="008343F2">
        <w:rPr>
          <w:rFonts w:eastAsia="Calibri"/>
        </w:rPr>
        <w:t xml:space="preserve"> a potential pathway to further reduce net emissions by </w:t>
      </w:r>
      <w:r w:rsidR="00D23F51">
        <w:rPr>
          <w:rFonts w:eastAsia="Calibri"/>
        </w:rPr>
        <w:t>~</w:t>
      </w:r>
      <w:r w:rsidR="00D6377A">
        <w:rPr>
          <w:rFonts w:eastAsia="Calibri"/>
        </w:rPr>
        <w:t>20</w:t>
      </w:r>
      <w:r w:rsidR="008343F2" w:rsidRPr="008343F2">
        <w:rPr>
          <w:rFonts w:eastAsia="Calibri"/>
        </w:rPr>
        <w:t>,</w:t>
      </w:r>
      <w:r w:rsidR="00D6377A">
        <w:rPr>
          <w:rFonts w:eastAsia="Calibri"/>
        </w:rPr>
        <w:t>8</w:t>
      </w:r>
      <w:r w:rsidR="008343F2" w:rsidRPr="008343F2">
        <w:rPr>
          <w:rFonts w:eastAsia="Calibri"/>
        </w:rPr>
        <w:t>00 tCO</w:t>
      </w:r>
      <w:r w:rsidR="008343F2" w:rsidRPr="00C61FFF">
        <w:rPr>
          <w:rFonts w:eastAsia="Calibri"/>
          <w:vertAlign w:val="subscript"/>
        </w:rPr>
        <w:t>2</w:t>
      </w:r>
      <w:r w:rsidR="008343F2" w:rsidRPr="008343F2">
        <w:rPr>
          <w:rFonts w:eastAsia="Calibri"/>
        </w:rPr>
        <w:t xml:space="preserve">e by the end of FY26/27, significantly contributing towards the 2030 </w:t>
      </w:r>
      <w:r w:rsidR="002212CF">
        <w:rPr>
          <w:rFonts w:eastAsia="Calibri"/>
        </w:rPr>
        <w:t>level of ambition</w:t>
      </w:r>
      <w:r w:rsidR="008343F2" w:rsidRPr="008343F2">
        <w:rPr>
          <w:rFonts w:eastAsia="Calibri"/>
        </w:rPr>
        <w:t>.</w:t>
      </w:r>
    </w:p>
    <w:p w14:paraId="0D758FF4" w14:textId="68C31457" w:rsidR="00EB60BC" w:rsidRPr="00FA357B" w:rsidRDefault="00EC2163" w:rsidP="00AB1304">
      <w:pPr>
        <w:spacing w:line="257" w:lineRule="auto"/>
        <w:rPr>
          <w:rFonts w:eastAsia="Calibri"/>
        </w:rPr>
      </w:pPr>
      <w:r>
        <w:rPr>
          <w:noProof/>
        </w:rPr>
        <w:lastRenderedPageBreak/>
        <mc:AlternateContent>
          <mc:Choice Requires="cx1">
            <w:drawing>
              <wp:inline distT="0" distB="0" distL="0" distR="0" wp14:anchorId="4E084A94" wp14:editId="0C4D2074">
                <wp:extent cx="5918200" cy="5641145"/>
                <wp:effectExtent l="0" t="0" r="6350" b="17145"/>
                <wp:docPr id="1108126270" name="Chart 1" descr="Figure 5 Modelling of energy, water and waste reduction actions">
                  <a:extLst xmlns:a="http://schemas.openxmlformats.org/drawingml/2006/main">
                    <a:ext uri="{FF2B5EF4-FFF2-40B4-BE49-F238E27FC236}">
                      <a16:creationId xmlns:a16="http://schemas.microsoft.com/office/drawing/2014/main" id="{0732AFD4-1210-7FC4-C95E-506F12790D15}"/>
                    </a:ext>
                    <a:ext uri="{147F2762-F138-4A5C-976F-8EAC2B608ADB}">
                      <a16:predDERef xmlns:a16="http://schemas.microsoft.com/office/drawing/2014/main" pred="{9F86140D-F04A-48F3-8BCB-E8834608FB4A}"/>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8"/>
                  </a:graphicData>
                </a:graphic>
              </wp:inline>
            </w:drawing>
          </mc:Choice>
          <mc:Fallback>
            <w:drawing>
              <wp:inline distT="0" distB="0" distL="0" distR="0" wp14:anchorId="4E084A94" wp14:editId="0C4D2074">
                <wp:extent cx="5918200" cy="5641145"/>
                <wp:effectExtent l="0" t="0" r="6350" b="17145"/>
                <wp:docPr id="1108126270" name="Chart 1" descr="Figure 5 Modelling of energy, water and waste reduction actions">
                  <a:extLst xmlns:a="http://schemas.openxmlformats.org/drawingml/2006/main">
                    <a:ext uri="{FF2B5EF4-FFF2-40B4-BE49-F238E27FC236}">
                      <a16:creationId xmlns:a16="http://schemas.microsoft.com/office/drawing/2014/main" id="{0732AFD4-1210-7FC4-C95E-506F12790D15}"/>
                    </a:ext>
                    <a:ext uri="{147F2762-F138-4A5C-976F-8EAC2B608ADB}">
                      <a16:predDERef xmlns:a16="http://schemas.microsoft.com/office/drawing/2014/main" pred="{9F86140D-F04A-48F3-8BCB-E8834608FB4A}"/>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08126270" name="Chart 1" descr="Figure 5 Modelling of energy, water and waste reduction actions">
                          <a:extLst>
                            <a:ext uri="{FF2B5EF4-FFF2-40B4-BE49-F238E27FC236}">
                              <a16:creationId xmlns:a16="http://schemas.microsoft.com/office/drawing/2014/main" id="{0732AFD4-1210-7FC4-C95E-506F12790D15}"/>
                            </a:ext>
                            <a:ext uri="{147F2762-F138-4A5C-976F-8EAC2B608ADB}">
                              <a16:predDERef xmlns:a16="http://schemas.microsoft.com/office/drawing/2014/main" pred="{9F86140D-F04A-48F3-8BCB-E8834608FB4A}"/>
                            </a:ext>
                          </a:extLst>
                        </pic:cNvPr>
                        <pic:cNvPicPr>
                          <a:picLocks noGrp="1" noRot="1" noChangeAspect="1" noMove="1" noResize="1" noEditPoints="1" noAdjustHandles="1" noChangeArrowheads="1" noChangeShapeType="1"/>
                        </pic:cNvPicPr>
                      </pic:nvPicPr>
                      <pic:blipFill>
                        <a:blip r:embed="rId29"/>
                        <a:stretch>
                          <a:fillRect/>
                        </a:stretch>
                      </pic:blipFill>
                      <pic:spPr>
                        <a:xfrm>
                          <a:off x="0" y="0"/>
                          <a:ext cx="5918200" cy="5640705"/>
                        </a:xfrm>
                        <a:prstGeom prst="rect">
                          <a:avLst/>
                        </a:prstGeom>
                      </pic:spPr>
                    </pic:pic>
                  </a:graphicData>
                </a:graphic>
              </wp:inline>
            </w:drawing>
          </mc:Fallback>
        </mc:AlternateContent>
      </w:r>
    </w:p>
    <w:p w14:paraId="31D9D1F5" w14:textId="4DF909A6" w:rsidR="00AB585B" w:rsidRDefault="00AB585B" w:rsidP="008F6876">
      <w:pPr>
        <w:pStyle w:val="Figure"/>
        <w:rPr>
          <w:rFonts w:eastAsia="Calibri"/>
        </w:rPr>
      </w:pPr>
      <w:bookmarkStart w:id="48" w:name="_Toc198286803"/>
      <w:r>
        <w:t xml:space="preserve">Figure </w:t>
      </w:r>
      <w:r>
        <w:fldChar w:fldCharType="begin"/>
      </w:r>
      <w:r>
        <w:instrText xml:space="preserve"> SEQ Figure \* ARABIC </w:instrText>
      </w:r>
      <w:r>
        <w:fldChar w:fldCharType="separate"/>
      </w:r>
      <w:r w:rsidR="008B20C4">
        <w:rPr>
          <w:noProof/>
        </w:rPr>
        <w:t>5</w:t>
      </w:r>
      <w:r>
        <w:fldChar w:fldCharType="end"/>
      </w:r>
      <w:r>
        <w:t xml:space="preserve"> </w:t>
      </w:r>
      <w:r w:rsidR="00283CC5">
        <w:t>M</w:t>
      </w:r>
      <w:r>
        <w:t>odelling of energy, water and waste reduction actions</w:t>
      </w:r>
      <w:bookmarkEnd w:id="48"/>
    </w:p>
    <w:p w14:paraId="0591D718" w14:textId="7382948B" w:rsidR="00CB1A51" w:rsidRDefault="00144B31" w:rsidP="00144B31">
      <w:pPr>
        <w:pStyle w:val="Section2Heading2"/>
      </w:pPr>
      <w:bookmarkStart w:id="49" w:name="_Toc204940780"/>
      <w:r>
        <w:t>Progress and ways of working</w:t>
      </w:r>
      <w:bookmarkEnd w:id="49"/>
      <w:r>
        <w:t xml:space="preserve"> </w:t>
      </w:r>
    </w:p>
    <w:p w14:paraId="7484D351" w14:textId="6E5BDEEA" w:rsidR="00124595" w:rsidRPr="00FA357B" w:rsidRDefault="00124595" w:rsidP="00124595">
      <w:pPr>
        <w:spacing w:line="257" w:lineRule="auto"/>
        <w:rPr>
          <w:rFonts w:eastAsia="Calibri"/>
        </w:rPr>
      </w:pPr>
      <w:r w:rsidRPr="1FE411AD">
        <w:rPr>
          <w:rFonts w:eastAsia="Calibri"/>
        </w:rPr>
        <w:t>Since the baseline year Health NZ has:</w:t>
      </w:r>
    </w:p>
    <w:p w14:paraId="552209DD" w14:textId="3E67A163" w:rsidR="001F3E4A" w:rsidRPr="001F3E4A" w:rsidRDefault="002F15D9" w:rsidP="003E7E00">
      <w:pPr>
        <w:pStyle w:val="ListParagraph"/>
        <w:numPr>
          <w:ilvl w:val="0"/>
          <w:numId w:val="11"/>
        </w:numPr>
        <w:spacing w:before="0" w:after="160" w:line="257" w:lineRule="auto"/>
        <w:rPr>
          <w:rFonts w:eastAsia="Calibri"/>
        </w:rPr>
      </w:pPr>
      <w:r>
        <w:rPr>
          <w:rFonts w:eastAsia="Calibri"/>
        </w:rPr>
        <w:t xml:space="preserve">started the </w:t>
      </w:r>
      <w:r w:rsidR="001F3E4A">
        <w:rPr>
          <w:rFonts w:eastAsia="Calibri"/>
        </w:rPr>
        <w:t>d</w:t>
      </w:r>
      <w:r w:rsidR="001F3E4A" w:rsidRPr="001F3E4A">
        <w:rPr>
          <w:rFonts w:eastAsia="Calibri"/>
        </w:rPr>
        <w:t>evelop</w:t>
      </w:r>
      <w:r>
        <w:rPr>
          <w:rFonts w:eastAsia="Calibri"/>
        </w:rPr>
        <w:t>ment of</w:t>
      </w:r>
      <w:r w:rsidR="001F3E4A" w:rsidRPr="001F3E4A">
        <w:rPr>
          <w:rFonts w:eastAsia="Calibri"/>
        </w:rPr>
        <w:t xml:space="preserve"> </w:t>
      </w:r>
      <w:r w:rsidR="00302432" w:rsidRPr="001F3E4A">
        <w:rPr>
          <w:rFonts w:eastAsia="Calibri"/>
        </w:rPr>
        <w:t>long-term strategic approach</w:t>
      </w:r>
      <w:r w:rsidR="00302432">
        <w:rPr>
          <w:rFonts w:eastAsia="Calibri"/>
        </w:rPr>
        <w:t xml:space="preserve">es to infrastructure investment and </w:t>
      </w:r>
      <w:r w:rsidR="00654154">
        <w:rPr>
          <w:rFonts w:eastAsia="Calibri"/>
        </w:rPr>
        <w:t>national asset management</w:t>
      </w:r>
      <w:r w:rsidR="001F3E4A" w:rsidRPr="001F3E4A">
        <w:rPr>
          <w:rFonts w:eastAsia="Calibri"/>
        </w:rPr>
        <w:t xml:space="preserve">, both of which </w:t>
      </w:r>
      <w:r w:rsidR="00F37AB5">
        <w:rPr>
          <w:rFonts w:eastAsia="Calibri"/>
        </w:rPr>
        <w:t>will help</w:t>
      </w:r>
      <w:r w:rsidR="001F3E4A" w:rsidRPr="001F3E4A">
        <w:rPr>
          <w:rFonts w:eastAsia="Calibri"/>
        </w:rPr>
        <w:t xml:space="preserve"> address ageing infrastructure, with emissions reduction as a strategic objective.</w:t>
      </w:r>
    </w:p>
    <w:p w14:paraId="0F221AE9" w14:textId="77777777" w:rsidR="00C50802" w:rsidRDefault="001F3E4A" w:rsidP="003E7E00">
      <w:pPr>
        <w:pStyle w:val="ListParagraph"/>
        <w:numPr>
          <w:ilvl w:val="0"/>
          <w:numId w:val="11"/>
        </w:numPr>
        <w:spacing w:before="0" w:after="160" w:line="257" w:lineRule="auto"/>
        <w:rPr>
          <w:rFonts w:eastAsia="Calibri"/>
        </w:rPr>
      </w:pPr>
      <w:r w:rsidRPr="00C50802">
        <w:rPr>
          <w:rFonts w:eastAsia="Calibri"/>
        </w:rPr>
        <w:t>initiated the development of an Asset Management Information Strategy, which provides a standardi</w:t>
      </w:r>
      <w:r w:rsidR="00641BD5" w:rsidRPr="00C50802">
        <w:rPr>
          <w:rFonts w:eastAsia="Calibri"/>
        </w:rPr>
        <w:t>s</w:t>
      </w:r>
      <w:r w:rsidRPr="00C50802">
        <w:rPr>
          <w:rFonts w:eastAsia="Calibri"/>
        </w:rPr>
        <w:t>ed approach to asset management to optimi</w:t>
      </w:r>
      <w:r w:rsidR="00641BD5" w:rsidRPr="00C50802">
        <w:rPr>
          <w:rFonts w:eastAsia="Calibri"/>
        </w:rPr>
        <w:t>s</w:t>
      </w:r>
      <w:r w:rsidRPr="00C50802">
        <w:rPr>
          <w:rFonts w:eastAsia="Calibri"/>
        </w:rPr>
        <w:t>e the healthcare estate. Energy efficiency and the lifecycle replacement of ageing equipment are emerging as key principles of this strategy.</w:t>
      </w:r>
    </w:p>
    <w:p w14:paraId="0F75651F" w14:textId="3CA0F347" w:rsidR="00AA25EA" w:rsidRDefault="00F515BC" w:rsidP="003E7E00">
      <w:pPr>
        <w:pStyle w:val="ListParagraph"/>
        <w:numPr>
          <w:ilvl w:val="0"/>
          <w:numId w:val="11"/>
        </w:numPr>
        <w:spacing w:before="0" w:after="160" w:line="257" w:lineRule="auto"/>
        <w:rPr>
          <w:rFonts w:eastAsia="Calibri"/>
        </w:rPr>
      </w:pPr>
      <w:r w:rsidRPr="00C50802">
        <w:rPr>
          <w:rFonts w:eastAsia="Calibri"/>
        </w:rPr>
        <w:t>Health NZ’s Design Guidance Note (DGN) provide requirements for low global warming potential (GWP) refrigerants for new plant as part of a hospital’s design.</w:t>
      </w:r>
    </w:p>
    <w:p w14:paraId="3032C6C6" w14:textId="2B62A0B7" w:rsidR="00797AC2" w:rsidRPr="00797AC2" w:rsidRDefault="00EA68EA" w:rsidP="003E7E00">
      <w:pPr>
        <w:pStyle w:val="ListParagraph"/>
        <w:numPr>
          <w:ilvl w:val="0"/>
          <w:numId w:val="11"/>
        </w:numPr>
        <w:rPr>
          <w:sz w:val="22"/>
        </w:rPr>
      </w:pPr>
      <w:r>
        <w:lastRenderedPageBreak/>
        <w:t xml:space="preserve">a </w:t>
      </w:r>
      <w:r w:rsidR="00D915E8">
        <w:t>programme</w:t>
      </w:r>
      <w:r>
        <w:t xml:space="preserve"> to </w:t>
      </w:r>
      <w:r w:rsidR="00D915E8">
        <w:t>ra</w:t>
      </w:r>
      <w:r w:rsidR="00D915E8" w:rsidRPr="00797AC2">
        <w:t>tionalise</w:t>
      </w:r>
      <w:r w:rsidR="00797AC2" w:rsidRPr="00797AC2">
        <w:t xml:space="preserve"> and optimis</w:t>
      </w:r>
      <w:r>
        <w:t>e</w:t>
      </w:r>
      <w:r w:rsidR="00797AC2" w:rsidRPr="00797AC2">
        <w:t xml:space="preserve"> </w:t>
      </w:r>
      <w:r>
        <w:t>the 1,000</w:t>
      </w:r>
      <w:r w:rsidR="00D915E8">
        <w:t xml:space="preserve"> plus lease</w:t>
      </w:r>
      <w:r w:rsidR="00BD58C2">
        <w:t>d buildings</w:t>
      </w:r>
      <w:r w:rsidR="00D915E8">
        <w:t xml:space="preserve"> across the motu, </w:t>
      </w:r>
      <w:r w:rsidR="00797AC2" w:rsidRPr="00797AC2">
        <w:t>these spaces will have a</w:t>
      </w:r>
      <w:r w:rsidR="00797AC2">
        <w:t xml:space="preserve">n </w:t>
      </w:r>
      <w:r w:rsidR="00797AC2" w:rsidRPr="00797AC2">
        <w:t xml:space="preserve">impact on our </w:t>
      </w:r>
      <w:r w:rsidR="00797AC2">
        <w:t>energy usage</w:t>
      </w:r>
      <w:r w:rsidR="00797AC2" w:rsidRPr="00797AC2">
        <w:t xml:space="preserve"> and emissions. Any new spaces that are looking to be leased will have sustainability as a consideration and where appropriate we will be seeking an appropriate NABERS</w:t>
      </w:r>
      <w:r w:rsidR="00797AC2">
        <w:t>N</w:t>
      </w:r>
      <w:r w:rsidR="00797AC2" w:rsidRPr="00797AC2">
        <w:t xml:space="preserve">Z rating.  </w:t>
      </w:r>
    </w:p>
    <w:p w14:paraId="218A99D9" w14:textId="6C7D634E" w:rsidR="00C50802" w:rsidRPr="00087D6B" w:rsidRDefault="00D915E8" w:rsidP="003E7E00">
      <w:pPr>
        <w:pStyle w:val="ListParagraph"/>
        <w:numPr>
          <w:ilvl w:val="0"/>
          <w:numId w:val="11"/>
        </w:numPr>
        <w:spacing w:before="0" w:after="160" w:line="257" w:lineRule="auto"/>
        <w:rPr>
          <w:rFonts w:eastAsia="Calibri"/>
        </w:rPr>
      </w:pPr>
      <w:r>
        <w:rPr>
          <w:rFonts w:eastAsia="Calibri"/>
        </w:rPr>
        <w:t>a</w:t>
      </w:r>
      <w:r w:rsidR="008707F5" w:rsidRPr="00087D6B">
        <w:rPr>
          <w:rFonts w:eastAsia="Calibri"/>
        </w:rPr>
        <w:t xml:space="preserve"> business case has been approved to implement </w:t>
      </w:r>
      <w:r w:rsidR="00087D6B">
        <w:rPr>
          <w:rFonts w:eastAsia="Calibri"/>
        </w:rPr>
        <w:t xml:space="preserve">a series of decarbonisation actions at part of stage </w:t>
      </w:r>
      <w:r w:rsidR="001F4E01">
        <w:rPr>
          <w:rFonts w:eastAsia="Calibri"/>
        </w:rPr>
        <w:t>three</w:t>
      </w:r>
      <w:r w:rsidR="00087D6B">
        <w:rPr>
          <w:rFonts w:eastAsia="Calibri"/>
        </w:rPr>
        <w:t xml:space="preserve"> of the </w:t>
      </w:r>
      <w:r w:rsidR="00C46FE8" w:rsidRPr="00C46FE8">
        <w:rPr>
          <w:rFonts w:eastAsia="Calibri"/>
        </w:rPr>
        <w:t>Facilities Infrastructure Remediation Programme</w:t>
      </w:r>
      <w:r w:rsidR="00C46FE8">
        <w:rPr>
          <w:rFonts w:eastAsia="Calibri"/>
        </w:rPr>
        <w:t xml:space="preserve"> at Te Toka Tuma</w:t>
      </w:r>
      <w:r w:rsidR="004A564A">
        <w:rPr>
          <w:rFonts w:eastAsia="Calibri"/>
        </w:rPr>
        <w:t>i</w:t>
      </w:r>
      <w:r w:rsidR="00C46FE8">
        <w:rPr>
          <w:rFonts w:eastAsia="Calibri"/>
        </w:rPr>
        <w:t xml:space="preserve"> Auckland’s two key sites</w:t>
      </w:r>
      <w:r w:rsidR="00A3536A">
        <w:rPr>
          <w:rFonts w:eastAsia="Calibri"/>
        </w:rPr>
        <w:t xml:space="preserve"> -</w:t>
      </w:r>
      <w:r w:rsidR="00C46FE8">
        <w:rPr>
          <w:rFonts w:eastAsia="Calibri"/>
        </w:rPr>
        <w:t xml:space="preserve"> Auckland City Hospital and Greenlane Clinical Centre. </w:t>
      </w:r>
    </w:p>
    <w:p w14:paraId="25DB857D" w14:textId="656F0F16" w:rsidR="00F515BC" w:rsidRDefault="00F515BC" w:rsidP="00170985">
      <w:pPr>
        <w:spacing w:before="0" w:after="160" w:line="257" w:lineRule="auto"/>
        <w:rPr>
          <w:rFonts w:eastAsia="Calibri"/>
        </w:rPr>
      </w:pPr>
      <w:r>
        <w:rPr>
          <w:rFonts w:eastAsia="Calibri"/>
        </w:rPr>
        <w:t xml:space="preserve">The </w:t>
      </w:r>
      <w:r w:rsidR="001243C5">
        <w:rPr>
          <w:rFonts w:eastAsia="Calibri"/>
        </w:rPr>
        <w:t xml:space="preserve">successful </w:t>
      </w:r>
      <w:r>
        <w:rPr>
          <w:rFonts w:eastAsia="Calibri"/>
        </w:rPr>
        <w:t xml:space="preserve">partnership and collaboration with </w:t>
      </w:r>
      <w:r w:rsidR="006E60CC">
        <w:rPr>
          <w:rFonts w:eastAsia="Calibri"/>
        </w:rPr>
        <w:t>the</w:t>
      </w:r>
      <w:r>
        <w:rPr>
          <w:rFonts w:eastAsia="Calibri"/>
        </w:rPr>
        <w:t xml:space="preserve"> </w:t>
      </w:r>
      <w:r w:rsidRPr="001F3E4A">
        <w:rPr>
          <w:rFonts w:eastAsia="Calibri"/>
        </w:rPr>
        <w:t>Energy Efficiency and Conservation Authority (EECA)</w:t>
      </w:r>
      <w:r>
        <w:rPr>
          <w:rFonts w:eastAsia="Calibri"/>
        </w:rPr>
        <w:t xml:space="preserve"> has </w:t>
      </w:r>
      <w:r w:rsidR="001243C5">
        <w:rPr>
          <w:rFonts w:eastAsia="Calibri"/>
        </w:rPr>
        <w:t>created a step change in Health NZ’s energy emissions</w:t>
      </w:r>
      <w:r>
        <w:rPr>
          <w:rFonts w:eastAsia="Calibri"/>
        </w:rPr>
        <w:t>:</w:t>
      </w:r>
    </w:p>
    <w:p w14:paraId="4DB82C56" w14:textId="41153C5D" w:rsidR="009C3955" w:rsidRPr="00170985" w:rsidRDefault="009C3955" w:rsidP="003E7E00">
      <w:pPr>
        <w:pStyle w:val="ListParagraph"/>
        <w:numPr>
          <w:ilvl w:val="0"/>
          <w:numId w:val="11"/>
        </w:numPr>
        <w:rPr>
          <w:rFonts w:eastAsia="Calibri"/>
        </w:rPr>
      </w:pPr>
      <w:r w:rsidRPr="00170985">
        <w:rPr>
          <w:rFonts w:eastAsia="Calibri"/>
        </w:rPr>
        <w:t xml:space="preserve">EECA co-funding has been in place since 2020, supporting </w:t>
      </w:r>
      <w:r w:rsidR="000353E3">
        <w:rPr>
          <w:rFonts w:eastAsia="Calibri"/>
        </w:rPr>
        <w:t>six</w:t>
      </w:r>
      <w:r w:rsidR="000353E3" w:rsidRPr="00170985">
        <w:rPr>
          <w:rFonts w:eastAsia="Calibri"/>
        </w:rPr>
        <w:t xml:space="preserve"> </w:t>
      </w:r>
      <w:r w:rsidRPr="00170985">
        <w:rPr>
          <w:rFonts w:eastAsia="Calibri"/>
        </w:rPr>
        <w:t xml:space="preserve">Energy Graduates &amp; </w:t>
      </w:r>
      <w:r w:rsidR="000353E3">
        <w:rPr>
          <w:rFonts w:eastAsia="Calibri"/>
        </w:rPr>
        <w:t>three</w:t>
      </w:r>
      <w:r w:rsidRPr="00170985">
        <w:rPr>
          <w:rFonts w:eastAsia="Calibri"/>
        </w:rPr>
        <w:t xml:space="preserve"> Energy Managers and ha</w:t>
      </w:r>
      <w:r w:rsidR="00B611DF">
        <w:rPr>
          <w:rFonts w:eastAsia="Calibri"/>
        </w:rPr>
        <w:t>s</w:t>
      </w:r>
      <w:r w:rsidRPr="00170985">
        <w:rPr>
          <w:rFonts w:eastAsia="Calibri"/>
        </w:rPr>
        <w:t xml:space="preserve"> thus far </w:t>
      </w:r>
      <w:r w:rsidR="00967079">
        <w:rPr>
          <w:rFonts w:eastAsia="Calibri"/>
        </w:rPr>
        <w:t>enabled</w:t>
      </w:r>
      <w:r w:rsidR="00FB3314">
        <w:rPr>
          <w:rFonts w:eastAsia="Calibri"/>
        </w:rPr>
        <w:t xml:space="preserve"> </w:t>
      </w:r>
      <w:r w:rsidRPr="00170985">
        <w:rPr>
          <w:rFonts w:eastAsia="Calibri"/>
        </w:rPr>
        <w:t xml:space="preserve">cumulative savings of 16.4 </w:t>
      </w:r>
      <w:r w:rsidR="00957E89">
        <w:rPr>
          <w:rFonts w:eastAsia="Calibri"/>
        </w:rPr>
        <w:t>gigawatt hours (</w:t>
      </w:r>
      <w:r w:rsidRPr="00170985">
        <w:rPr>
          <w:rFonts w:eastAsia="Calibri"/>
        </w:rPr>
        <w:t>GWh</w:t>
      </w:r>
      <w:r w:rsidR="00957E89">
        <w:rPr>
          <w:rFonts w:eastAsia="Calibri"/>
        </w:rPr>
        <w:t>)</w:t>
      </w:r>
      <w:r w:rsidR="00D56AB5">
        <w:rPr>
          <w:rFonts w:eastAsia="Calibri"/>
        </w:rPr>
        <w:t>.</w:t>
      </w:r>
    </w:p>
    <w:p w14:paraId="16082956" w14:textId="77777777" w:rsidR="002D35AD" w:rsidRDefault="002D35AD" w:rsidP="003E7E00">
      <w:pPr>
        <w:pStyle w:val="ListParagraph"/>
        <w:numPr>
          <w:ilvl w:val="0"/>
          <w:numId w:val="11"/>
        </w:numPr>
        <w:spacing w:before="0" w:after="160" w:line="257" w:lineRule="auto"/>
        <w:rPr>
          <w:rFonts w:eastAsia="Calibri"/>
        </w:rPr>
      </w:pPr>
      <w:r>
        <w:rPr>
          <w:rFonts w:eastAsia="Calibri"/>
        </w:rPr>
        <w:t>Health NZ and EECA have c</w:t>
      </w:r>
      <w:r w:rsidRPr="001F3E4A">
        <w:rPr>
          <w:rFonts w:eastAsia="Calibri"/>
        </w:rPr>
        <w:t>ollaborated with the National Australian Built Environment Rating System (NABERS) to develop a NABERSNZ energy rating for public hospitals. This rating will help identify opportunities for performance improvement and support annual assessments to track progress and identify further opportunities.</w:t>
      </w:r>
    </w:p>
    <w:p w14:paraId="62F96D68" w14:textId="78ADFE07" w:rsidR="00F515BC" w:rsidRPr="00170985" w:rsidRDefault="003542EA" w:rsidP="003E7E00">
      <w:pPr>
        <w:pStyle w:val="ListParagraph"/>
        <w:numPr>
          <w:ilvl w:val="0"/>
          <w:numId w:val="11"/>
        </w:numPr>
        <w:spacing w:before="0" w:after="160" w:line="257" w:lineRule="auto"/>
        <w:rPr>
          <w:rFonts w:eastAsia="Calibri"/>
        </w:rPr>
      </w:pPr>
      <w:r>
        <w:rPr>
          <w:rFonts w:eastAsia="Calibri"/>
        </w:rPr>
        <w:t>The State Sector Decarbonisation Fund, managed by EECA has supported</w:t>
      </w:r>
      <w:r w:rsidR="002D35AD">
        <w:rPr>
          <w:rFonts w:eastAsia="Calibri"/>
        </w:rPr>
        <w:t xml:space="preserve"> several key energy transition and decarbonisation projects such as the $12m Coal Boiler Programme and </w:t>
      </w:r>
      <w:r w:rsidR="00D47595">
        <w:rPr>
          <w:rFonts w:eastAsia="Calibri"/>
        </w:rPr>
        <w:t xml:space="preserve">a further </w:t>
      </w:r>
      <w:r w:rsidR="008F64E3">
        <w:rPr>
          <w:rFonts w:eastAsia="Calibri"/>
        </w:rPr>
        <w:t xml:space="preserve">$20m across other energy projects. </w:t>
      </w:r>
    </w:p>
    <w:p w14:paraId="7219E7A2" w14:textId="600A768C" w:rsidR="001F3EA3" w:rsidRPr="00193254" w:rsidRDefault="002D35AD" w:rsidP="003E7E00">
      <w:pPr>
        <w:pStyle w:val="ListParagraph"/>
        <w:numPr>
          <w:ilvl w:val="0"/>
          <w:numId w:val="11"/>
        </w:numPr>
        <w:spacing w:before="0" w:after="160" w:line="257" w:lineRule="auto"/>
        <w:rPr>
          <w:rFonts w:eastAsia="Calibri"/>
        </w:rPr>
      </w:pPr>
      <w:r>
        <w:rPr>
          <w:rFonts w:eastAsia="Calibri"/>
        </w:rPr>
        <w:t>The</w:t>
      </w:r>
      <w:r w:rsidR="00D02203">
        <w:rPr>
          <w:rFonts w:eastAsia="Calibri"/>
        </w:rPr>
        <w:t xml:space="preserve"> </w:t>
      </w:r>
      <w:r>
        <w:rPr>
          <w:rFonts w:eastAsia="Calibri"/>
        </w:rPr>
        <w:t xml:space="preserve">development of </w:t>
      </w:r>
      <w:r w:rsidR="00D02203">
        <w:rPr>
          <w:rFonts w:eastAsia="Calibri"/>
        </w:rPr>
        <w:t xml:space="preserve">the </w:t>
      </w:r>
      <w:r w:rsidR="00D02203">
        <w:rPr>
          <w:bCs/>
        </w:rPr>
        <w:t>Energy Transition Programme (ETP) to transition</w:t>
      </w:r>
      <w:r w:rsidR="00972219">
        <w:rPr>
          <w:bCs/>
        </w:rPr>
        <w:t xml:space="preserve"> to lower emissions energy sources; such as replacing old gas boilers with high efficiency electric heat pumps, improve energy efficiency, reduce our exposure to high emissions refrigerants and replace inefficient lighting with LEDs. </w:t>
      </w:r>
    </w:p>
    <w:p w14:paraId="52F5E6FF" w14:textId="77777777" w:rsidR="00746AA8" w:rsidRDefault="00746AA8" w:rsidP="00746AA8">
      <w:pPr>
        <w:pStyle w:val="ListParagraph"/>
        <w:spacing w:before="0" w:after="160" w:line="257" w:lineRule="auto"/>
        <w:rPr>
          <w:bCs/>
        </w:rPr>
      </w:pPr>
    </w:p>
    <w:p w14:paraId="7B7CF67E" w14:textId="656F2342" w:rsidR="005B736D" w:rsidRPr="00E90888" w:rsidRDefault="00B609C6" w:rsidP="00170985">
      <w:pPr>
        <w:pStyle w:val="Box"/>
        <w:shd w:val="clear" w:color="auto" w:fill="28A1AC" w:themeFill="accent2"/>
        <w:rPr>
          <w:b/>
          <w:bCs/>
          <w:color w:val="FFFFFF" w:themeColor="background1"/>
        </w:rPr>
      </w:pPr>
      <w:r w:rsidRPr="00E90888">
        <w:rPr>
          <w:b/>
          <w:bCs/>
          <w:color w:val="FFFFFF" w:themeColor="background1"/>
        </w:rPr>
        <w:t>Case study</w:t>
      </w:r>
      <w:r w:rsidR="007E5549">
        <w:rPr>
          <w:b/>
          <w:bCs/>
          <w:color w:val="FFFFFF" w:themeColor="background1"/>
        </w:rPr>
        <w:t xml:space="preserve"> -</w:t>
      </w:r>
      <w:r w:rsidRPr="00E90888">
        <w:rPr>
          <w:b/>
          <w:bCs/>
          <w:color w:val="FFFFFF" w:themeColor="background1"/>
        </w:rPr>
        <w:t xml:space="preserve"> Decarbonising </w:t>
      </w:r>
      <w:r w:rsidR="005B736D" w:rsidRPr="00E90888">
        <w:rPr>
          <w:b/>
          <w:bCs/>
          <w:color w:val="FFFFFF" w:themeColor="background1"/>
        </w:rPr>
        <w:t xml:space="preserve">heat in </w:t>
      </w:r>
      <w:r w:rsidR="00056CB5" w:rsidRPr="00E90888">
        <w:rPr>
          <w:b/>
          <w:bCs/>
          <w:color w:val="FFFFFF" w:themeColor="background1"/>
        </w:rPr>
        <w:t xml:space="preserve">Te Waipounamu </w:t>
      </w:r>
    </w:p>
    <w:p w14:paraId="65FC9983" w14:textId="08AFB34F" w:rsidR="00B609C6" w:rsidRPr="00E90888" w:rsidRDefault="00E756AE" w:rsidP="00170985">
      <w:pPr>
        <w:pStyle w:val="Box"/>
        <w:shd w:val="clear" w:color="auto" w:fill="28A1AC" w:themeFill="accent2"/>
        <w:rPr>
          <w:color w:val="FFFFFF" w:themeColor="background1"/>
        </w:rPr>
      </w:pPr>
      <w:r w:rsidRPr="00E90888">
        <w:rPr>
          <w:color w:val="FFFFFF" w:themeColor="background1"/>
        </w:rPr>
        <w:t>Health NZ is decarbonising its energy m</w:t>
      </w:r>
      <w:r w:rsidR="005409E1" w:rsidRPr="00E90888">
        <w:rPr>
          <w:color w:val="FFFFFF" w:themeColor="background1"/>
        </w:rPr>
        <w:t xml:space="preserve">ix, with </w:t>
      </w:r>
      <w:r w:rsidR="00DD0BC9" w:rsidRPr="00E90888">
        <w:rPr>
          <w:color w:val="FFFFFF" w:themeColor="background1"/>
        </w:rPr>
        <w:t>t</w:t>
      </w:r>
      <w:r w:rsidR="005409E1" w:rsidRPr="00E90888">
        <w:rPr>
          <w:color w:val="FFFFFF" w:themeColor="background1"/>
        </w:rPr>
        <w:t xml:space="preserve">he aim to be </w:t>
      </w:r>
      <w:r w:rsidR="00543EE2" w:rsidRPr="00E90888">
        <w:rPr>
          <w:color w:val="FFFFFF" w:themeColor="background1"/>
        </w:rPr>
        <w:t xml:space="preserve">coal-free by </w:t>
      </w:r>
      <w:r w:rsidR="009D2B27">
        <w:rPr>
          <w:color w:val="FFFFFF" w:themeColor="background1"/>
        </w:rPr>
        <w:t>end of</w:t>
      </w:r>
      <w:r w:rsidR="00543EE2" w:rsidRPr="00E90888">
        <w:rPr>
          <w:color w:val="FFFFFF" w:themeColor="background1"/>
        </w:rPr>
        <w:t xml:space="preserve"> 2025. </w:t>
      </w:r>
      <w:r w:rsidR="009D44A0" w:rsidRPr="00E90888">
        <w:rPr>
          <w:color w:val="FFFFFF" w:themeColor="background1"/>
        </w:rPr>
        <w:t>Dunedin Hospital</w:t>
      </w:r>
      <w:r w:rsidR="00FF0D6F" w:rsidRPr="00E90888">
        <w:rPr>
          <w:color w:val="FFFFFF" w:themeColor="background1"/>
        </w:rPr>
        <w:t>’s steam is now supplied by biomass, rather than coal-fired</w:t>
      </w:r>
      <w:r w:rsidR="00DD0BC9" w:rsidRPr="00E90888">
        <w:rPr>
          <w:color w:val="FFFFFF" w:themeColor="background1"/>
        </w:rPr>
        <w:t xml:space="preserve"> boilers</w:t>
      </w:r>
      <w:r w:rsidR="00FF0D6F" w:rsidRPr="00E90888">
        <w:rPr>
          <w:color w:val="FFFFFF" w:themeColor="background1"/>
        </w:rPr>
        <w:t>. T</w:t>
      </w:r>
      <w:r w:rsidR="00783CDF" w:rsidRPr="00E90888">
        <w:rPr>
          <w:color w:val="FFFFFF" w:themeColor="background1"/>
        </w:rPr>
        <w:t xml:space="preserve">he </w:t>
      </w:r>
      <w:r w:rsidR="00B609C6" w:rsidRPr="00E90888">
        <w:rPr>
          <w:color w:val="FFFFFF" w:themeColor="background1"/>
        </w:rPr>
        <w:t xml:space="preserve">switch was completed in January 2023, resulting in annual carbon savings of </w:t>
      </w:r>
      <w:r w:rsidR="003066F6" w:rsidRPr="00E90888">
        <w:rPr>
          <w:color w:val="FFFFFF" w:themeColor="background1"/>
        </w:rPr>
        <w:t>~</w:t>
      </w:r>
      <w:r w:rsidR="00B609C6" w:rsidRPr="00E90888">
        <w:rPr>
          <w:color w:val="FFFFFF" w:themeColor="background1"/>
        </w:rPr>
        <w:t>13,700tCO</w:t>
      </w:r>
      <w:r w:rsidR="00B609C6" w:rsidRPr="00E90888">
        <w:rPr>
          <w:color w:val="FFFFFF" w:themeColor="background1"/>
          <w:vertAlign w:val="subscript"/>
        </w:rPr>
        <w:t>2</w:t>
      </w:r>
      <w:r w:rsidR="00B609C6" w:rsidRPr="00E90888">
        <w:rPr>
          <w:color w:val="FFFFFF" w:themeColor="background1"/>
        </w:rPr>
        <w:t xml:space="preserve">e. </w:t>
      </w:r>
      <w:r w:rsidR="00F82022" w:rsidRPr="00E90888">
        <w:rPr>
          <w:color w:val="FFFFFF" w:themeColor="background1"/>
        </w:rPr>
        <w:t>Coal boiler</w:t>
      </w:r>
      <w:r w:rsidR="00922882">
        <w:rPr>
          <w:color w:val="FFFFFF" w:themeColor="background1"/>
        </w:rPr>
        <w:t xml:space="preserve"> </w:t>
      </w:r>
      <w:r w:rsidR="00C113FD">
        <w:rPr>
          <w:color w:val="FFFFFF" w:themeColor="background1"/>
        </w:rPr>
        <w:t>conversion</w:t>
      </w:r>
      <w:r w:rsidR="00F82022" w:rsidRPr="00E90888">
        <w:rPr>
          <w:color w:val="FFFFFF" w:themeColor="background1"/>
        </w:rPr>
        <w:t xml:space="preserve">s in Waitaha Canterbury </w:t>
      </w:r>
      <w:r w:rsidR="00A741DC" w:rsidRPr="00E90888">
        <w:rPr>
          <w:color w:val="FFFFFF" w:themeColor="background1"/>
        </w:rPr>
        <w:t>resulting in</w:t>
      </w:r>
      <w:r w:rsidR="00F82022" w:rsidRPr="00E90888">
        <w:rPr>
          <w:color w:val="FFFFFF" w:themeColor="background1"/>
        </w:rPr>
        <w:t xml:space="preserve"> </w:t>
      </w:r>
      <w:r w:rsidR="003066F6" w:rsidRPr="00E90888">
        <w:rPr>
          <w:color w:val="FFFFFF" w:themeColor="background1"/>
        </w:rPr>
        <w:t>~</w:t>
      </w:r>
      <w:r w:rsidR="00FB0C59" w:rsidRPr="00E90888">
        <w:rPr>
          <w:color w:val="FFFFFF" w:themeColor="background1"/>
        </w:rPr>
        <w:t xml:space="preserve">12,700 </w:t>
      </w:r>
      <w:r w:rsidR="00C54C50" w:rsidRPr="00E90888">
        <w:rPr>
          <w:color w:val="FFFFFF" w:themeColor="background1"/>
        </w:rPr>
        <w:t>tCO</w:t>
      </w:r>
      <w:r w:rsidR="00C54C50" w:rsidRPr="00E90888">
        <w:rPr>
          <w:color w:val="FFFFFF" w:themeColor="background1"/>
          <w:vertAlign w:val="subscript"/>
        </w:rPr>
        <w:t>2</w:t>
      </w:r>
      <w:r w:rsidR="00C54C50" w:rsidRPr="00E90888">
        <w:rPr>
          <w:color w:val="FFFFFF" w:themeColor="background1"/>
        </w:rPr>
        <w:t>e</w:t>
      </w:r>
      <w:r w:rsidR="009F6F8A" w:rsidRPr="00E90888">
        <w:rPr>
          <w:color w:val="FFFFFF" w:themeColor="background1"/>
        </w:rPr>
        <w:t xml:space="preserve"> reduction in emissions </w:t>
      </w:r>
      <w:r w:rsidR="003D4865" w:rsidRPr="00E90888">
        <w:rPr>
          <w:color w:val="FFFFFF" w:themeColor="background1"/>
        </w:rPr>
        <w:t xml:space="preserve">per annum </w:t>
      </w:r>
      <w:r w:rsidR="00F82022" w:rsidRPr="00E90888">
        <w:rPr>
          <w:color w:val="FFFFFF" w:themeColor="background1"/>
        </w:rPr>
        <w:t xml:space="preserve">and Invercargill </w:t>
      </w:r>
      <w:r w:rsidR="003D4865" w:rsidRPr="003E4115">
        <w:rPr>
          <w:color w:val="FFFFFF" w:themeColor="background1"/>
        </w:rPr>
        <w:t>(</w:t>
      </w:r>
      <w:r w:rsidR="00F32FF9">
        <w:rPr>
          <w:color w:val="FFFFFF" w:themeColor="background1"/>
        </w:rPr>
        <w:t>~</w:t>
      </w:r>
      <w:r w:rsidR="297C6813" w:rsidRPr="04035C58">
        <w:rPr>
          <w:color w:val="FFFFFF" w:themeColor="background1"/>
        </w:rPr>
        <w:t>4,</w:t>
      </w:r>
      <w:r w:rsidR="00F32FF9">
        <w:rPr>
          <w:color w:val="FFFFFF" w:themeColor="background1"/>
        </w:rPr>
        <w:t>900</w:t>
      </w:r>
      <w:r w:rsidR="003D4865" w:rsidRPr="003E4115">
        <w:rPr>
          <w:color w:val="FFFFFF" w:themeColor="background1"/>
        </w:rPr>
        <w:t xml:space="preserve"> tCO</w:t>
      </w:r>
      <w:r w:rsidR="003D4865" w:rsidRPr="003E4115">
        <w:rPr>
          <w:color w:val="FFFFFF" w:themeColor="background1"/>
          <w:vertAlign w:val="subscript"/>
        </w:rPr>
        <w:t>2</w:t>
      </w:r>
      <w:r w:rsidR="003D4865" w:rsidRPr="003E4115">
        <w:rPr>
          <w:color w:val="FFFFFF" w:themeColor="background1"/>
        </w:rPr>
        <w:t xml:space="preserve">e) </w:t>
      </w:r>
      <w:r w:rsidR="00F82022" w:rsidRPr="00E90888">
        <w:rPr>
          <w:color w:val="FFFFFF" w:themeColor="background1"/>
        </w:rPr>
        <w:t xml:space="preserve">have also </w:t>
      </w:r>
      <w:r w:rsidR="008A54CD" w:rsidRPr="00E90888">
        <w:rPr>
          <w:color w:val="FFFFFF" w:themeColor="background1"/>
        </w:rPr>
        <w:t xml:space="preserve">transitioned away from coal. </w:t>
      </w:r>
      <w:r w:rsidR="003D4865" w:rsidRPr="00E90888">
        <w:rPr>
          <w:color w:val="FFFFFF" w:themeColor="background1"/>
        </w:rPr>
        <w:t>T</w:t>
      </w:r>
      <w:r w:rsidR="008A54CD" w:rsidRPr="00E90888">
        <w:rPr>
          <w:color w:val="FFFFFF" w:themeColor="background1"/>
        </w:rPr>
        <w:t xml:space="preserve">hese projects have been enabled through the partnership and funding from EECA. </w:t>
      </w:r>
    </w:p>
    <w:p w14:paraId="27209AC9" w14:textId="77777777" w:rsidR="006F20FB" w:rsidRDefault="006F20FB" w:rsidP="006634A3"/>
    <w:p w14:paraId="7C108AC1" w14:textId="77777777" w:rsidR="006F20FB" w:rsidRDefault="006F20FB" w:rsidP="006F20FB"/>
    <w:p w14:paraId="0EB7F9D3" w14:textId="77777777" w:rsidR="006F20FB" w:rsidRDefault="006F20FB" w:rsidP="006634A3"/>
    <w:p w14:paraId="3CD459A4" w14:textId="701F4E6C" w:rsidR="00712621" w:rsidRDefault="00712621" w:rsidP="00712621">
      <w:pPr>
        <w:pStyle w:val="Section2Heading2"/>
        <w:rPr>
          <w:rFonts w:eastAsia="Calibri"/>
        </w:rPr>
      </w:pPr>
      <w:bookmarkStart w:id="50" w:name="_Toc204940781"/>
      <w:r>
        <w:rPr>
          <w:rFonts w:eastAsia="Calibri"/>
        </w:rPr>
        <w:lastRenderedPageBreak/>
        <w:t xml:space="preserve">Energy, </w:t>
      </w:r>
      <w:r w:rsidR="00EC4F9D">
        <w:rPr>
          <w:rFonts w:eastAsia="Calibri"/>
        </w:rPr>
        <w:t>water,</w:t>
      </w:r>
      <w:r>
        <w:rPr>
          <w:rFonts w:eastAsia="Calibri"/>
        </w:rPr>
        <w:t xml:space="preserve"> and waste actions</w:t>
      </w:r>
      <w:bookmarkEnd w:id="50"/>
      <w:r>
        <w:rPr>
          <w:rFonts w:eastAsia="Calibri"/>
        </w:rPr>
        <w:t xml:space="preserve"> </w:t>
      </w:r>
    </w:p>
    <w:p w14:paraId="6740A845" w14:textId="26DE2258" w:rsidR="00EE414F" w:rsidRPr="003F191F" w:rsidRDefault="00AB585B" w:rsidP="008F6876">
      <w:pPr>
        <w:pStyle w:val="Figure"/>
        <w:rPr>
          <w:rFonts w:eastAsia="Calibri"/>
        </w:rPr>
      </w:pPr>
      <w:bookmarkStart w:id="51" w:name="_Toc198286791"/>
      <w:r>
        <w:t xml:space="preserve">Table </w:t>
      </w:r>
      <w:r>
        <w:fldChar w:fldCharType="begin"/>
      </w:r>
      <w:r>
        <w:instrText xml:space="preserve"> SEQ Table \* ARABIC </w:instrText>
      </w:r>
      <w:r>
        <w:fldChar w:fldCharType="separate"/>
      </w:r>
      <w:r w:rsidR="008B20C4">
        <w:rPr>
          <w:noProof/>
        </w:rPr>
        <w:t>9</w:t>
      </w:r>
      <w:r>
        <w:fldChar w:fldCharType="end"/>
      </w:r>
      <w:r>
        <w:t xml:space="preserve"> Energy, water</w:t>
      </w:r>
      <w:r w:rsidR="00D50981">
        <w:t>,</w:t>
      </w:r>
      <w:r>
        <w:t xml:space="preserve"> and waste actions</w:t>
      </w:r>
      <w:bookmarkEnd w:id="51"/>
    </w:p>
    <w:tbl>
      <w:tblPr>
        <w:tblStyle w:val="TeWhatuOra"/>
        <w:tblW w:w="5000" w:type="pct"/>
        <w:tblLayout w:type="fixed"/>
        <w:tblLook w:val="04A0" w:firstRow="1" w:lastRow="0" w:firstColumn="1" w:lastColumn="0" w:noHBand="0" w:noVBand="1"/>
      </w:tblPr>
      <w:tblGrid>
        <w:gridCol w:w="851"/>
        <w:gridCol w:w="2268"/>
        <w:gridCol w:w="3118"/>
        <w:gridCol w:w="1985"/>
        <w:gridCol w:w="1416"/>
      </w:tblGrid>
      <w:tr w:rsidR="00C63DD8" w:rsidRPr="00653A18" w14:paraId="5882E4AA" w14:textId="77777777" w:rsidTr="00375B31">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851" w:type="dxa"/>
          </w:tcPr>
          <w:p w14:paraId="6C4A62EF" w14:textId="77777777" w:rsidR="003F191F" w:rsidRPr="00653A18" w:rsidRDefault="003F191F">
            <w:pPr>
              <w:spacing w:before="0" w:after="160" w:line="259" w:lineRule="auto"/>
            </w:pPr>
            <w:r>
              <w:t>Ref</w:t>
            </w:r>
          </w:p>
        </w:tc>
        <w:tc>
          <w:tcPr>
            <w:tcW w:w="2268" w:type="dxa"/>
          </w:tcPr>
          <w:p w14:paraId="7CC25E6F" w14:textId="77777777" w:rsidR="003F191F" w:rsidRPr="00653A18" w:rsidRDefault="003F191F">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3118" w:type="dxa"/>
          </w:tcPr>
          <w:p w14:paraId="47ADD304" w14:textId="77777777" w:rsidR="003F191F" w:rsidRPr="00653A18" w:rsidRDefault="003F191F">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985" w:type="dxa"/>
          </w:tcPr>
          <w:p w14:paraId="728522AE" w14:textId="77777777" w:rsidR="003F191F" w:rsidRDefault="003F191F">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1416" w:type="dxa"/>
          </w:tcPr>
          <w:p w14:paraId="7890726E" w14:textId="77777777" w:rsidR="003F191F" w:rsidRDefault="003F191F">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5B6DC2" w:rsidRPr="00653A18" w14:paraId="6236E22A" w14:textId="77777777" w:rsidTr="00375B31">
        <w:trPr>
          <w:cantSplit/>
          <w:trHeight w:val="116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08B2D98" w14:textId="0AEC1AFF" w:rsidR="0018496A" w:rsidRPr="00BB7534" w:rsidRDefault="0018496A" w:rsidP="00BD66DC">
            <w:pPr>
              <w:spacing w:before="0" w:after="160" w:line="259" w:lineRule="auto"/>
              <w:rPr>
                <w:b w:val="0"/>
                <w:bCs/>
              </w:rPr>
            </w:pPr>
            <w:r w:rsidRPr="003E4115">
              <w:rPr>
                <w:b w:val="0"/>
                <w:bCs/>
              </w:rPr>
              <w:t>E1</w:t>
            </w:r>
          </w:p>
        </w:tc>
        <w:tc>
          <w:tcPr>
            <w:tcW w:w="2268" w:type="dxa"/>
            <w:vAlign w:val="center"/>
          </w:tcPr>
          <w:p w14:paraId="6660DFE8" w14:textId="159BDCAA" w:rsidR="0018496A" w:rsidRPr="003961EB" w:rsidRDefault="0018496A"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rFonts w:cs="Arial"/>
                <w:color w:val="000000"/>
              </w:rPr>
              <w:t>Complete implementation of the $59</w:t>
            </w:r>
            <w:r w:rsidR="00D16739">
              <w:rPr>
                <w:rFonts w:cs="Arial"/>
                <w:color w:val="000000"/>
              </w:rPr>
              <w:t>.5</w:t>
            </w:r>
            <w:r>
              <w:rPr>
                <w:rFonts w:cs="Arial"/>
                <w:color w:val="000000"/>
              </w:rPr>
              <w:t>m co-funded Energy Transition Programme</w:t>
            </w:r>
            <w:r w:rsidR="00F01646">
              <w:rPr>
                <w:rFonts w:cs="Arial"/>
                <w:color w:val="000000"/>
              </w:rPr>
              <w:t xml:space="preserve"> stage 1</w:t>
            </w:r>
            <w:r>
              <w:rPr>
                <w:rFonts w:cs="Arial"/>
                <w:color w:val="000000"/>
              </w:rPr>
              <w:t xml:space="preserve"> with EECA</w:t>
            </w:r>
          </w:p>
        </w:tc>
        <w:tc>
          <w:tcPr>
            <w:tcW w:w="3118" w:type="dxa"/>
            <w:vAlign w:val="center"/>
          </w:tcPr>
          <w:p w14:paraId="2D7AB042" w14:textId="26141B26" w:rsidR="0018496A" w:rsidRPr="003961EB" w:rsidRDefault="0018496A" w:rsidP="0018496A">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rFonts w:cs="Arial"/>
                <w:color w:val="000000"/>
              </w:rPr>
              <w:t>Reduce</w:t>
            </w:r>
            <w:r w:rsidR="003066F6">
              <w:rPr>
                <w:rFonts w:cs="Arial"/>
                <w:color w:val="000000"/>
              </w:rPr>
              <w:t xml:space="preserve"> costs </w:t>
            </w:r>
            <w:r w:rsidR="00152383">
              <w:rPr>
                <w:rFonts w:cs="Arial"/>
                <w:color w:val="000000"/>
              </w:rPr>
              <w:t xml:space="preserve">by at least $2.5m </w:t>
            </w:r>
            <w:r w:rsidR="003066F6">
              <w:rPr>
                <w:rFonts w:cs="Arial"/>
                <w:color w:val="000000"/>
              </w:rPr>
              <w:t>and</w:t>
            </w:r>
            <w:r>
              <w:rPr>
                <w:rFonts w:cs="Arial"/>
                <w:color w:val="000000"/>
              </w:rPr>
              <w:t xml:space="preserve"> emissions per annum by </w:t>
            </w:r>
            <w:r w:rsidR="003E7C41">
              <w:rPr>
                <w:rFonts w:cs="Arial"/>
                <w:color w:val="000000"/>
              </w:rPr>
              <w:t>11,000</w:t>
            </w:r>
            <w:r>
              <w:rPr>
                <w:rFonts w:cs="Arial"/>
                <w:color w:val="000000"/>
              </w:rPr>
              <w:t>tCO</w:t>
            </w:r>
            <w:r w:rsidRPr="00170985">
              <w:rPr>
                <w:rFonts w:cs="Arial"/>
                <w:color w:val="000000"/>
                <w:vertAlign w:val="subscript"/>
              </w:rPr>
              <w:t>2</w:t>
            </w:r>
            <w:r>
              <w:rPr>
                <w:rFonts w:cs="Arial"/>
                <w:color w:val="000000"/>
              </w:rPr>
              <w:t xml:space="preserve">e </w:t>
            </w:r>
            <w:r w:rsidR="002B69ED">
              <w:rPr>
                <w:rFonts w:cs="Arial"/>
                <w:color w:val="000000"/>
              </w:rPr>
              <w:t xml:space="preserve">through </w:t>
            </w:r>
            <w:r>
              <w:rPr>
                <w:rFonts w:cs="Arial"/>
                <w:color w:val="000000"/>
              </w:rPr>
              <w:t>energy transition</w:t>
            </w:r>
            <w:r w:rsidR="002B69ED">
              <w:rPr>
                <w:rFonts w:cs="Arial"/>
                <w:color w:val="000000"/>
              </w:rPr>
              <w:t xml:space="preserve"> and efficiency</w:t>
            </w:r>
            <w:r>
              <w:rPr>
                <w:rFonts w:cs="Arial"/>
                <w:color w:val="000000"/>
              </w:rPr>
              <w:t xml:space="preserve"> and up to a further </w:t>
            </w:r>
            <w:r w:rsidR="003C5B74">
              <w:rPr>
                <w:rFonts w:cs="Arial"/>
                <w:color w:val="000000"/>
              </w:rPr>
              <w:t>5,000</w:t>
            </w:r>
            <w:r>
              <w:rPr>
                <w:rFonts w:cs="Arial"/>
                <w:color w:val="000000"/>
              </w:rPr>
              <w:t>tCO</w:t>
            </w:r>
            <w:r w:rsidRPr="00170985">
              <w:rPr>
                <w:rFonts w:cs="Arial"/>
                <w:color w:val="000000"/>
                <w:vertAlign w:val="subscript"/>
              </w:rPr>
              <w:t>2</w:t>
            </w:r>
            <w:r>
              <w:rPr>
                <w:rFonts w:cs="Arial"/>
                <w:color w:val="000000"/>
              </w:rPr>
              <w:t>e through the removal and replacement of high GWP refrigerants, which will have annual reductions by reducing the emissions liabilities from refrigerant leakage.</w:t>
            </w:r>
          </w:p>
        </w:tc>
        <w:tc>
          <w:tcPr>
            <w:tcW w:w="1985" w:type="dxa"/>
            <w:vAlign w:val="center"/>
          </w:tcPr>
          <w:p w14:paraId="56C899CF" w14:textId="2A09BA91" w:rsidR="0018496A" w:rsidRPr="00653A18" w:rsidRDefault="0018496A" w:rsidP="0018496A">
            <w:pPr>
              <w:spacing w:before="0" w:after="160" w:line="259" w:lineRule="auto"/>
              <w:cnfStyle w:val="000000000000" w:firstRow="0" w:lastRow="0" w:firstColumn="0" w:lastColumn="0" w:oddVBand="0" w:evenVBand="0" w:oddHBand="0" w:evenHBand="0" w:firstRowFirstColumn="0" w:firstRowLastColumn="0" w:lastRowFirstColumn="0" w:lastRowLastColumn="0"/>
            </w:pPr>
            <w:r>
              <w:rPr>
                <w:rFonts w:cs="Arial"/>
                <w:color w:val="000000"/>
              </w:rPr>
              <w:t>Infrastructure Investment Group and Sustainability Function.</w:t>
            </w:r>
          </w:p>
        </w:tc>
        <w:tc>
          <w:tcPr>
            <w:tcW w:w="1416" w:type="dxa"/>
            <w:vAlign w:val="center"/>
          </w:tcPr>
          <w:p w14:paraId="68C17F20" w14:textId="0D9AB345" w:rsidR="0018496A" w:rsidRPr="00653A18" w:rsidRDefault="0018496A" w:rsidP="0018496A">
            <w:pPr>
              <w:spacing w:before="0" w:after="160" w:line="259" w:lineRule="auto"/>
              <w:cnfStyle w:val="000000000000" w:firstRow="0" w:lastRow="0" w:firstColumn="0" w:lastColumn="0" w:oddVBand="0" w:evenVBand="0" w:oddHBand="0" w:evenHBand="0" w:firstRowFirstColumn="0" w:firstRowLastColumn="0" w:lastRowFirstColumn="0" w:lastRowLastColumn="0"/>
            </w:pPr>
            <w:r>
              <w:rPr>
                <w:rFonts w:cs="Arial"/>
                <w:color w:val="000000"/>
              </w:rPr>
              <w:t>Dec</w:t>
            </w:r>
            <w:r w:rsidR="00523418">
              <w:rPr>
                <w:rFonts w:cs="Arial"/>
                <w:color w:val="000000"/>
              </w:rPr>
              <w:t>ember 20</w:t>
            </w:r>
            <w:r>
              <w:rPr>
                <w:rFonts w:cs="Arial"/>
                <w:color w:val="000000"/>
              </w:rPr>
              <w:t>25</w:t>
            </w:r>
          </w:p>
        </w:tc>
      </w:tr>
      <w:tr w:rsidR="005B6DC2" w:rsidRPr="00653A18" w14:paraId="28ADC0D9" w14:textId="77777777" w:rsidTr="00375B31">
        <w:trPr>
          <w:cantSplit/>
          <w:trHeight w:val="1169"/>
        </w:trPr>
        <w:tc>
          <w:tcPr>
            <w:cnfStyle w:val="001000000000" w:firstRow="0" w:lastRow="0" w:firstColumn="1" w:lastColumn="0" w:oddVBand="0" w:evenVBand="0" w:oddHBand="0" w:evenHBand="0" w:firstRowFirstColumn="0" w:firstRowLastColumn="0" w:lastRowFirstColumn="0" w:lastRowLastColumn="0"/>
            <w:tcW w:w="851" w:type="dxa"/>
            <w:vAlign w:val="center"/>
          </w:tcPr>
          <w:p w14:paraId="6E8F428B" w14:textId="02DC045C" w:rsidR="0018496A" w:rsidRPr="00D915E8" w:rsidRDefault="0018496A" w:rsidP="00BD66DC">
            <w:pPr>
              <w:spacing w:before="0" w:after="160" w:line="259" w:lineRule="auto"/>
              <w:rPr>
                <w:b w:val="0"/>
                <w:bCs/>
              </w:rPr>
            </w:pPr>
            <w:r w:rsidRPr="00746AA8">
              <w:rPr>
                <w:b w:val="0"/>
                <w:bCs/>
              </w:rPr>
              <w:t>E2</w:t>
            </w:r>
          </w:p>
        </w:tc>
        <w:tc>
          <w:tcPr>
            <w:tcW w:w="2268" w:type="dxa"/>
            <w:vAlign w:val="center"/>
          </w:tcPr>
          <w:p w14:paraId="08F8ADCF" w14:textId="453584D7" w:rsidR="0018496A" w:rsidRDefault="00931332" w:rsidP="00BD66DC">
            <w:pPr>
              <w:spacing w:before="0" w:after="160" w:line="259" w:lineRule="auto"/>
              <w:cnfStyle w:val="000000000000" w:firstRow="0" w:lastRow="0" w:firstColumn="0" w:lastColumn="0" w:oddVBand="0" w:evenVBand="0" w:oddHBand="0" w:evenHBand="0" w:firstRowFirstColumn="0" w:firstRowLastColumn="0" w:lastRowFirstColumn="0" w:lastRowLastColumn="0"/>
            </w:pPr>
            <w:r>
              <w:rPr>
                <w:rFonts w:cs="Arial"/>
                <w:color w:val="000000"/>
              </w:rPr>
              <w:t>S</w:t>
            </w:r>
            <w:r w:rsidR="0018496A">
              <w:rPr>
                <w:rFonts w:cs="Arial"/>
                <w:color w:val="000000"/>
              </w:rPr>
              <w:t>ecure funding for a further $</w:t>
            </w:r>
            <w:r w:rsidR="007B6815" w:rsidRPr="00D81A0F">
              <w:rPr>
                <w:rFonts w:cs="Arial"/>
                <w:color w:val="000000"/>
              </w:rPr>
              <w:t>3</w:t>
            </w:r>
            <w:r w:rsidR="00EC5564" w:rsidRPr="00D81A0F">
              <w:rPr>
                <w:rFonts w:cs="Arial"/>
                <w:color w:val="000000"/>
              </w:rPr>
              <w:t>8.4</w:t>
            </w:r>
            <w:r w:rsidR="0018496A" w:rsidRPr="00D81A0F">
              <w:rPr>
                <w:rFonts w:cs="Arial"/>
                <w:color w:val="000000"/>
              </w:rPr>
              <w:t>m</w:t>
            </w:r>
            <w:r w:rsidR="0018496A">
              <w:rPr>
                <w:rFonts w:cs="Arial"/>
                <w:color w:val="000000"/>
              </w:rPr>
              <w:t xml:space="preserve"> co-funded Energy Transition Programme stage</w:t>
            </w:r>
            <w:r w:rsidR="00F01646">
              <w:rPr>
                <w:rFonts w:cs="Arial"/>
                <w:color w:val="000000"/>
              </w:rPr>
              <w:t xml:space="preserve"> 2 </w:t>
            </w:r>
            <w:r w:rsidR="0018496A">
              <w:rPr>
                <w:rFonts w:cs="Arial"/>
                <w:color w:val="000000"/>
              </w:rPr>
              <w:t>with EECA for FY25/26</w:t>
            </w:r>
          </w:p>
        </w:tc>
        <w:tc>
          <w:tcPr>
            <w:tcW w:w="3118" w:type="dxa"/>
            <w:vAlign w:val="center"/>
          </w:tcPr>
          <w:p w14:paraId="47309379" w14:textId="6DC2CBA1" w:rsidR="0018496A" w:rsidRDefault="0018496A" w:rsidP="0018496A">
            <w:pPr>
              <w:spacing w:before="0" w:after="160" w:line="259" w:lineRule="auto"/>
              <w:cnfStyle w:val="000000000000" w:firstRow="0" w:lastRow="0" w:firstColumn="0" w:lastColumn="0" w:oddVBand="0" w:evenVBand="0" w:oddHBand="0" w:evenHBand="0" w:firstRowFirstColumn="0" w:firstRowLastColumn="0" w:lastRowFirstColumn="0" w:lastRowLastColumn="0"/>
            </w:pPr>
            <w:r>
              <w:rPr>
                <w:rFonts w:cs="Arial"/>
                <w:color w:val="000000"/>
              </w:rPr>
              <w:t>With a potential target to reduce emissions per annum by</w:t>
            </w:r>
            <w:r>
              <w:rPr>
                <w:rFonts w:cs="Arial"/>
                <w:i/>
                <w:iCs/>
                <w:color w:val="000000"/>
              </w:rPr>
              <w:t xml:space="preserve"> </w:t>
            </w:r>
            <w:r w:rsidR="003C5B74" w:rsidRPr="00170985">
              <w:rPr>
                <w:rFonts w:cs="Arial"/>
                <w:color w:val="000000"/>
              </w:rPr>
              <w:t>7,000tCO</w:t>
            </w:r>
            <w:r w:rsidR="003C5B74" w:rsidRPr="00170985">
              <w:rPr>
                <w:rFonts w:cs="Arial"/>
                <w:color w:val="000000"/>
                <w:vertAlign w:val="subscript"/>
              </w:rPr>
              <w:t>2</w:t>
            </w:r>
            <w:r w:rsidR="003C5B74" w:rsidRPr="00170985">
              <w:rPr>
                <w:rFonts w:cs="Arial"/>
                <w:color w:val="000000"/>
              </w:rPr>
              <w:t>e</w:t>
            </w:r>
            <w:r>
              <w:rPr>
                <w:rFonts w:cs="Arial"/>
                <w:color w:val="000000"/>
              </w:rPr>
              <w:t xml:space="preserve"> through a mix of energy transition, reduction and the removal and replacement of high GWP refrigerants</w:t>
            </w:r>
            <w:r w:rsidR="003066F6">
              <w:rPr>
                <w:rFonts w:cs="Arial"/>
                <w:color w:val="000000"/>
              </w:rPr>
              <w:t xml:space="preserve"> and </w:t>
            </w:r>
            <w:r w:rsidR="00770803">
              <w:rPr>
                <w:rFonts w:cs="Arial"/>
                <w:color w:val="000000"/>
              </w:rPr>
              <w:t xml:space="preserve">to </w:t>
            </w:r>
            <w:r w:rsidR="003066F6">
              <w:rPr>
                <w:rFonts w:cs="Arial"/>
                <w:color w:val="000000"/>
              </w:rPr>
              <w:t>reduce energy costs</w:t>
            </w:r>
            <w:r>
              <w:rPr>
                <w:rFonts w:cs="Arial"/>
                <w:color w:val="000000"/>
              </w:rPr>
              <w:t xml:space="preserve">. </w:t>
            </w:r>
          </w:p>
        </w:tc>
        <w:tc>
          <w:tcPr>
            <w:tcW w:w="1985" w:type="dxa"/>
            <w:vAlign w:val="center"/>
          </w:tcPr>
          <w:p w14:paraId="2D96686B" w14:textId="6005C67E" w:rsidR="0018496A" w:rsidRDefault="0018496A" w:rsidP="0018496A">
            <w:pPr>
              <w:spacing w:before="0" w:after="160" w:line="259" w:lineRule="auto"/>
              <w:cnfStyle w:val="000000000000" w:firstRow="0" w:lastRow="0" w:firstColumn="0" w:lastColumn="0" w:oddVBand="0" w:evenVBand="0" w:oddHBand="0" w:evenHBand="0" w:firstRowFirstColumn="0" w:firstRowLastColumn="0" w:lastRowFirstColumn="0" w:lastRowLastColumn="0"/>
            </w:pPr>
            <w:r>
              <w:rPr>
                <w:rFonts w:cs="Arial"/>
                <w:color w:val="000000"/>
              </w:rPr>
              <w:t>Infrastructure Investment Group and Sustainability Function.</w:t>
            </w:r>
          </w:p>
        </w:tc>
        <w:tc>
          <w:tcPr>
            <w:tcW w:w="1416" w:type="dxa"/>
            <w:vAlign w:val="center"/>
          </w:tcPr>
          <w:p w14:paraId="7E309414" w14:textId="3A7FFA6C" w:rsidR="0018496A" w:rsidRDefault="00D80F7C" w:rsidP="0018496A">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D81A0F">
              <w:rPr>
                <w:rFonts w:cs="Arial"/>
              </w:rPr>
              <w:t>Complete</w:t>
            </w:r>
          </w:p>
        </w:tc>
      </w:tr>
      <w:tr w:rsidR="005B6DC2" w:rsidRPr="00653A18" w14:paraId="2D1E598F" w14:textId="77777777" w:rsidTr="00375B31">
        <w:trPr>
          <w:cantSplit/>
          <w:trHeight w:val="161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CCC08CB" w14:textId="10489980" w:rsidR="0018496A" w:rsidRPr="00D915E8" w:rsidRDefault="0018496A" w:rsidP="00BD66DC">
            <w:pPr>
              <w:spacing w:before="0" w:after="160" w:line="259" w:lineRule="auto"/>
              <w:rPr>
                <w:b w:val="0"/>
                <w:bCs/>
              </w:rPr>
            </w:pPr>
            <w:r w:rsidRPr="00746AA8">
              <w:rPr>
                <w:b w:val="0"/>
                <w:bCs/>
              </w:rPr>
              <w:t>E3</w:t>
            </w:r>
          </w:p>
        </w:tc>
        <w:tc>
          <w:tcPr>
            <w:tcW w:w="2268" w:type="dxa"/>
            <w:vAlign w:val="center"/>
          </w:tcPr>
          <w:p w14:paraId="2A7A23EC" w14:textId="4C357387" w:rsidR="0018496A" w:rsidRPr="003961EB" w:rsidRDefault="0018496A"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rFonts w:cs="Arial"/>
                <w:color w:val="000000"/>
              </w:rPr>
              <w:t>Complete implementation of the $12m EECA funded Coal Boiler Programme</w:t>
            </w:r>
          </w:p>
        </w:tc>
        <w:tc>
          <w:tcPr>
            <w:tcW w:w="3118" w:type="dxa"/>
            <w:vAlign w:val="center"/>
          </w:tcPr>
          <w:p w14:paraId="2AC0D5D9" w14:textId="660343FB" w:rsidR="0018496A" w:rsidRPr="003961EB" w:rsidRDefault="0018496A" w:rsidP="0018496A">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rFonts w:cs="Arial"/>
                <w:color w:val="000000"/>
              </w:rPr>
              <w:t>Removal or conver</w:t>
            </w:r>
            <w:r w:rsidR="002249EF">
              <w:rPr>
                <w:rFonts w:cs="Arial"/>
                <w:color w:val="000000"/>
              </w:rPr>
              <w:t>sion of</w:t>
            </w:r>
            <w:r>
              <w:rPr>
                <w:rFonts w:cs="Arial"/>
                <w:color w:val="000000"/>
              </w:rPr>
              <w:t xml:space="preserve"> all owned coal boilers </w:t>
            </w:r>
            <w:r w:rsidR="002249EF">
              <w:rPr>
                <w:rFonts w:cs="Arial"/>
                <w:color w:val="000000"/>
              </w:rPr>
              <w:t>in</w:t>
            </w:r>
            <w:r>
              <w:rPr>
                <w:rFonts w:cs="Arial"/>
                <w:color w:val="000000"/>
              </w:rPr>
              <w:t xml:space="preserve"> the Health NZ estate, likely to </w:t>
            </w:r>
            <w:r w:rsidR="00C63DD8">
              <w:rPr>
                <w:rFonts w:cs="Arial"/>
                <w:color w:val="000000"/>
              </w:rPr>
              <w:t xml:space="preserve">reduce </w:t>
            </w:r>
            <w:r>
              <w:rPr>
                <w:rFonts w:cs="Arial"/>
                <w:color w:val="000000"/>
              </w:rPr>
              <w:t xml:space="preserve">up to </w:t>
            </w:r>
            <w:r w:rsidR="00F62FFE">
              <w:rPr>
                <w:rFonts w:cs="Arial"/>
                <w:color w:val="000000"/>
              </w:rPr>
              <w:t>7</w:t>
            </w:r>
            <w:r>
              <w:rPr>
                <w:rFonts w:cs="Arial"/>
                <w:color w:val="000000"/>
              </w:rPr>
              <w:t>,000tCO</w:t>
            </w:r>
            <w:r w:rsidRPr="00170985">
              <w:rPr>
                <w:rFonts w:cs="Arial"/>
                <w:color w:val="000000"/>
                <w:vertAlign w:val="subscript"/>
              </w:rPr>
              <w:t>2</w:t>
            </w:r>
            <w:r>
              <w:rPr>
                <w:rFonts w:cs="Arial"/>
                <w:color w:val="000000"/>
              </w:rPr>
              <w:t xml:space="preserve">e and at least $450k annual savings. </w:t>
            </w:r>
          </w:p>
        </w:tc>
        <w:tc>
          <w:tcPr>
            <w:tcW w:w="1985" w:type="dxa"/>
            <w:vAlign w:val="center"/>
          </w:tcPr>
          <w:p w14:paraId="42D8B9C0" w14:textId="2653F2F7" w:rsidR="0018496A" w:rsidRPr="00653A18" w:rsidRDefault="0018496A" w:rsidP="0018496A">
            <w:pPr>
              <w:spacing w:before="0" w:after="160" w:line="259" w:lineRule="auto"/>
              <w:cnfStyle w:val="000000000000" w:firstRow="0" w:lastRow="0" w:firstColumn="0" w:lastColumn="0" w:oddVBand="0" w:evenVBand="0" w:oddHBand="0" w:evenHBand="0" w:firstRowFirstColumn="0" w:firstRowLastColumn="0" w:lastRowFirstColumn="0" w:lastRowLastColumn="0"/>
            </w:pPr>
            <w:r>
              <w:rPr>
                <w:rFonts w:cs="Arial"/>
                <w:color w:val="000000"/>
              </w:rPr>
              <w:t xml:space="preserve">Infrastructure Investment Group </w:t>
            </w:r>
          </w:p>
        </w:tc>
        <w:tc>
          <w:tcPr>
            <w:tcW w:w="1416" w:type="dxa"/>
            <w:vAlign w:val="center"/>
          </w:tcPr>
          <w:p w14:paraId="0F5AE560" w14:textId="23B574AC" w:rsidR="0018496A" w:rsidRPr="00653A18" w:rsidRDefault="00D80F7C" w:rsidP="0018496A">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D81A0F">
              <w:rPr>
                <w:rFonts w:cs="Arial"/>
                <w:color w:val="000000"/>
              </w:rPr>
              <w:t>December</w:t>
            </w:r>
            <w:r w:rsidR="00670FDD">
              <w:rPr>
                <w:rFonts w:cs="Arial"/>
                <w:color w:val="000000"/>
              </w:rPr>
              <w:t xml:space="preserve"> </w:t>
            </w:r>
            <w:r w:rsidR="00523418">
              <w:rPr>
                <w:rFonts w:cs="Arial"/>
                <w:color w:val="000000"/>
              </w:rPr>
              <w:t>20</w:t>
            </w:r>
            <w:r w:rsidR="0018496A">
              <w:rPr>
                <w:rFonts w:cs="Arial"/>
                <w:color w:val="000000"/>
              </w:rPr>
              <w:t>25</w:t>
            </w:r>
          </w:p>
        </w:tc>
      </w:tr>
      <w:tr w:rsidR="005B6DC2" w:rsidRPr="00653A18" w14:paraId="36AEA557" w14:textId="77777777" w:rsidTr="00375B31">
        <w:trPr>
          <w:cantSplit/>
          <w:trHeight w:val="61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B433491" w14:textId="41376962" w:rsidR="00367577" w:rsidRPr="00D915E8" w:rsidRDefault="00367577" w:rsidP="00BD66DC">
            <w:pPr>
              <w:spacing w:before="0" w:after="160" w:line="259" w:lineRule="auto"/>
              <w:rPr>
                <w:b w:val="0"/>
                <w:bCs/>
              </w:rPr>
            </w:pPr>
            <w:r w:rsidRPr="00746AA8">
              <w:rPr>
                <w:b w:val="0"/>
                <w:bCs/>
              </w:rPr>
              <w:t>E4</w:t>
            </w:r>
          </w:p>
        </w:tc>
        <w:tc>
          <w:tcPr>
            <w:tcW w:w="2268" w:type="dxa"/>
            <w:vAlign w:val="center"/>
          </w:tcPr>
          <w:p w14:paraId="1C446F27" w14:textId="2EF90F16" w:rsidR="00367577" w:rsidRDefault="00367577"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Implement other </w:t>
            </w:r>
            <w:r w:rsidR="00F96D66">
              <w:rPr>
                <w:bCs/>
              </w:rPr>
              <w:t xml:space="preserve">planned </w:t>
            </w:r>
            <w:r>
              <w:rPr>
                <w:bCs/>
              </w:rPr>
              <w:t>energy transition and efficiency projects</w:t>
            </w:r>
          </w:p>
        </w:tc>
        <w:tc>
          <w:tcPr>
            <w:tcW w:w="3118" w:type="dxa"/>
            <w:vAlign w:val="center"/>
          </w:tcPr>
          <w:p w14:paraId="0868E1CB" w14:textId="7EECAAC6" w:rsidR="00367577" w:rsidRDefault="00367577" w:rsidP="00367577">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Implement </w:t>
            </w:r>
            <w:r w:rsidR="00EE54EF">
              <w:rPr>
                <w:bCs/>
              </w:rPr>
              <w:t xml:space="preserve">a </w:t>
            </w:r>
            <w:r w:rsidR="00DA6086">
              <w:rPr>
                <w:bCs/>
              </w:rPr>
              <w:t>heat recovery</w:t>
            </w:r>
            <w:r w:rsidR="00EE54EF">
              <w:rPr>
                <w:bCs/>
              </w:rPr>
              <w:t xml:space="preserve"> project at Middlemore Hospital (1,800tCO</w:t>
            </w:r>
            <w:r w:rsidR="00EE54EF" w:rsidRPr="00F56B8E">
              <w:rPr>
                <w:bCs/>
                <w:vertAlign w:val="subscript"/>
              </w:rPr>
              <w:t>2</w:t>
            </w:r>
            <w:r w:rsidR="00EE54EF">
              <w:rPr>
                <w:bCs/>
              </w:rPr>
              <w:t xml:space="preserve">e </w:t>
            </w:r>
            <w:r w:rsidR="008707F5">
              <w:rPr>
                <w:bCs/>
              </w:rPr>
              <w:t xml:space="preserve">and </w:t>
            </w:r>
            <w:r w:rsidR="00730444">
              <w:rPr>
                <w:bCs/>
              </w:rPr>
              <w:t>&gt;</w:t>
            </w:r>
            <w:r w:rsidR="008707F5">
              <w:rPr>
                <w:bCs/>
              </w:rPr>
              <w:t xml:space="preserve">$500k </w:t>
            </w:r>
            <w:r w:rsidR="00EE54EF">
              <w:rPr>
                <w:bCs/>
              </w:rPr>
              <w:t>saving per annum) and a</w:t>
            </w:r>
            <w:r>
              <w:rPr>
                <w:bCs/>
              </w:rPr>
              <w:t xml:space="preserve"> Whang</w:t>
            </w:r>
            <w:r w:rsidR="003908F8">
              <w:rPr>
                <w:rFonts w:cs="Arial"/>
                <w:bCs/>
              </w:rPr>
              <w:t>ā</w:t>
            </w:r>
            <w:r>
              <w:rPr>
                <w:bCs/>
              </w:rPr>
              <w:t>rei Hospital Heat Pump project to displace gas boilers (105tCO</w:t>
            </w:r>
            <w:r w:rsidRPr="00367577">
              <w:rPr>
                <w:bCs/>
                <w:vertAlign w:val="subscript"/>
              </w:rPr>
              <w:t>2</w:t>
            </w:r>
            <w:r>
              <w:rPr>
                <w:bCs/>
              </w:rPr>
              <w:t>e</w:t>
            </w:r>
            <w:r w:rsidR="008707F5">
              <w:rPr>
                <w:bCs/>
              </w:rPr>
              <w:t xml:space="preserve"> and </w:t>
            </w:r>
            <w:r w:rsidR="00730444">
              <w:rPr>
                <w:bCs/>
              </w:rPr>
              <w:t>&gt;$35k</w:t>
            </w:r>
            <w:r>
              <w:rPr>
                <w:bCs/>
              </w:rPr>
              <w:t xml:space="preserve"> per annum</w:t>
            </w:r>
            <w:r w:rsidR="00EE54EF">
              <w:rPr>
                <w:bCs/>
              </w:rPr>
              <w:t xml:space="preserve"> saving</w:t>
            </w:r>
            <w:r>
              <w:rPr>
                <w:bCs/>
              </w:rPr>
              <w:t>)</w:t>
            </w:r>
            <w:r w:rsidR="002C3164">
              <w:rPr>
                <w:bCs/>
              </w:rPr>
              <w:t>.</w:t>
            </w:r>
          </w:p>
        </w:tc>
        <w:tc>
          <w:tcPr>
            <w:tcW w:w="1985" w:type="dxa"/>
            <w:vAlign w:val="center"/>
          </w:tcPr>
          <w:p w14:paraId="3AAAEC2F" w14:textId="2686D938" w:rsidR="00367577" w:rsidRDefault="00367577" w:rsidP="00367577">
            <w:pPr>
              <w:spacing w:before="0" w:after="160" w:line="259" w:lineRule="auto"/>
              <w:cnfStyle w:val="000000000000" w:firstRow="0" w:lastRow="0" w:firstColumn="0" w:lastColumn="0" w:oddVBand="0" w:evenVBand="0" w:oddHBand="0" w:evenHBand="0" w:firstRowFirstColumn="0" w:firstRowLastColumn="0" w:lastRowFirstColumn="0" w:lastRowLastColumn="0"/>
            </w:pPr>
            <w:r>
              <w:t>Infrastructure Investment Group</w:t>
            </w:r>
          </w:p>
        </w:tc>
        <w:tc>
          <w:tcPr>
            <w:tcW w:w="1416" w:type="dxa"/>
            <w:vAlign w:val="center"/>
          </w:tcPr>
          <w:p w14:paraId="4A338CD5" w14:textId="256585B5" w:rsidR="00367577" w:rsidRDefault="0020756A" w:rsidP="00367577">
            <w:pPr>
              <w:spacing w:before="0" w:after="160" w:line="259" w:lineRule="auto"/>
              <w:cnfStyle w:val="000000000000" w:firstRow="0" w:lastRow="0" w:firstColumn="0" w:lastColumn="0" w:oddVBand="0" w:evenVBand="0" w:oddHBand="0" w:evenHBand="0" w:firstRowFirstColumn="0" w:firstRowLastColumn="0" w:lastRowFirstColumn="0" w:lastRowLastColumn="0"/>
            </w:pPr>
            <w:r>
              <w:t>Comp</w:t>
            </w:r>
            <w:r w:rsidR="00A70CD9">
              <w:t>lete</w:t>
            </w:r>
          </w:p>
        </w:tc>
      </w:tr>
      <w:tr w:rsidR="005B6DC2" w:rsidRPr="00653A18" w14:paraId="61E50ECA" w14:textId="77777777" w:rsidTr="00375B31">
        <w:trPr>
          <w:cantSplit/>
          <w:trHeight w:val="161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9867D82" w14:textId="428F092E" w:rsidR="00367577" w:rsidRPr="00D915E8" w:rsidRDefault="00367577" w:rsidP="00BD66DC">
            <w:pPr>
              <w:spacing w:before="0" w:after="160" w:line="259" w:lineRule="auto"/>
              <w:rPr>
                <w:b w:val="0"/>
                <w:bCs/>
              </w:rPr>
            </w:pPr>
            <w:r w:rsidRPr="00746AA8">
              <w:rPr>
                <w:b w:val="0"/>
                <w:bCs/>
              </w:rPr>
              <w:lastRenderedPageBreak/>
              <w:t>E5</w:t>
            </w:r>
          </w:p>
        </w:tc>
        <w:tc>
          <w:tcPr>
            <w:tcW w:w="2268" w:type="dxa"/>
            <w:vAlign w:val="center"/>
          </w:tcPr>
          <w:p w14:paraId="07899C34" w14:textId="7604E9E5" w:rsidR="00367577" w:rsidRDefault="001F51B6"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Annual NABERSNZ energy rating for Health NZ’s largest </w:t>
            </w:r>
            <w:r w:rsidR="006A6A0E">
              <w:rPr>
                <w:bCs/>
              </w:rPr>
              <w:t xml:space="preserve">hospital </w:t>
            </w:r>
            <w:r>
              <w:rPr>
                <w:bCs/>
              </w:rPr>
              <w:t>sites</w:t>
            </w:r>
            <w:r w:rsidR="00B10FF4">
              <w:rPr>
                <w:bCs/>
              </w:rPr>
              <w:t xml:space="preserve"> </w:t>
            </w:r>
          </w:p>
        </w:tc>
        <w:tc>
          <w:tcPr>
            <w:tcW w:w="3118" w:type="dxa"/>
            <w:vAlign w:val="center"/>
          </w:tcPr>
          <w:p w14:paraId="453A1E4E" w14:textId="38A3CC98" w:rsidR="00367577" w:rsidRDefault="0A11E8A8" w:rsidP="00367577">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DE5B81">
              <w:rPr>
                <w:bCs/>
              </w:rPr>
              <w:t>Establish an annual cycle of NABERSNZ energy and water ratings</w:t>
            </w:r>
            <w:r w:rsidR="007C683C">
              <w:rPr>
                <w:bCs/>
              </w:rPr>
              <w:t xml:space="preserve"> for 42 sites</w:t>
            </w:r>
            <w:r w:rsidRPr="00DE5B81">
              <w:rPr>
                <w:bCs/>
              </w:rPr>
              <w:t>. Develop a</w:t>
            </w:r>
            <w:r w:rsidR="007C683C">
              <w:rPr>
                <w:bCs/>
              </w:rPr>
              <w:t xml:space="preserve">n improvement </w:t>
            </w:r>
            <w:r w:rsidRPr="00DE5B81">
              <w:rPr>
                <w:bCs/>
              </w:rPr>
              <w:t>plan and approach to target the least efficient sites</w:t>
            </w:r>
            <w:r w:rsidR="002C3164">
              <w:rPr>
                <w:bCs/>
              </w:rPr>
              <w:t>.</w:t>
            </w:r>
          </w:p>
        </w:tc>
        <w:tc>
          <w:tcPr>
            <w:tcW w:w="1985" w:type="dxa"/>
            <w:vAlign w:val="center"/>
          </w:tcPr>
          <w:p w14:paraId="61A95EA4" w14:textId="31219624" w:rsidR="00367577" w:rsidRDefault="629BC3DC" w:rsidP="00093D47">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Infrastructure Investment Group </w:t>
            </w:r>
            <w:r w:rsidR="00093D47">
              <w:t xml:space="preserve">and </w:t>
            </w:r>
            <w:r w:rsidR="00AC4DE1">
              <w:t>Sustainability Function</w:t>
            </w:r>
          </w:p>
        </w:tc>
        <w:tc>
          <w:tcPr>
            <w:tcW w:w="1416" w:type="dxa"/>
            <w:vAlign w:val="center"/>
          </w:tcPr>
          <w:p w14:paraId="2761F42C" w14:textId="3FA51D41" w:rsidR="00F15E04" w:rsidRDefault="00F15E04" w:rsidP="00367577">
            <w:pPr>
              <w:spacing w:before="0" w:after="160" w:line="259" w:lineRule="auto"/>
              <w:cnfStyle w:val="000000000000" w:firstRow="0" w:lastRow="0" w:firstColumn="0" w:lastColumn="0" w:oddVBand="0" w:evenVBand="0" w:oddHBand="0" w:evenHBand="0" w:firstRowFirstColumn="0" w:firstRowLastColumn="0" w:lastRowFirstColumn="0" w:lastRowLastColumn="0"/>
            </w:pPr>
            <w:r>
              <w:t>Annual ratings</w:t>
            </w:r>
            <w:r w:rsidR="003A6F34">
              <w:t xml:space="preserve"> updated by </w:t>
            </w:r>
            <w:r w:rsidR="003066F6">
              <w:t xml:space="preserve">February </w:t>
            </w:r>
          </w:p>
          <w:p w14:paraId="39A09E48" w14:textId="3DA1F5D6" w:rsidR="007C683C" w:rsidRDefault="007C683C" w:rsidP="00367577">
            <w:pPr>
              <w:spacing w:before="0" w:after="160" w:line="259" w:lineRule="auto"/>
              <w:cnfStyle w:val="000000000000" w:firstRow="0" w:lastRow="0" w:firstColumn="0" w:lastColumn="0" w:oddVBand="0" w:evenVBand="0" w:oddHBand="0" w:evenHBand="0" w:firstRowFirstColumn="0" w:firstRowLastColumn="0" w:lastRowFirstColumn="0" w:lastRowLastColumn="0"/>
            </w:pPr>
            <w:r>
              <w:t>Improvement</w:t>
            </w:r>
            <w:r w:rsidR="00C90B34">
              <w:t xml:space="preserve"> </w:t>
            </w:r>
            <w:r>
              <w:t xml:space="preserve">plan by </w:t>
            </w:r>
            <w:r w:rsidR="003066F6">
              <w:t xml:space="preserve">December </w:t>
            </w:r>
            <w:r>
              <w:t xml:space="preserve">2025 </w:t>
            </w:r>
          </w:p>
        </w:tc>
      </w:tr>
      <w:tr w:rsidR="005B6DC2" w:rsidRPr="00653A18" w14:paraId="7CC0EF16" w14:textId="77777777" w:rsidTr="00375B31">
        <w:trPr>
          <w:cantSplit/>
          <w:trHeight w:val="161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A4791FB" w14:textId="7B3AB1DA" w:rsidR="00441A4B" w:rsidRPr="00D915E8" w:rsidRDefault="000353E3" w:rsidP="00BD66DC">
            <w:pPr>
              <w:spacing w:before="0" w:after="160" w:line="259" w:lineRule="auto"/>
              <w:rPr>
                <w:b w:val="0"/>
                <w:bCs/>
              </w:rPr>
            </w:pPr>
            <w:r w:rsidRPr="00746AA8">
              <w:rPr>
                <w:b w:val="0"/>
                <w:bCs/>
              </w:rPr>
              <w:t>E</w:t>
            </w:r>
            <w:r w:rsidRPr="00D915E8">
              <w:rPr>
                <w:b w:val="0"/>
                <w:bCs/>
              </w:rPr>
              <w:t>6</w:t>
            </w:r>
          </w:p>
        </w:tc>
        <w:tc>
          <w:tcPr>
            <w:tcW w:w="2268" w:type="dxa"/>
            <w:vAlign w:val="center"/>
          </w:tcPr>
          <w:p w14:paraId="46B8012E" w14:textId="4F6737C1" w:rsidR="00441A4B" w:rsidRDefault="00B10E94"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Energy optimisation settings are implemented</w:t>
            </w:r>
          </w:p>
        </w:tc>
        <w:tc>
          <w:tcPr>
            <w:tcW w:w="3118" w:type="dxa"/>
            <w:vAlign w:val="center"/>
          </w:tcPr>
          <w:p w14:paraId="1C1227FE" w14:textId="0489E1B0" w:rsidR="00441A4B" w:rsidRDefault="00441A4B" w:rsidP="00441A4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Develop and roll out </w:t>
            </w:r>
            <w:r w:rsidR="00811556">
              <w:rPr>
                <w:bCs/>
              </w:rPr>
              <w:t>updated</w:t>
            </w:r>
            <w:r>
              <w:rPr>
                <w:bCs/>
              </w:rPr>
              <w:t xml:space="preserve"> air changes controls</w:t>
            </w:r>
            <w:r w:rsidR="00B10E94">
              <w:rPr>
                <w:bCs/>
              </w:rPr>
              <w:t xml:space="preserve"> and temperature set points</w:t>
            </w:r>
            <w:r>
              <w:rPr>
                <w:bCs/>
              </w:rPr>
              <w:t xml:space="preserve"> for different care environment</w:t>
            </w:r>
            <w:r w:rsidR="007E1D5E">
              <w:rPr>
                <w:bCs/>
              </w:rPr>
              <w:t>s to reduce energy usage</w:t>
            </w:r>
            <w:r w:rsidR="002C3164">
              <w:rPr>
                <w:bCs/>
              </w:rPr>
              <w:t>.</w:t>
            </w:r>
          </w:p>
        </w:tc>
        <w:tc>
          <w:tcPr>
            <w:tcW w:w="1985" w:type="dxa"/>
            <w:vAlign w:val="center"/>
          </w:tcPr>
          <w:p w14:paraId="7F94EC6C" w14:textId="418BDEF3" w:rsidR="00441A4B" w:rsidRDefault="00B10E94"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t>Infrastructure Investment Group</w:t>
            </w:r>
            <w:r w:rsidDel="00B10E94">
              <w:t xml:space="preserve"> </w:t>
            </w:r>
            <w:r w:rsidR="00441A4B">
              <w:t xml:space="preserve">and Infection Prevention Control </w:t>
            </w:r>
          </w:p>
        </w:tc>
        <w:tc>
          <w:tcPr>
            <w:tcW w:w="1416" w:type="dxa"/>
            <w:vAlign w:val="center"/>
          </w:tcPr>
          <w:p w14:paraId="0F3EF16F" w14:textId="7949E91A" w:rsidR="00441A4B" w:rsidRDefault="00A70CD9"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t>Complete</w:t>
            </w:r>
          </w:p>
        </w:tc>
      </w:tr>
      <w:tr w:rsidR="005B6DC2" w:rsidRPr="00653A18" w14:paraId="0B0226F5" w14:textId="77777777" w:rsidTr="00375B31">
        <w:trPr>
          <w:cantSplit/>
          <w:trHeight w:val="161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9A8F56B" w14:textId="70BA44E9" w:rsidR="00441A4B" w:rsidRPr="00D915E8" w:rsidRDefault="000353E3" w:rsidP="00BD66DC">
            <w:pPr>
              <w:spacing w:before="0" w:after="160" w:line="259" w:lineRule="auto"/>
              <w:rPr>
                <w:b w:val="0"/>
                <w:bCs/>
              </w:rPr>
            </w:pPr>
            <w:r w:rsidRPr="00746AA8">
              <w:rPr>
                <w:b w:val="0"/>
                <w:bCs/>
              </w:rPr>
              <w:t>E</w:t>
            </w:r>
            <w:r w:rsidRPr="00D915E8">
              <w:rPr>
                <w:b w:val="0"/>
                <w:bCs/>
              </w:rPr>
              <w:t>7</w:t>
            </w:r>
          </w:p>
        </w:tc>
        <w:tc>
          <w:tcPr>
            <w:tcW w:w="2268" w:type="dxa"/>
            <w:vAlign w:val="center"/>
          </w:tcPr>
          <w:p w14:paraId="71DBDB8A" w14:textId="494BC77E" w:rsidR="00441A4B" w:rsidRPr="003066F6" w:rsidRDefault="00441A4B"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3066F6">
              <w:rPr>
                <w:bCs/>
              </w:rPr>
              <w:t>Develop a policy for the approach to data storage</w:t>
            </w:r>
          </w:p>
        </w:tc>
        <w:tc>
          <w:tcPr>
            <w:tcW w:w="3118" w:type="dxa"/>
            <w:vAlign w:val="center"/>
          </w:tcPr>
          <w:p w14:paraId="1A823CE3" w14:textId="48C68FDD" w:rsidR="00441A4B" w:rsidRPr="003066F6" w:rsidRDefault="00441A4B" w:rsidP="00441A4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3066F6">
              <w:rPr>
                <w:bCs/>
              </w:rPr>
              <w:t xml:space="preserve">Assessment </w:t>
            </w:r>
            <w:r w:rsidR="00855C36" w:rsidRPr="003066F6">
              <w:rPr>
                <w:bCs/>
              </w:rPr>
              <w:t xml:space="preserve">of </w:t>
            </w:r>
            <w:r w:rsidRPr="003066F6">
              <w:rPr>
                <w:bCs/>
              </w:rPr>
              <w:t>the whole of life emissions benefits of onsite servers versus cloud storage, mapping interventions from specification</w:t>
            </w:r>
            <w:r w:rsidR="00567175">
              <w:rPr>
                <w:bCs/>
              </w:rPr>
              <w:t>s</w:t>
            </w:r>
            <w:r w:rsidRPr="003066F6">
              <w:rPr>
                <w:bCs/>
              </w:rPr>
              <w:t>, tender and operations</w:t>
            </w:r>
            <w:r w:rsidR="002C3164">
              <w:rPr>
                <w:bCs/>
              </w:rPr>
              <w:t>.</w:t>
            </w:r>
          </w:p>
        </w:tc>
        <w:tc>
          <w:tcPr>
            <w:tcW w:w="1985" w:type="dxa"/>
            <w:vAlign w:val="center"/>
          </w:tcPr>
          <w:p w14:paraId="11669EC5" w14:textId="28E5C5A4" w:rsidR="00441A4B" w:rsidRPr="003066F6" w:rsidRDefault="00441A4B"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3066F6">
              <w:t>Digital</w:t>
            </w:r>
            <w:r w:rsidR="00377D3F" w:rsidRPr="00170985">
              <w:t xml:space="preserve"> Services</w:t>
            </w:r>
          </w:p>
        </w:tc>
        <w:tc>
          <w:tcPr>
            <w:tcW w:w="1416" w:type="dxa"/>
            <w:vAlign w:val="center"/>
          </w:tcPr>
          <w:p w14:paraId="28E597ED" w14:textId="11DBE17F" w:rsidR="00441A4B" w:rsidRPr="003066F6" w:rsidRDefault="00377D3F"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170985">
              <w:t>December 2025</w:t>
            </w:r>
          </w:p>
        </w:tc>
      </w:tr>
      <w:tr w:rsidR="005B6DC2" w:rsidRPr="00653A18" w14:paraId="52A4A4FC" w14:textId="77777777" w:rsidTr="00375B31">
        <w:trPr>
          <w:cantSplit/>
          <w:trHeight w:val="161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0EDAD730" w14:textId="12FDF5C9" w:rsidR="00441A4B" w:rsidRPr="00D915E8" w:rsidRDefault="00441A4B" w:rsidP="00BD66DC">
            <w:pPr>
              <w:spacing w:before="0" w:after="160" w:line="259" w:lineRule="auto"/>
              <w:rPr>
                <w:b w:val="0"/>
                <w:bCs/>
              </w:rPr>
            </w:pPr>
            <w:r w:rsidRPr="00D915E8">
              <w:rPr>
                <w:b w:val="0"/>
                <w:bCs/>
              </w:rPr>
              <w:t>Wat1</w:t>
            </w:r>
          </w:p>
        </w:tc>
        <w:tc>
          <w:tcPr>
            <w:tcW w:w="2268" w:type="dxa"/>
            <w:vAlign w:val="center"/>
          </w:tcPr>
          <w:p w14:paraId="7C7E12DE" w14:textId="11CB7CDE" w:rsidR="00441A4B" w:rsidRDefault="00441A4B"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Evaluate smart water meter pilot programme at Tauranga Hospital, supported by Tauranga City Council</w:t>
            </w:r>
          </w:p>
        </w:tc>
        <w:tc>
          <w:tcPr>
            <w:tcW w:w="3118" w:type="dxa"/>
            <w:vAlign w:val="center"/>
          </w:tcPr>
          <w:p w14:paraId="0BA6C4F7" w14:textId="2C5B61E0" w:rsidR="00441A4B" w:rsidRDefault="00441A4B" w:rsidP="00441A4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Evaluate potential water savings at Tauranga hospital and complete feasibility study for national roll out of water monitoring</w:t>
            </w:r>
            <w:r w:rsidR="008C36E7">
              <w:rPr>
                <w:bCs/>
              </w:rPr>
              <w:t xml:space="preserve"> and reduction</w:t>
            </w:r>
            <w:r w:rsidR="002C3164">
              <w:rPr>
                <w:bCs/>
              </w:rPr>
              <w:t>.</w:t>
            </w:r>
          </w:p>
        </w:tc>
        <w:tc>
          <w:tcPr>
            <w:tcW w:w="1985" w:type="dxa"/>
            <w:vAlign w:val="center"/>
          </w:tcPr>
          <w:p w14:paraId="17DEE404" w14:textId="5F9F6225" w:rsidR="00441A4B" w:rsidRDefault="00441A4B"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t>Infrastructure Investment Group and Sustainability Function</w:t>
            </w:r>
          </w:p>
        </w:tc>
        <w:tc>
          <w:tcPr>
            <w:tcW w:w="1416" w:type="dxa"/>
            <w:vAlign w:val="center"/>
          </w:tcPr>
          <w:p w14:paraId="5CDE2E57" w14:textId="077DA07A" w:rsidR="00441A4B" w:rsidRDefault="00C4005F"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t>December</w:t>
            </w:r>
            <w:r w:rsidR="00441A4B">
              <w:t xml:space="preserve"> 2025</w:t>
            </w:r>
          </w:p>
        </w:tc>
      </w:tr>
      <w:tr w:rsidR="005B6DC2" w:rsidRPr="00653A18" w14:paraId="32B57352" w14:textId="77777777" w:rsidTr="00375B31">
        <w:trPr>
          <w:cantSplit/>
          <w:trHeight w:val="597"/>
        </w:trPr>
        <w:tc>
          <w:tcPr>
            <w:cnfStyle w:val="001000000000" w:firstRow="0" w:lastRow="0" w:firstColumn="1" w:lastColumn="0" w:oddVBand="0" w:evenVBand="0" w:oddHBand="0" w:evenHBand="0" w:firstRowFirstColumn="0" w:firstRowLastColumn="0" w:lastRowFirstColumn="0" w:lastRowLastColumn="0"/>
            <w:tcW w:w="851" w:type="dxa"/>
            <w:vAlign w:val="center"/>
          </w:tcPr>
          <w:p w14:paraId="7A1D95CE" w14:textId="02838E87" w:rsidR="00441A4B" w:rsidRPr="00D915E8" w:rsidRDefault="00441A4B" w:rsidP="00BD66DC">
            <w:pPr>
              <w:spacing w:before="0" w:after="160" w:line="259" w:lineRule="auto"/>
              <w:rPr>
                <w:b w:val="0"/>
                <w:bCs/>
              </w:rPr>
            </w:pPr>
            <w:r w:rsidRPr="00746AA8">
              <w:rPr>
                <w:b w:val="0"/>
                <w:bCs/>
              </w:rPr>
              <w:t>Wat2</w:t>
            </w:r>
          </w:p>
        </w:tc>
        <w:tc>
          <w:tcPr>
            <w:tcW w:w="2268" w:type="dxa"/>
            <w:vAlign w:val="center"/>
          </w:tcPr>
          <w:p w14:paraId="5C08EE34" w14:textId="0E015A8C" w:rsidR="00441A4B" w:rsidRPr="004C288E" w:rsidRDefault="00441A4B"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4C288E">
              <w:rPr>
                <w:bCs/>
              </w:rPr>
              <w:t>Through proposed investment priorities for renal services set water reduction as a priority</w:t>
            </w:r>
          </w:p>
        </w:tc>
        <w:tc>
          <w:tcPr>
            <w:tcW w:w="3118" w:type="dxa"/>
            <w:vAlign w:val="center"/>
          </w:tcPr>
          <w:p w14:paraId="5DA73028" w14:textId="2B1DABFA" w:rsidR="00441A4B" w:rsidRPr="004C288E" w:rsidRDefault="00441A4B" w:rsidP="00441A4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4C288E">
              <w:rPr>
                <w:bCs/>
              </w:rPr>
              <w:t>Renal dialysis uses significant volumes of water</w:t>
            </w:r>
            <w:r w:rsidR="00F51384">
              <w:rPr>
                <w:bCs/>
              </w:rPr>
              <w:t>;</w:t>
            </w:r>
            <w:r w:rsidRPr="004C288E">
              <w:rPr>
                <w:bCs/>
              </w:rPr>
              <w:t xml:space="preserve"> through the specification for dialysis equipment</w:t>
            </w:r>
            <w:r w:rsidR="00F51384">
              <w:rPr>
                <w:bCs/>
              </w:rPr>
              <w:t>,</w:t>
            </w:r>
            <w:r w:rsidRPr="004C288E">
              <w:rPr>
                <w:bCs/>
              </w:rPr>
              <w:t xml:space="preserve"> water usage </w:t>
            </w:r>
            <w:r w:rsidR="00BC4499" w:rsidRPr="004C288E">
              <w:rPr>
                <w:bCs/>
              </w:rPr>
              <w:t xml:space="preserve">can </w:t>
            </w:r>
            <w:r w:rsidRPr="004C288E">
              <w:rPr>
                <w:bCs/>
              </w:rPr>
              <w:t>be reduced significantly</w:t>
            </w:r>
            <w:r w:rsidR="002C3164">
              <w:rPr>
                <w:bCs/>
              </w:rPr>
              <w:t>.</w:t>
            </w:r>
          </w:p>
        </w:tc>
        <w:tc>
          <w:tcPr>
            <w:tcW w:w="1985" w:type="dxa"/>
            <w:vAlign w:val="center"/>
          </w:tcPr>
          <w:p w14:paraId="71EF649E" w14:textId="4A21FD4B" w:rsidR="00441A4B" w:rsidRPr="004C288E" w:rsidRDefault="00441A4B"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4C288E">
              <w:t xml:space="preserve">Renal National Clinical Network </w:t>
            </w:r>
          </w:p>
        </w:tc>
        <w:tc>
          <w:tcPr>
            <w:tcW w:w="1416" w:type="dxa"/>
            <w:vAlign w:val="center"/>
          </w:tcPr>
          <w:p w14:paraId="07F3E56E" w14:textId="44A7549F" w:rsidR="00441A4B" w:rsidRPr="004C288E" w:rsidRDefault="003066F6"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t>December 2025</w:t>
            </w:r>
          </w:p>
        </w:tc>
      </w:tr>
      <w:tr w:rsidR="005B6DC2" w:rsidRPr="00653A18" w14:paraId="2F039BB8" w14:textId="77777777" w:rsidTr="00375B31">
        <w:trPr>
          <w:cantSplit/>
          <w:trHeight w:val="291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B75A126" w14:textId="54E8B56A" w:rsidR="00441A4B" w:rsidRPr="00D915E8" w:rsidRDefault="00441A4B" w:rsidP="00BD66DC">
            <w:pPr>
              <w:spacing w:before="0" w:after="160" w:line="259" w:lineRule="auto"/>
              <w:rPr>
                <w:b w:val="0"/>
                <w:bCs/>
              </w:rPr>
            </w:pPr>
            <w:r w:rsidRPr="00D915E8">
              <w:rPr>
                <w:b w:val="0"/>
                <w:bCs/>
              </w:rPr>
              <w:lastRenderedPageBreak/>
              <w:t>Was1</w:t>
            </w:r>
          </w:p>
        </w:tc>
        <w:tc>
          <w:tcPr>
            <w:tcW w:w="2268" w:type="dxa"/>
            <w:vAlign w:val="center"/>
          </w:tcPr>
          <w:p w14:paraId="7AB401D2" w14:textId="6D3D0014" w:rsidR="00441A4B" w:rsidRDefault="004C288E" w:rsidP="00BD66DC">
            <w:pPr>
              <w:cnfStyle w:val="000000000000" w:firstRow="0" w:lastRow="0" w:firstColumn="0" w:lastColumn="0" w:oddVBand="0" w:evenVBand="0" w:oddHBand="0" w:evenHBand="0" w:firstRowFirstColumn="0" w:firstRowLastColumn="0" w:lastRowFirstColumn="0" w:lastRowLastColumn="0"/>
              <w:rPr>
                <w:bCs/>
              </w:rPr>
            </w:pPr>
            <w:r w:rsidRPr="004C288E">
              <w:t>Collaborate with external stakeholders to update the New Zealand Standard for Management of Healthcare Waste (NZS 4304:2002)</w:t>
            </w:r>
          </w:p>
        </w:tc>
        <w:tc>
          <w:tcPr>
            <w:tcW w:w="3118" w:type="dxa"/>
            <w:vAlign w:val="center"/>
          </w:tcPr>
          <w:p w14:paraId="66B6DF61" w14:textId="21FABC7C" w:rsidR="00441A4B" w:rsidRDefault="004C288E" w:rsidP="00441A4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T</w:t>
            </w:r>
            <w:r w:rsidRPr="004C288E">
              <w:rPr>
                <w:bCs/>
              </w:rPr>
              <w:t>o reflect current practices that further enhance waste minimisation outcomes and reinforces lifecycle considerations for products and services</w:t>
            </w:r>
            <w:r w:rsidR="002C3164">
              <w:rPr>
                <w:bCs/>
              </w:rPr>
              <w:t>.</w:t>
            </w:r>
          </w:p>
        </w:tc>
        <w:tc>
          <w:tcPr>
            <w:tcW w:w="1985" w:type="dxa"/>
            <w:vAlign w:val="center"/>
          </w:tcPr>
          <w:p w14:paraId="10A48374" w14:textId="40681E8C" w:rsidR="00441A4B" w:rsidRDefault="00441A4B"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t>Operational Support Services</w:t>
            </w:r>
          </w:p>
        </w:tc>
        <w:tc>
          <w:tcPr>
            <w:tcW w:w="1416" w:type="dxa"/>
            <w:vAlign w:val="center"/>
          </w:tcPr>
          <w:p w14:paraId="1253AC3F" w14:textId="521B6BE5" w:rsidR="00441A4B" w:rsidRDefault="009638F2" w:rsidP="00441A4B">
            <w:pPr>
              <w:spacing w:before="0" w:after="160" w:line="259" w:lineRule="auto"/>
              <w:cnfStyle w:val="000000000000" w:firstRow="0" w:lastRow="0" w:firstColumn="0" w:lastColumn="0" w:oddVBand="0" w:evenVBand="0" w:oddHBand="0" w:evenHBand="0" w:firstRowFirstColumn="0" w:firstRowLastColumn="0" w:lastRowFirstColumn="0" w:lastRowLastColumn="0"/>
            </w:pPr>
            <w:r>
              <w:t>Ju</w:t>
            </w:r>
            <w:r w:rsidR="005A1EA5">
              <w:t>ne</w:t>
            </w:r>
            <w:r>
              <w:t xml:space="preserve"> 202</w:t>
            </w:r>
            <w:r w:rsidR="005A1EA5">
              <w:t>7</w:t>
            </w:r>
          </w:p>
        </w:tc>
      </w:tr>
      <w:tr w:rsidR="005B6DC2" w:rsidRPr="00653A18" w14:paraId="7CE7AF5F" w14:textId="77777777" w:rsidTr="00375B31">
        <w:trPr>
          <w:cantSplit/>
          <w:trHeight w:val="161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2BF7EE5C" w14:textId="4AC2B3B3" w:rsidR="00AC62FB" w:rsidRPr="00D915E8" w:rsidRDefault="00AC62FB" w:rsidP="00BD66DC">
            <w:pPr>
              <w:spacing w:before="0" w:after="160" w:line="259" w:lineRule="auto"/>
              <w:rPr>
                <w:b w:val="0"/>
                <w:bCs/>
              </w:rPr>
            </w:pPr>
            <w:r w:rsidRPr="00D915E8">
              <w:rPr>
                <w:b w:val="0"/>
                <w:bCs/>
              </w:rPr>
              <w:t>Was2</w:t>
            </w:r>
          </w:p>
        </w:tc>
        <w:tc>
          <w:tcPr>
            <w:tcW w:w="2268" w:type="dxa"/>
            <w:vAlign w:val="center"/>
          </w:tcPr>
          <w:p w14:paraId="61801596" w14:textId="5B98B481" w:rsidR="00AC62FB" w:rsidRPr="00DA1A4C" w:rsidRDefault="004C288E" w:rsidP="00BD66DC">
            <w:pPr>
              <w:cnfStyle w:val="000000000000" w:firstRow="0" w:lastRow="0" w:firstColumn="0" w:lastColumn="0" w:oddVBand="0" w:evenVBand="0" w:oddHBand="0" w:evenHBand="0" w:firstRowFirstColumn="0" w:firstRowLastColumn="0" w:lastRowFirstColumn="0" w:lastRowLastColumn="0"/>
            </w:pPr>
            <w:r w:rsidRPr="00170985">
              <w:rPr>
                <w:bCs/>
              </w:rPr>
              <w:t xml:space="preserve">Assess the feasibility of a national collection system for organics and food waste </w:t>
            </w:r>
          </w:p>
        </w:tc>
        <w:tc>
          <w:tcPr>
            <w:tcW w:w="3118" w:type="dxa"/>
            <w:vAlign w:val="center"/>
          </w:tcPr>
          <w:p w14:paraId="09C9175A" w14:textId="5398A4E5" w:rsidR="00AC62FB" w:rsidRDefault="00616C11" w:rsidP="00AC62F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Use local pilots to develop a national approach t</w:t>
            </w:r>
            <w:r w:rsidR="004C288E" w:rsidRPr="004C288E">
              <w:rPr>
                <w:bCs/>
              </w:rPr>
              <w:t>o reduce organics waste to landfill</w:t>
            </w:r>
            <w:r w:rsidR="00927743">
              <w:rPr>
                <w:bCs/>
              </w:rPr>
              <w:t xml:space="preserve"> through finding lower emission</w:t>
            </w:r>
            <w:r w:rsidR="005E2E4C">
              <w:rPr>
                <w:bCs/>
              </w:rPr>
              <w:t xml:space="preserve"> disposal methods</w:t>
            </w:r>
            <w:r w:rsidR="002C3164">
              <w:rPr>
                <w:bCs/>
              </w:rPr>
              <w:t>.</w:t>
            </w:r>
            <w:r w:rsidR="005E2E4C">
              <w:rPr>
                <w:bCs/>
              </w:rPr>
              <w:t xml:space="preserve"> </w:t>
            </w:r>
          </w:p>
        </w:tc>
        <w:tc>
          <w:tcPr>
            <w:tcW w:w="1985" w:type="dxa"/>
            <w:vAlign w:val="center"/>
          </w:tcPr>
          <w:p w14:paraId="029194D7" w14:textId="7B81F54D" w:rsidR="00AC62FB" w:rsidRDefault="005E2E4C" w:rsidP="00AC62FB">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Operational Support Services and Sustainability </w:t>
            </w:r>
            <w:r w:rsidR="00616C11">
              <w:t>Function</w:t>
            </w:r>
            <w:r>
              <w:t xml:space="preserve"> </w:t>
            </w:r>
          </w:p>
        </w:tc>
        <w:tc>
          <w:tcPr>
            <w:tcW w:w="1416" w:type="dxa"/>
            <w:vAlign w:val="center"/>
          </w:tcPr>
          <w:p w14:paraId="2607B7FA" w14:textId="229780FA" w:rsidR="00AC62FB" w:rsidRDefault="00B91DCA" w:rsidP="00AC62FB">
            <w:pPr>
              <w:spacing w:before="0" w:after="160" w:line="259" w:lineRule="auto"/>
              <w:cnfStyle w:val="000000000000" w:firstRow="0" w:lastRow="0" w:firstColumn="0" w:lastColumn="0" w:oddVBand="0" w:evenVBand="0" w:oddHBand="0" w:evenHBand="0" w:firstRowFirstColumn="0" w:firstRowLastColumn="0" w:lastRowFirstColumn="0" w:lastRowLastColumn="0"/>
            </w:pPr>
            <w:r>
              <w:t>September</w:t>
            </w:r>
            <w:r w:rsidR="00616C11">
              <w:t xml:space="preserve"> 2025</w:t>
            </w:r>
          </w:p>
        </w:tc>
      </w:tr>
      <w:tr w:rsidR="005B6DC2" w:rsidRPr="00653A18" w14:paraId="3E985756" w14:textId="77777777" w:rsidTr="00375B31">
        <w:trPr>
          <w:cantSplit/>
          <w:trHeight w:val="61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646ADF1" w14:textId="2B151E77" w:rsidR="00AC62FB" w:rsidRPr="00D915E8" w:rsidRDefault="00AC62FB" w:rsidP="00BD66DC">
            <w:pPr>
              <w:spacing w:before="0" w:after="160" w:line="259" w:lineRule="auto"/>
              <w:rPr>
                <w:b w:val="0"/>
                <w:bCs/>
              </w:rPr>
            </w:pPr>
            <w:r w:rsidRPr="00D915E8">
              <w:rPr>
                <w:b w:val="0"/>
                <w:bCs/>
              </w:rPr>
              <w:t>Was3</w:t>
            </w:r>
          </w:p>
        </w:tc>
        <w:tc>
          <w:tcPr>
            <w:tcW w:w="2268" w:type="dxa"/>
            <w:vAlign w:val="center"/>
          </w:tcPr>
          <w:p w14:paraId="208BD6B0" w14:textId="5EF6DC87" w:rsidR="00AC62FB" w:rsidDel="006D4355" w:rsidRDefault="00AC62FB" w:rsidP="00BD66DC">
            <w:pPr>
              <w:cnfStyle w:val="000000000000" w:firstRow="0" w:lastRow="0" w:firstColumn="0" w:lastColumn="0" w:oddVBand="0" w:evenVBand="0" w:oddHBand="0" w:evenHBand="0" w:firstRowFirstColumn="0" w:firstRowLastColumn="0" w:lastRowFirstColumn="0" w:lastRowLastColumn="0"/>
            </w:pPr>
            <w:r>
              <w:t>Develop a digital strategy/work plan to digitise paper records to reduce storage, energy, transport and waste impacts</w:t>
            </w:r>
          </w:p>
        </w:tc>
        <w:tc>
          <w:tcPr>
            <w:tcW w:w="3118" w:type="dxa"/>
            <w:vAlign w:val="center"/>
          </w:tcPr>
          <w:p w14:paraId="2FB7D323" w14:textId="1AAC006A" w:rsidR="00AC62FB" w:rsidRDefault="00AC62FB" w:rsidP="00AC62F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Quantify the emissions benefits of the strategy and implementation</w:t>
            </w:r>
            <w:r w:rsidR="002C3164">
              <w:rPr>
                <w:bCs/>
              </w:rPr>
              <w:t>.</w:t>
            </w:r>
            <w:r>
              <w:rPr>
                <w:bCs/>
              </w:rPr>
              <w:t xml:space="preserve"> </w:t>
            </w:r>
          </w:p>
        </w:tc>
        <w:tc>
          <w:tcPr>
            <w:tcW w:w="1985" w:type="dxa"/>
            <w:vAlign w:val="center"/>
          </w:tcPr>
          <w:p w14:paraId="3A2BBE35" w14:textId="643E8BC7" w:rsidR="00AC62FB" w:rsidRDefault="00AC62FB" w:rsidP="00AC62FB">
            <w:pPr>
              <w:spacing w:before="0" w:after="160" w:line="259" w:lineRule="auto"/>
              <w:cnfStyle w:val="000000000000" w:firstRow="0" w:lastRow="0" w:firstColumn="0" w:lastColumn="0" w:oddVBand="0" w:evenVBand="0" w:oddHBand="0" w:evenHBand="0" w:firstRowFirstColumn="0" w:firstRowLastColumn="0" w:lastRowFirstColumn="0" w:lastRowLastColumn="0"/>
            </w:pPr>
            <w:r>
              <w:t>Digital</w:t>
            </w:r>
            <w:r w:rsidR="001844E3">
              <w:t xml:space="preserve"> Services</w:t>
            </w:r>
          </w:p>
        </w:tc>
        <w:tc>
          <w:tcPr>
            <w:tcW w:w="1416" w:type="dxa"/>
            <w:vAlign w:val="center"/>
          </w:tcPr>
          <w:p w14:paraId="3B2CBE96" w14:textId="4E85353F" w:rsidR="00AC62FB" w:rsidRDefault="001844E3" w:rsidP="00AC62FB">
            <w:pPr>
              <w:spacing w:before="0" w:after="160" w:line="259" w:lineRule="auto"/>
              <w:cnfStyle w:val="000000000000" w:firstRow="0" w:lastRow="0" w:firstColumn="0" w:lastColumn="0" w:oddVBand="0" w:evenVBand="0" w:oddHBand="0" w:evenHBand="0" w:firstRowFirstColumn="0" w:firstRowLastColumn="0" w:lastRowFirstColumn="0" w:lastRowLastColumn="0"/>
            </w:pPr>
            <w:r>
              <w:t>December 2025</w:t>
            </w:r>
          </w:p>
        </w:tc>
      </w:tr>
      <w:tr w:rsidR="005B6DC2" w:rsidRPr="00653A18" w14:paraId="6A5265F8" w14:textId="77777777" w:rsidTr="00375B31">
        <w:trPr>
          <w:cantSplit/>
          <w:trHeight w:val="1618"/>
        </w:trPr>
        <w:tc>
          <w:tcPr>
            <w:cnfStyle w:val="001000000000" w:firstRow="0" w:lastRow="0" w:firstColumn="1" w:lastColumn="0" w:oddVBand="0" w:evenVBand="0" w:oddHBand="0" w:evenHBand="0" w:firstRowFirstColumn="0" w:firstRowLastColumn="0" w:lastRowFirstColumn="0" w:lastRowLastColumn="0"/>
            <w:tcW w:w="851" w:type="dxa"/>
            <w:vAlign w:val="center"/>
          </w:tcPr>
          <w:p w14:paraId="47C0AE65" w14:textId="67589790" w:rsidR="00AC62FB" w:rsidRPr="00D915E8" w:rsidRDefault="00AC62FB" w:rsidP="00BD66DC">
            <w:pPr>
              <w:spacing w:before="0" w:after="160" w:line="259" w:lineRule="auto"/>
              <w:rPr>
                <w:b w:val="0"/>
                <w:bCs/>
              </w:rPr>
            </w:pPr>
            <w:r w:rsidRPr="00D915E8">
              <w:rPr>
                <w:b w:val="0"/>
                <w:bCs/>
              </w:rPr>
              <w:t>Was4</w:t>
            </w:r>
          </w:p>
        </w:tc>
        <w:tc>
          <w:tcPr>
            <w:tcW w:w="2268" w:type="dxa"/>
            <w:vAlign w:val="center"/>
          </w:tcPr>
          <w:p w14:paraId="45EF2186" w14:textId="16F1C45B" w:rsidR="00AC62FB" w:rsidRDefault="00AC62FB" w:rsidP="00BD66DC">
            <w:pPr>
              <w:cnfStyle w:val="000000000000" w:firstRow="0" w:lastRow="0" w:firstColumn="0" w:lastColumn="0" w:oddVBand="0" w:evenVBand="0" w:oddHBand="0" w:evenHBand="0" w:firstRowFirstColumn="0" w:firstRowLastColumn="0" w:lastRowFirstColumn="0" w:lastRowLastColumn="0"/>
            </w:pPr>
            <w:r>
              <w:rPr>
                <w:bCs/>
              </w:rPr>
              <w:t>Cross organisational engagement to develop an implementation plan to reduce single use devices</w:t>
            </w:r>
          </w:p>
        </w:tc>
        <w:tc>
          <w:tcPr>
            <w:tcW w:w="3118" w:type="dxa"/>
            <w:vAlign w:val="center"/>
          </w:tcPr>
          <w:p w14:paraId="01E5DA70" w14:textId="03E7CD59" w:rsidR="00AC62FB" w:rsidRDefault="00AC62FB" w:rsidP="00AC62F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To have a roadmap to reduce reliance on single use devices. </w:t>
            </w:r>
          </w:p>
        </w:tc>
        <w:tc>
          <w:tcPr>
            <w:tcW w:w="1985" w:type="dxa"/>
            <w:vAlign w:val="center"/>
          </w:tcPr>
          <w:p w14:paraId="69F9BC79" w14:textId="6EBD8FD8" w:rsidR="00AC62FB" w:rsidRDefault="00AC62FB" w:rsidP="00AC62FB">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w:t>
            </w:r>
          </w:p>
        </w:tc>
        <w:tc>
          <w:tcPr>
            <w:tcW w:w="1416" w:type="dxa"/>
            <w:vAlign w:val="center"/>
          </w:tcPr>
          <w:p w14:paraId="2CC05A3B" w14:textId="79443A5D" w:rsidR="00AC62FB" w:rsidRDefault="00AC62FB" w:rsidP="00AC62FB">
            <w:pPr>
              <w:spacing w:before="0" w:after="160" w:line="259" w:lineRule="auto"/>
              <w:cnfStyle w:val="000000000000" w:firstRow="0" w:lastRow="0" w:firstColumn="0" w:lastColumn="0" w:oddVBand="0" w:evenVBand="0" w:oddHBand="0" w:evenHBand="0" w:firstRowFirstColumn="0" w:firstRowLastColumn="0" w:lastRowFirstColumn="0" w:lastRowLastColumn="0"/>
            </w:pPr>
            <w:r>
              <w:t>December 2026</w:t>
            </w:r>
          </w:p>
        </w:tc>
      </w:tr>
      <w:tr w:rsidR="005B6DC2" w14:paraId="23625DD6" w14:textId="77777777" w:rsidTr="00375B31">
        <w:trPr>
          <w:cantSplit/>
          <w:trHeight w:val="61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3DF32E45" w14:textId="1380791E" w:rsidR="00AC62FB" w:rsidRPr="00D915E8" w:rsidRDefault="00AC62FB" w:rsidP="00BD66DC">
            <w:pPr>
              <w:spacing w:line="259" w:lineRule="auto"/>
              <w:rPr>
                <w:b w:val="0"/>
                <w:bCs/>
              </w:rPr>
            </w:pPr>
            <w:r w:rsidRPr="00D915E8">
              <w:rPr>
                <w:b w:val="0"/>
                <w:bCs/>
              </w:rPr>
              <w:t>Com1</w:t>
            </w:r>
          </w:p>
        </w:tc>
        <w:tc>
          <w:tcPr>
            <w:tcW w:w="2268" w:type="dxa"/>
            <w:vAlign w:val="center"/>
          </w:tcPr>
          <w:p w14:paraId="6A6A921B" w14:textId="5EF23525" w:rsidR="00AC62FB" w:rsidRDefault="00AC62FB" w:rsidP="00BD66DC">
            <w:pPr>
              <w:cnfStyle w:val="000000000000" w:firstRow="0" w:lastRow="0" w:firstColumn="0" w:lastColumn="0" w:oddVBand="0" w:evenVBand="0" w:oddHBand="0" w:evenHBand="0" w:firstRowFirstColumn="0" w:firstRowLastColumn="0" w:lastRowFirstColumn="0" w:lastRowLastColumn="0"/>
            </w:pPr>
            <w:r>
              <w:t>Develop a communication and engagement plan to engage staff in behaviour change</w:t>
            </w:r>
          </w:p>
        </w:tc>
        <w:tc>
          <w:tcPr>
            <w:tcW w:w="3118" w:type="dxa"/>
            <w:vAlign w:val="center"/>
          </w:tcPr>
          <w:p w14:paraId="128C159A" w14:textId="1263D340" w:rsidR="00AC62FB" w:rsidRDefault="00AC62FB" w:rsidP="00AC62FB">
            <w:pPr>
              <w:spacing w:line="259" w:lineRule="auto"/>
              <w:cnfStyle w:val="000000000000" w:firstRow="0" w:lastRow="0" w:firstColumn="0" w:lastColumn="0" w:oddVBand="0" w:evenVBand="0" w:oddHBand="0" w:evenHBand="0" w:firstRowFirstColumn="0" w:firstRowLastColumn="0" w:lastRowFirstColumn="0" w:lastRowLastColumn="0"/>
            </w:pPr>
            <w:r>
              <w:t>Create a process, calendar and focus areas for behaviour change engagement to reduce emissions across energy, waste and wider</w:t>
            </w:r>
            <w:r w:rsidR="002C3164">
              <w:t>.</w:t>
            </w:r>
          </w:p>
        </w:tc>
        <w:tc>
          <w:tcPr>
            <w:tcW w:w="1985" w:type="dxa"/>
            <w:vAlign w:val="center"/>
          </w:tcPr>
          <w:p w14:paraId="3540A531" w14:textId="037E4C47" w:rsidR="00AC62FB" w:rsidRDefault="00AC62FB" w:rsidP="00AC62FB">
            <w:pPr>
              <w:spacing w:line="259" w:lineRule="auto"/>
              <w:cnfStyle w:val="000000000000" w:firstRow="0" w:lastRow="0" w:firstColumn="0" w:lastColumn="0" w:oddVBand="0" w:evenVBand="0" w:oddHBand="0" w:evenHBand="0" w:firstRowFirstColumn="0" w:firstRowLastColumn="0" w:lastRowFirstColumn="0" w:lastRowLastColumn="0"/>
            </w:pPr>
            <w:r>
              <w:t xml:space="preserve">Sustainability Function Communications </w:t>
            </w:r>
            <w:r w:rsidR="006E3CBE">
              <w:t>&amp; Engagement</w:t>
            </w:r>
          </w:p>
        </w:tc>
        <w:tc>
          <w:tcPr>
            <w:tcW w:w="1416" w:type="dxa"/>
            <w:vAlign w:val="center"/>
          </w:tcPr>
          <w:p w14:paraId="10E59521" w14:textId="1450C63D" w:rsidR="00AC62FB" w:rsidRDefault="002F082D" w:rsidP="00AC62FB">
            <w:pPr>
              <w:spacing w:line="259" w:lineRule="auto"/>
              <w:cnfStyle w:val="000000000000" w:firstRow="0" w:lastRow="0" w:firstColumn="0" w:lastColumn="0" w:oddVBand="0" w:evenVBand="0" w:oddHBand="0" w:evenHBand="0" w:firstRowFirstColumn="0" w:firstRowLastColumn="0" w:lastRowFirstColumn="0" w:lastRowLastColumn="0"/>
            </w:pPr>
            <w:r>
              <w:t>Complete</w:t>
            </w:r>
            <w:r w:rsidR="006B3359">
              <w:t>d</w:t>
            </w:r>
            <w:r w:rsidR="003D7585">
              <w:t xml:space="preserve"> and </w:t>
            </w:r>
            <w:r w:rsidR="00CA2062">
              <w:t xml:space="preserve">activities </w:t>
            </w:r>
            <w:r w:rsidR="003D7585">
              <w:t>underway</w:t>
            </w:r>
          </w:p>
        </w:tc>
      </w:tr>
    </w:tbl>
    <w:p w14:paraId="762FC367" w14:textId="77777777" w:rsidR="006A67A2" w:rsidRDefault="006A67A2" w:rsidP="006634A3"/>
    <w:p w14:paraId="59B49C49" w14:textId="21684833" w:rsidR="00DF19E5" w:rsidRDefault="00BF60E4" w:rsidP="00FF6134">
      <w:pPr>
        <w:pStyle w:val="Section2Heading1"/>
      </w:pPr>
      <w:bookmarkStart w:id="52" w:name="_Toc204940782"/>
      <w:r>
        <w:lastRenderedPageBreak/>
        <w:t xml:space="preserve">Business travel, </w:t>
      </w:r>
      <w:r w:rsidR="00EC4F9D">
        <w:t>fleet,</w:t>
      </w:r>
      <w:r>
        <w:t xml:space="preserve"> and funded patient transport</w:t>
      </w:r>
      <w:bookmarkEnd w:id="52"/>
    </w:p>
    <w:p w14:paraId="45E4B3AF" w14:textId="6E4C5092" w:rsidR="00217D00" w:rsidRPr="00572CC1" w:rsidRDefault="00217D00" w:rsidP="00217D00">
      <w:bookmarkStart w:id="53" w:name="_Toc175317957"/>
      <w:r w:rsidRPr="00217D00">
        <w:t>Travel is an essential and multifaceted component of healthcare delivery. It enables staff to support New Zealanders in their homes, facilitates the movement of personnel to areas of greatest need</w:t>
      </w:r>
      <w:r w:rsidR="00F7598F">
        <w:t xml:space="preserve"> and to </w:t>
      </w:r>
      <w:r w:rsidR="00C648E2">
        <w:t>access</w:t>
      </w:r>
      <w:r w:rsidR="004D22F2" w:rsidRPr="00217D00">
        <w:t xml:space="preserve"> </w:t>
      </w:r>
      <w:r w:rsidRPr="00217D00">
        <w:t xml:space="preserve">learning and development, disseminates best practices across Health </w:t>
      </w:r>
      <w:r w:rsidR="00E61074">
        <w:t>NZ</w:t>
      </w:r>
      <w:r w:rsidRPr="00217D00">
        <w:t xml:space="preserve">, and </w:t>
      </w:r>
      <w:r w:rsidR="00C648E2">
        <w:t>support</w:t>
      </w:r>
      <w:r w:rsidR="00A30A74">
        <w:t>s</w:t>
      </w:r>
      <w:r w:rsidR="00C648E2" w:rsidRPr="00217D00">
        <w:t xml:space="preserve"> </w:t>
      </w:r>
      <w:r w:rsidRPr="00217D00">
        <w:t xml:space="preserve">timely access to services and specialist support for those most in </w:t>
      </w:r>
      <w:r w:rsidRPr="00572CC1">
        <w:t>need.</w:t>
      </w:r>
    </w:p>
    <w:p w14:paraId="71CE20DB" w14:textId="69E5676D" w:rsidR="00217D00" w:rsidRPr="00217D00" w:rsidRDefault="00217D00" w:rsidP="00217D00">
      <w:r w:rsidRPr="00572CC1">
        <w:t xml:space="preserve">In the FY22/23 baseline, travel-related emissions amounted to </w:t>
      </w:r>
      <w:r w:rsidR="6ECA3F1C" w:rsidRPr="00F56B8E">
        <w:t>88,</w:t>
      </w:r>
      <w:r w:rsidR="003066F6">
        <w:t>5</w:t>
      </w:r>
      <w:r w:rsidR="003066F6" w:rsidRPr="00F56B8E">
        <w:t xml:space="preserve">00 </w:t>
      </w:r>
      <w:r w:rsidRPr="00F56B8E">
        <w:t>tCO</w:t>
      </w:r>
      <w:r w:rsidRPr="00F56B8E">
        <w:rPr>
          <w:vertAlign w:val="subscript"/>
        </w:rPr>
        <w:t>2</w:t>
      </w:r>
      <w:r w:rsidRPr="00F56B8E">
        <w:t xml:space="preserve">e, representing </w:t>
      </w:r>
      <w:r w:rsidR="4C74B17D" w:rsidRPr="00F56B8E">
        <w:t>37</w:t>
      </w:r>
      <w:r w:rsidRPr="00572CC1">
        <w:t>% of Health NZ’s total</w:t>
      </w:r>
      <w:r w:rsidR="003066F6">
        <w:t xml:space="preserve"> measured</w:t>
      </w:r>
      <w:r w:rsidRPr="00572CC1">
        <w:t xml:space="preserve"> ‘Footprint’. Staff air travel is the largest source of emissions in this category, accounting for 48,</w:t>
      </w:r>
      <w:r w:rsidR="00D7761D">
        <w:t>500</w:t>
      </w:r>
      <w:r w:rsidR="00D7761D" w:rsidRPr="00572CC1">
        <w:t xml:space="preserve"> </w:t>
      </w:r>
      <w:r w:rsidRPr="00572CC1">
        <w:t>tCO</w:t>
      </w:r>
      <w:r w:rsidRPr="00572CC1">
        <w:rPr>
          <w:vertAlign w:val="subscript"/>
        </w:rPr>
        <w:t>2</w:t>
      </w:r>
      <w:r w:rsidRPr="00572CC1">
        <w:t xml:space="preserve">e </w:t>
      </w:r>
      <w:r w:rsidRPr="00F56B8E">
        <w:t>(</w:t>
      </w:r>
      <w:r w:rsidR="4199E751" w:rsidRPr="00F56B8E">
        <w:t>20</w:t>
      </w:r>
      <w:r w:rsidRPr="00F56B8E">
        <w:t>%</w:t>
      </w:r>
      <w:r w:rsidR="39756580" w:rsidRPr="00F56B8E">
        <w:t xml:space="preserve"> of the </w:t>
      </w:r>
      <w:r w:rsidR="00196F7E">
        <w:t>measured</w:t>
      </w:r>
      <w:r w:rsidR="39756580" w:rsidRPr="00F56B8E">
        <w:t xml:space="preserve"> </w:t>
      </w:r>
      <w:r w:rsidR="00196F7E">
        <w:t>‘F</w:t>
      </w:r>
      <w:r w:rsidR="39756580" w:rsidRPr="00F56B8E">
        <w:t>ootprint</w:t>
      </w:r>
      <w:r w:rsidR="00196F7E">
        <w:t>’</w:t>
      </w:r>
      <w:r w:rsidRPr="00F56B8E">
        <w:t>).</w:t>
      </w:r>
      <w:r w:rsidRPr="00572CC1">
        <w:t xml:space="preserve"> There are three </w:t>
      </w:r>
      <w:r w:rsidR="00C648E2">
        <w:t>main</w:t>
      </w:r>
      <w:r w:rsidR="00C648E2" w:rsidRPr="00572CC1">
        <w:t xml:space="preserve"> </w:t>
      </w:r>
      <w:r w:rsidRPr="00572CC1">
        <w:t>reasons for staff air travel:</w:t>
      </w:r>
    </w:p>
    <w:p w14:paraId="64FF1A3C" w14:textId="418D877D" w:rsidR="00B517ED" w:rsidRDefault="00217D00" w:rsidP="00B517ED">
      <w:pPr>
        <w:pStyle w:val="Bulletpoints2"/>
      </w:pPr>
      <w:r w:rsidRPr="00217D00">
        <w:t xml:space="preserve">Health </w:t>
      </w:r>
      <w:r>
        <w:t>NZ</w:t>
      </w:r>
      <w:r w:rsidRPr="00217D00">
        <w:t xml:space="preserve"> staff business travel, which includes moving resources</w:t>
      </w:r>
      <w:r w:rsidR="0024328A">
        <w:t xml:space="preserve"> to provide care</w:t>
      </w:r>
      <w:r w:rsidRPr="00217D00">
        <w:t xml:space="preserve">, maintaining team connectivity, and supporting staff development, constitutes </w:t>
      </w:r>
      <w:r w:rsidR="00F37DC6">
        <w:t xml:space="preserve">up to </w:t>
      </w:r>
      <w:r w:rsidR="3509D578">
        <w:t>33</w:t>
      </w:r>
      <w:r w:rsidR="00F37DC6">
        <w:t>,</w:t>
      </w:r>
      <w:r w:rsidR="21AA6843">
        <w:t xml:space="preserve">400 </w:t>
      </w:r>
      <w:r w:rsidR="3DAA94D5">
        <w:t>t</w:t>
      </w:r>
      <w:r w:rsidR="5FD42CE0">
        <w:t>C</w:t>
      </w:r>
      <w:r w:rsidR="3DAA94D5">
        <w:t>O</w:t>
      </w:r>
      <w:r w:rsidR="5FD42CE0" w:rsidRPr="00B517ED">
        <w:rPr>
          <w:vertAlign w:val="subscript"/>
        </w:rPr>
        <w:t>2</w:t>
      </w:r>
      <w:r w:rsidR="5FD42CE0">
        <w:t>e</w:t>
      </w:r>
      <w:r w:rsidR="00F37DC6">
        <w:t xml:space="preserve">, </w:t>
      </w:r>
      <w:r w:rsidRPr="00217D00">
        <w:t xml:space="preserve">approximately </w:t>
      </w:r>
      <w:r w:rsidR="00F37DC6">
        <w:t>&lt;</w:t>
      </w:r>
      <w:r w:rsidR="4C3DB462">
        <w:t>49</w:t>
      </w:r>
      <w:r w:rsidRPr="20E519A0">
        <w:t>%</w:t>
      </w:r>
      <w:r w:rsidRPr="00217D00">
        <w:t xml:space="preserve"> of total air travel emissions</w:t>
      </w:r>
      <w:r w:rsidR="00ED7B53">
        <w:rPr>
          <w:rStyle w:val="FootnoteReference"/>
        </w:rPr>
        <w:footnoteReference w:id="4"/>
      </w:r>
      <w:r w:rsidRPr="00217D00">
        <w:t>.</w:t>
      </w:r>
    </w:p>
    <w:p w14:paraId="3D483BEB" w14:textId="1C28708C" w:rsidR="0073491E" w:rsidRDefault="0073491E" w:rsidP="0073491E">
      <w:pPr>
        <w:pStyle w:val="Bulletpoints2"/>
      </w:pPr>
      <w:r w:rsidRPr="00217D00">
        <w:t xml:space="preserve">A small proportion </w:t>
      </w:r>
      <w:r>
        <w:t xml:space="preserve">of the 49% is created through </w:t>
      </w:r>
      <w:r w:rsidRPr="00217D00">
        <w:t xml:space="preserve">providing support for newly recruited staff from abroad, in accordance with Health </w:t>
      </w:r>
      <w:r>
        <w:t>NZ</w:t>
      </w:r>
      <w:r w:rsidRPr="00217D00">
        <w:t>’s ethical recruitment guidelines and relocation policies.</w:t>
      </w:r>
    </w:p>
    <w:p w14:paraId="1FBE2F47" w14:textId="543033C1" w:rsidR="00B517ED" w:rsidRDefault="00217D00" w:rsidP="00B517ED">
      <w:pPr>
        <w:pStyle w:val="Bulletpoints2"/>
      </w:pPr>
      <w:r w:rsidRPr="00217D00">
        <w:t xml:space="preserve">Continuing Medical Education (CME) for Senior Medical Officers (SMOs) and Resident Medical Officers (RMOs) is a contractual mechanism to facilitate ongoing medical education and the adoption of international best practice. With approximately 10,000 SMOs and RMOs, </w:t>
      </w:r>
      <w:r w:rsidR="001C4CFB">
        <w:t>CME</w:t>
      </w:r>
      <w:r w:rsidR="001C4CFB" w:rsidRPr="00217D00">
        <w:t xml:space="preserve"> </w:t>
      </w:r>
      <w:r w:rsidRPr="00217D00">
        <w:t>accounts for</w:t>
      </w:r>
      <w:r w:rsidR="00F37DC6">
        <w:t xml:space="preserve"> at least </w:t>
      </w:r>
      <w:r w:rsidR="45951F36">
        <w:t xml:space="preserve">19,000 </w:t>
      </w:r>
      <w:r w:rsidR="00F37DC6">
        <w:t>tCO</w:t>
      </w:r>
      <w:r w:rsidR="00F37DC6" w:rsidRPr="00B517ED">
        <w:rPr>
          <w:vertAlign w:val="subscript"/>
        </w:rPr>
        <w:t>2</w:t>
      </w:r>
      <w:r w:rsidR="00F37DC6">
        <w:t>e,</w:t>
      </w:r>
      <w:r w:rsidR="00572CC1">
        <w:t xml:space="preserve"> indicatively</w:t>
      </w:r>
      <w:r w:rsidRPr="00217D00">
        <w:t xml:space="preserve"> </w:t>
      </w:r>
      <w:r w:rsidR="00F37DC6">
        <w:t>&gt;</w:t>
      </w:r>
      <w:r w:rsidR="52F6084B">
        <w:t>28</w:t>
      </w:r>
      <w:r>
        <w:t>%</w:t>
      </w:r>
      <w:r w:rsidRPr="00217D00">
        <w:t xml:space="preserve"> of </w:t>
      </w:r>
      <w:r w:rsidR="00C41DBB">
        <w:t xml:space="preserve">total </w:t>
      </w:r>
      <w:r w:rsidRPr="00217D00">
        <w:t>air travel emissions.</w:t>
      </w:r>
    </w:p>
    <w:p w14:paraId="2280DEF9" w14:textId="3F20B189" w:rsidR="00217D00" w:rsidRPr="00217D00" w:rsidRDefault="00217D00" w:rsidP="00217D00">
      <w:r w:rsidRPr="00572CC1">
        <w:t xml:space="preserve">Patient-funded travel </w:t>
      </w:r>
      <w:r w:rsidR="00C34EEC">
        <w:t xml:space="preserve">(inclusive of funded </w:t>
      </w:r>
      <w:r w:rsidRPr="00572CC1">
        <w:t>accommodation</w:t>
      </w:r>
      <w:r w:rsidR="00C34EEC">
        <w:t>)</w:t>
      </w:r>
      <w:r w:rsidRPr="00572CC1">
        <w:t xml:space="preserve"> is the next largest category, amounting to </w:t>
      </w:r>
      <w:r w:rsidR="68332734" w:rsidRPr="00572CC1">
        <w:t>30,800</w:t>
      </w:r>
      <w:r w:rsidRPr="00F56B8E">
        <w:t xml:space="preserve"> tCO</w:t>
      </w:r>
      <w:r w:rsidRPr="00F56B8E">
        <w:rPr>
          <w:vertAlign w:val="subscript"/>
        </w:rPr>
        <w:t>2</w:t>
      </w:r>
      <w:r w:rsidRPr="00F56B8E">
        <w:t>e (</w:t>
      </w:r>
      <w:r w:rsidR="2D772ED8" w:rsidRPr="00F56B8E">
        <w:t>13</w:t>
      </w:r>
      <w:r w:rsidRPr="00F56B8E">
        <w:t>%</w:t>
      </w:r>
      <w:r w:rsidR="7D14BEA1" w:rsidRPr="00F56B8E">
        <w:t xml:space="preserve"> of the total </w:t>
      </w:r>
      <w:r w:rsidR="00D55422">
        <w:t>‘F</w:t>
      </w:r>
      <w:r w:rsidR="7D14BEA1" w:rsidRPr="00F56B8E">
        <w:t>ootprint</w:t>
      </w:r>
      <w:r w:rsidR="00D55422">
        <w:t>’</w:t>
      </w:r>
      <w:r w:rsidRPr="00F56B8E">
        <w:t>).</w:t>
      </w:r>
      <w:r w:rsidRPr="00572CC1">
        <w:t xml:space="preserve"> This includes emergency transport, transfers between sites, and financial support to ensure that patients</w:t>
      </w:r>
      <w:r w:rsidR="00844927">
        <w:t>’</w:t>
      </w:r>
      <w:r w:rsidRPr="00572CC1">
        <w:t xml:space="preserve"> financial circumstances </w:t>
      </w:r>
      <w:r w:rsidR="00073412" w:rsidRPr="00572CC1">
        <w:t>are not a barrier to</w:t>
      </w:r>
      <w:r w:rsidRPr="00572CC1">
        <w:t xml:space="preserve"> timely access to care. This category encompasses a mix of road transport, such as ambulances and other vehicles, as well as air travel</w:t>
      </w:r>
      <w:r w:rsidRPr="00217D00">
        <w:t xml:space="preserve"> using fixed-wing aircraft and helicopters.</w:t>
      </w:r>
    </w:p>
    <w:p w14:paraId="44F6BB2B" w14:textId="05C8DC9D" w:rsidR="00217D00" w:rsidRPr="00F56B8E" w:rsidRDefault="00217D00" w:rsidP="00581A5C">
      <w:r w:rsidRPr="00217D00">
        <w:t xml:space="preserve">Health </w:t>
      </w:r>
      <w:r w:rsidR="00073412">
        <w:t>NZ</w:t>
      </w:r>
      <w:r w:rsidRPr="00217D00">
        <w:t xml:space="preserve">’s </w:t>
      </w:r>
      <w:r w:rsidR="00C34EEC">
        <w:t xml:space="preserve">vehicle </w:t>
      </w:r>
      <w:r w:rsidRPr="00217D00">
        <w:t xml:space="preserve">fleet comprises approximately 5,000 leased and owned vehicles, making it the largest government fleet in New Zealand. These vehicles are essential for providing community care and transporting staff and materials between sites. In FY22/23, fleet emissions </w:t>
      </w:r>
      <w:r w:rsidR="00073412" w:rsidRPr="00667737">
        <w:t>totalled</w:t>
      </w:r>
      <w:r w:rsidRPr="00667737">
        <w:t xml:space="preserve"> 9,</w:t>
      </w:r>
      <w:r w:rsidR="003066F6" w:rsidRPr="00667737">
        <w:t>2</w:t>
      </w:r>
      <w:r w:rsidR="003066F6">
        <w:t>00</w:t>
      </w:r>
      <w:r w:rsidR="003066F6" w:rsidRPr="00667737">
        <w:t xml:space="preserve"> </w:t>
      </w:r>
      <w:r w:rsidRPr="00667737">
        <w:t>tCO</w:t>
      </w:r>
      <w:r w:rsidRPr="00667737">
        <w:rPr>
          <w:vertAlign w:val="subscript"/>
        </w:rPr>
        <w:t>2</w:t>
      </w:r>
      <w:r w:rsidRPr="00667737">
        <w:t>e (</w:t>
      </w:r>
      <w:r w:rsidR="7915DCF0" w:rsidRPr="00667737">
        <w:t>4</w:t>
      </w:r>
      <w:r w:rsidRPr="00F56B8E">
        <w:t>%).</w:t>
      </w:r>
      <w:r w:rsidR="00676024" w:rsidRPr="00676024">
        <w:t xml:space="preserve"> </w:t>
      </w:r>
    </w:p>
    <w:p w14:paraId="5A0CA3AE" w14:textId="2F9B563E" w:rsidR="0068410F" w:rsidRDefault="00217D00" w:rsidP="0068410F">
      <w:r>
        <w:lastRenderedPageBreak/>
        <w:t xml:space="preserve">In FY23/24, travel-related emissions </w:t>
      </w:r>
      <w:r w:rsidR="2D0A6BBF">
        <w:t>increased</w:t>
      </w:r>
      <w:r>
        <w:t xml:space="preserve"> by </w:t>
      </w:r>
      <w:r w:rsidR="58F8D462">
        <w:t>2,300</w:t>
      </w:r>
      <w:r>
        <w:t xml:space="preserve"> tCO</w:t>
      </w:r>
      <w:r w:rsidRPr="18E7C6E8">
        <w:rPr>
          <w:vertAlign w:val="subscript"/>
        </w:rPr>
        <w:t>2</w:t>
      </w:r>
      <w:r>
        <w:t xml:space="preserve">e, or </w:t>
      </w:r>
      <w:r w:rsidR="6AD68BB4">
        <w:t>3</w:t>
      </w:r>
      <w:r>
        <w:t xml:space="preserve">%, resulting in a total of </w:t>
      </w:r>
      <w:r w:rsidR="6877A1BA">
        <w:t>90</w:t>
      </w:r>
      <w:r>
        <w:t>,</w:t>
      </w:r>
      <w:r w:rsidR="00D811AE">
        <w:t>800tCO</w:t>
      </w:r>
      <w:r w:rsidR="00D811AE" w:rsidRPr="18E7C6E8">
        <w:rPr>
          <w:vertAlign w:val="subscript"/>
        </w:rPr>
        <w:t>2</w:t>
      </w:r>
      <w:r w:rsidR="00D811AE">
        <w:t>e</w:t>
      </w:r>
      <w:r>
        <w:t>.</w:t>
      </w:r>
      <w:r w:rsidR="00416A1C">
        <w:t xml:space="preserve"> </w:t>
      </w:r>
      <w:r w:rsidR="3DAB7876">
        <w:t>T</w:t>
      </w:r>
      <w:r w:rsidR="18FA97CB">
        <w:t>he</w:t>
      </w:r>
      <w:r w:rsidR="54AFFFAB">
        <w:t xml:space="preserve"> overall increase in travel-related emissions is driven by an increase in both staff air</w:t>
      </w:r>
      <w:r w:rsidR="16DBAB8C">
        <w:t xml:space="preserve"> </w:t>
      </w:r>
      <w:r w:rsidR="44162109">
        <w:t>travel</w:t>
      </w:r>
      <w:r w:rsidR="312144A1">
        <w:t xml:space="preserve"> (primarily an increase in CME travel) and </w:t>
      </w:r>
      <w:r w:rsidR="0996A967">
        <w:t>patient funded transport. Increases in patient funded transport emissions are due largely to improved access to services</w:t>
      </w:r>
      <w:r w:rsidR="54C490BF">
        <w:t xml:space="preserve"> and financial support for travel </w:t>
      </w:r>
      <w:r w:rsidR="166E4F25">
        <w:t xml:space="preserve">and </w:t>
      </w:r>
      <w:r w:rsidR="50321CFF">
        <w:t>accommodation</w:t>
      </w:r>
      <w:r w:rsidR="54C490BF">
        <w:t xml:space="preserve"> to attend appointments through the </w:t>
      </w:r>
      <w:r w:rsidR="000909E1">
        <w:t xml:space="preserve">National Travel Assistance (NTA) </w:t>
      </w:r>
      <w:r w:rsidR="54C490BF">
        <w:t xml:space="preserve">programme. </w:t>
      </w:r>
      <w:r w:rsidR="60125092">
        <w:t xml:space="preserve">Increases in emissions related to funded patient transport </w:t>
      </w:r>
      <w:r w:rsidR="3B6663B7">
        <w:t xml:space="preserve">therefore represents an increase in Health NZ taking responsibility for emissions related to patient travel, which had previously </w:t>
      </w:r>
      <w:r w:rsidR="047C9A09">
        <w:t xml:space="preserve">gone unmeasured because Health NZ did not pay for </w:t>
      </w:r>
      <w:r w:rsidR="003B0565">
        <w:t xml:space="preserve">this </w:t>
      </w:r>
      <w:r w:rsidR="047C9A09">
        <w:t xml:space="preserve">travel. </w:t>
      </w:r>
    </w:p>
    <w:p w14:paraId="64B9CE19" w14:textId="3574E630" w:rsidR="0068410F" w:rsidRDefault="0068410F" w:rsidP="0068410F">
      <w:r>
        <w:t>M</w:t>
      </w:r>
      <w:r w:rsidRPr="00C6229A">
        <w:t xml:space="preserve">odelling </w:t>
      </w:r>
      <w:r w:rsidR="00CA3AD6">
        <w:t xml:space="preserve">below (Figure </w:t>
      </w:r>
      <w:r w:rsidR="00D65677">
        <w:t>6</w:t>
      </w:r>
      <w:r w:rsidR="00CA3AD6">
        <w:t xml:space="preserve">) </w:t>
      </w:r>
      <w:r>
        <w:t>demonstrates</w:t>
      </w:r>
      <w:r w:rsidRPr="00C6229A">
        <w:t xml:space="preserve"> a potential pathway to reduce net emissions by nearly </w:t>
      </w:r>
      <w:r w:rsidR="008B67BB">
        <w:t>12</w:t>
      </w:r>
      <w:r w:rsidR="624017C5">
        <w:t>,</w:t>
      </w:r>
      <w:r w:rsidR="008B67BB">
        <w:t>4</w:t>
      </w:r>
      <w:r w:rsidR="624017C5">
        <w:t>0</w:t>
      </w:r>
      <w:r w:rsidR="624017C5" w:rsidRPr="00623556">
        <w:t>0</w:t>
      </w:r>
      <w:r w:rsidRPr="00623556">
        <w:t xml:space="preserve"> tCO</w:t>
      </w:r>
      <w:r w:rsidRPr="00623556">
        <w:rPr>
          <w:vertAlign w:val="subscript"/>
        </w:rPr>
        <w:t>2</w:t>
      </w:r>
      <w:r w:rsidRPr="00623556">
        <w:t>e</w:t>
      </w:r>
      <w:r w:rsidRPr="00C6229A">
        <w:t xml:space="preserve"> by the end of FY26/27, contributing towards the 2030 </w:t>
      </w:r>
      <w:r w:rsidR="009B1E22">
        <w:t>level of ambition</w:t>
      </w:r>
      <w:r w:rsidRPr="00C6229A">
        <w:t>.</w:t>
      </w:r>
    </w:p>
    <w:p w14:paraId="51B35258" w14:textId="6F9C3596" w:rsidR="00B437BD" w:rsidRDefault="00B437BD" w:rsidP="0068410F">
      <w:r>
        <w:rPr>
          <w:noProof/>
        </w:rPr>
        <mc:AlternateContent>
          <mc:Choice Requires="cx1">
            <w:drawing>
              <wp:inline distT="0" distB="0" distL="0" distR="0" wp14:anchorId="56C0BC5E" wp14:editId="270B91C5">
                <wp:extent cx="6035040" cy="5628640"/>
                <wp:effectExtent l="0" t="0" r="3810" b="10160"/>
                <wp:docPr id="430866647" name="Chart 1" descr="Figure 6 Modelling of transport related emissions reduction actions">
                  <a:extLst xmlns:a="http://schemas.openxmlformats.org/drawingml/2006/main">
                    <a:ext uri="{FF2B5EF4-FFF2-40B4-BE49-F238E27FC236}">
                      <a16:creationId xmlns:a16="http://schemas.microsoft.com/office/drawing/2014/main" id="{AE65F90D-ABD8-4608-849B-329C3DDF42F8}"/>
                    </a:ext>
                    <a:ext uri="{147F2762-F138-4A5C-976F-8EAC2B608ADB}">
                      <a16:predDERef xmlns:a16="http://schemas.microsoft.com/office/drawing/2014/main" pred="{0732AFD4-1210-7FC4-C95E-506F12790D1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0"/>
                  </a:graphicData>
                </a:graphic>
              </wp:inline>
            </w:drawing>
          </mc:Choice>
          <mc:Fallback>
            <w:drawing>
              <wp:inline distT="0" distB="0" distL="0" distR="0" wp14:anchorId="56C0BC5E" wp14:editId="270B91C5">
                <wp:extent cx="6035040" cy="5628640"/>
                <wp:effectExtent l="0" t="0" r="3810" b="10160"/>
                <wp:docPr id="430866647" name="Chart 1" descr="Figure 6 Modelling of transport related emissions reduction actions">
                  <a:extLst xmlns:a="http://schemas.openxmlformats.org/drawingml/2006/main">
                    <a:ext uri="{FF2B5EF4-FFF2-40B4-BE49-F238E27FC236}">
                      <a16:creationId xmlns:a16="http://schemas.microsoft.com/office/drawing/2014/main" id="{AE65F90D-ABD8-4608-849B-329C3DDF42F8}"/>
                    </a:ext>
                    <a:ext uri="{147F2762-F138-4A5C-976F-8EAC2B608ADB}">
                      <a16:predDERef xmlns:a16="http://schemas.microsoft.com/office/drawing/2014/main" pred="{0732AFD4-1210-7FC4-C95E-506F12790D1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30866647" name="Chart 1" descr="Figure 6 Modelling of transport related emissions reduction actions">
                          <a:extLst>
                            <a:ext uri="{FF2B5EF4-FFF2-40B4-BE49-F238E27FC236}">
                              <a16:creationId xmlns:a16="http://schemas.microsoft.com/office/drawing/2014/main" id="{AE65F90D-ABD8-4608-849B-329C3DDF42F8}"/>
                            </a:ext>
                            <a:ext uri="{147F2762-F138-4A5C-976F-8EAC2B608ADB}">
                              <a16:predDERef xmlns:a16="http://schemas.microsoft.com/office/drawing/2014/main" pred="{0732AFD4-1210-7FC4-C95E-506F12790D15}"/>
                            </a:ext>
                          </a:extLst>
                        </pic:cNvPr>
                        <pic:cNvPicPr>
                          <a:picLocks noGrp="1" noRot="1" noChangeAspect="1" noMove="1" noResize="1" noEditPoints="1" noAdjustHandles="1" noChangeArrowheads="1" noChangeShapeType="1"/>
                        </pic:cNvPicPr>
                      </pic:nvPicPr>
                      <pic:blipFill>
                        <a:blip r:embed="rId31"/>
                        <a:stretch>
                          <a:fillRect/>
                        </a:stretch>
                      </pic:blipFill>
                      <pic:spPr>
                        <a:xfrm>
                          <a:off x="0" y="0"/>
                          <a:ext cx="6035040" cy="5628640"/>
                        </a:xfrm>
                        <a:prstGeom prst="rect">
                          <a:avLst/>
                        </a:prstGeom>
                      </pic:spPr>
                    </pic:pic>
                  </a:graphicData>
                </a:graphic>
              </wp:inline>
            </w:drawing>
          </mc:Fallback>
        </mc:AlternateContent>
      </w:r>
    </w:p>
    <w:p w14:paraId="17806952" w14:textId="6BFC4373" w:rsidR="00416A1C" w:rsidRDefault="00416A1C" w:rsidP="008F6876">
      <w:pPr>
        <w:pStyle w:val="Figure"/>
      </w:pPr>
      <w:bookmarkStart w:id="54" w:name="_Toc198286804"/>
      <w:r>
        <w:t xml:space="preserve">Figure </w:t>
      </w:r>
      <w:r>
        <w:fldChar w:fldCharType="begin"/>
      </w:r>
      <w:r>
        <w:instrText xml:space="preserve"> SEQ Figure \* ARABIC </w:instrText>
      </w:r>
      <w:r>
        <w:fldChar w:fldCharType="separate"/>
      </w:r>
      <w:r w:rsidR="008B20C4">
        <w:rPr>
          <w:noProof/>
        </w:rPr>
        <w:t>6</w:t>
      </w:r>
      <w:r>
        <w:fldChar w:fldCharType="end"/>
      </w:r>
      <w:r>
        <w:t xml:space="preserve"> </w:t>
      </w:r>
      <w:r w:rsidR="000330FA">
        <w:t>Modelling</w:t>
      </w:r>
      <w:r>
        <w:t xml:space="preserve"> of transport related </w:t>
      </w:r>
      <w:r w:rsidR="00980AF6">
        <w:t>emissions</w:t>
      </w:r>
      <w:r>
        <w:t xml:space="preserve"> reduction actions</w:t>
      </w:r>
      <w:bookmarkEnd w:id="54"/>
    </w:p>
    <w:p w14:paraId="0A0F198C" w14:textId="1D24679A" w:rsidR="00A15FA5" w:rsidRDefault="00A15FA5" w:rsidP="00A15FA5">
      <w:pPr>
        <w:pStyle w:val="Section2Heading2"/>
      </w:pPr>
      <w:bookmarkStart w:id="55" w:name="_Toc204940783"/>
      <w:r>
        <w:lastRenderedPageBreak/>
        <w:t>Progress and ways of working</w:t>
      </w:r>
      <w:bookmarkEnd w:id="55"/>
      <w:r>
        <w:t xml:space="preserve"> </w:t>
      </w:r>
    </w:p>
    <w:p w14:paraId="630F3657" w14:textId="5F8172EA" w:rsidR="00A15FA5" w:rsidRDefault="00E35674" w:rsidP="00E02A49">
      <w:r>
        <w:t>Health NZ already has various policies and process</w:t>
      </w:r>
      <w:r w:rsidR="00CC05DD">
        <w:t>es</w:t>
      </w:r>
      <w:r>
        <w:t xml:space="preserve"> in place that will affect </w:t>
      </w:r>
      <w:r w:rsidR="00724ED3">
        <w:t xml:space="preserve">travel and transport </w:t>
      </w:r>
      <w:r>
        <w:t xml:space="preserve">emissions over time. </w:t>
      </w:r>
    </w:p>
    <w:p w14:paraId="7CB64A96" w14:textId="4941FFE2" w:rsidR="00BB5908" w:rsidRPr="00602FC0" w:rsidRDefault="00F30E1F" w:rsidP="00BB5908">
      <w:r w:rsidRPr="00F30E1F">
        <w:t xml:space="preserve">In 2024, Health </w:t>
      </w:r>
      <w:r w:rsidR="00073412">
        <w:t>NZ</w:t>
      </w:r>
      <w:r w:rsidRPr="00F30E1F">
        <w:t xml:space="preserve"> developed a harmoni</w:t>
      </w:r>
      <w:r w:rsidR="00073412">
        <w:t>s</w:t>
      </w:r>
      <w:r w:rsidRPr="00F30E1F">
        <w:t xml:space="preserve">ed Business Travel Policy and Guidelines as part of ongoing measures to enhance controls and budgetary processes aimed at reducing business travel. </w:t>
      </w:r>
      <w:r w:rsidR="00BB5908" w:rsidRPr="00602FC0">
        <w:t xml:space="preserve">Health </w:t>
      </w:r>
      <w:r w:rsidR="00BB5908">
        <w:t>NZ</w:t>
      </w:r>
      <w:r w:rsidR="00BB5908" w:rsidRPr="00602FC0">
        <w:t>’s ‘Relocation Direction’ reviewed in 2024, will only support economy class flights for new internationally recruited staff traveling to Aotearoa New Zealand.</w:t>
      </w:r>
    </w:p>
    <w:p w14:paraId="78F89B13" w14:textId="3FE968E5" w:rsidR="00FF10EE" w:rsidRDefault="00FF10EE" w:rsidP="00FF10EE">
      <w:r>
        <w:t xml:space="preserve">Currently, </w:t>
      </w:r>
      <w:r w:rsidRPr="00F30E1F">
        <w:t xml:space="preserve">the National Travel Assistance </w:t>
      </w:r>
      <w:r>
        <w:t xml:space="preserve">Scheme is being improved </w:t>
      </w:r>
      <w:r w:rsidRPr="00F30E1F">
        <w:t xml:space="preserve">to </w:t>
      </w:r>
      <w:r>
        <w:t>better target those who need it most, improve awareness and make it easier to use</w:t>
      </w:r>
      <w:r w:rsidRPr="00F30E1F">
        <w:t xml:space="preserve">. While this may temporarily increase </w:t>
      </w:r>
      <w:r w:rsidR="00672651">
        <w:t xml:space="preserve">funded patient travel emissions by up to 15% </w:t>
      </w:r>
      <w:r w:rsidR="005B73AE">
        <w:t>(within the ‘Footprint’)</w:t>
      </w:r>
      <w:r w:rsidR="00141D33">
        <w:t>,</w:t>
      </w:r>
      <w:r w:rsidR="005B73AE">
        <w:t xml:space="preserve"> </w:t>
      </w:r>
      <w:r w:rsidR="00141D33">
        <w:t>t</w:t>
      </w:r>
      <w:r w:rsidR="005B73AE">
        <w:t xml:space="preserve">he </w:t>
      </w:r>
      <w:r w:rsidRPr="00F30E1F">
        <w:t xml:space="preserve">net increase in emissions </w:t>
      </w:r>
      <w:r>
        <w:t xml:space="preserve">will be </w:t>
      </w:r>
      <w:r w:rsidR="00102779">
        <w:t xml:space="preserve">negligible </w:t>
      </w:r>
      <w:r>
        <w:t xml:space="preserve">as </w:t>
      </w:r>
      <w:r w:rsidR="00102779">
        <w:t>t</w:t>
      </w:r>
      <w:r w:rsidR="004F2D20">
        <w:t>hi</w:t>
      </w:r>
      <w:r w:rsidR="00102779">
        <w:t>s will primar</w:t>
      </w:r>
      <w:r w:rsidR="00D65677">
        <w:t>il</w:t>
      </w:r>
      <w:r w:rsidR="00102779">
        <w:t xml:space="preserve">y </w:t>
      </w:r>
      <w:r w:rsidRPr="00F30E1F">
        <w:t xml:space="preserve">shift emissions from the unmeasured ‘Footprint Plus’ </w:t>
      </w:r>
      <w:r w:rsidR="004F2D20">
        <w:t>group</w:t>
      </w:r>
      <w:r w:rsidRPr="00F30E1F">
        <w:t xml:space="preserve"> </w:t>
      </w:r>
      <w:r w:rsidR="007E3BD0">
        <w:t xml:space="preserve">(from patient </w:t>
      </w:r>
      <w:r w:rsidR="001F02E3">
        <w:t xml:space="preserve">private </w:t>
      </w:r>
      <w:r w:rsidR="007E3BD0">
        <w:t xml:space="preserve">travel) </w:t>
      </w:r>
      <w:r w:rsidRPr="00F30E1F">
        <w:t>into the ‘Footprint’. However, through the development of further policy settings, emissions management will be a key consideration to minimi</w:t>
      </w:r>
      <w:r w:rsidR="001044B7">
        <w:t>s</w:t>
      </w:r>
      <w:r w:rsidRPr="00F30E1F">
        <w:t>e this impact</w:t>
      </w:r>
      <w:r>
        <w:t xml:space="preserve"> (e.g. booking multiple appointments on the same day)</w:t>
      </w:r>
      <w:r w:rsidRPr="00F30E1F">
        <w:t>. As previously mentioned, timely intervention is crucial to delay, reduce, or potentially avoid the need for more intensive treatments in the future.</w:t>
      </w:r>
    </w:p>
    <w:p w14:paraId="03B77AC8" w14:textId="57A9FACB" w:rsidR="00676024" w:rsidRDefault="007A0AC4" w:rsidP="004B3037">
      <w:r w:rsidRPr="007A0AC4">
        <w:t xml:space="preserve">Optimising and transitioning Health NZ’s fleet to </w:t>
      </w:r>
      <w:r w:rsidR="00273C31">
        <w:t>lower emissions</w:t>
      </w:r>
      <w:r w:rsidRPr="007A0AC4">
        <w:t xml:space="preserve"> </w:t>
      </w:r>
      <w:r w:rsidR="00273C31">
        <w:t>v</w:t>
      </w:r>
      <w:r w:rsidRPr="007A0AC4">
        <w:t>ehicles provides an opportunity for decarbonisation. Under CNGP guidelines, government fleets are required to optimise their size and reduce their reliance on fossil fuels</w:t>
      </w:r>
      <w:r w:rsidR="00834CFA">
        <w:t xml:space="preserve"> where possible</w:t>
      </w:r>
      <w:r w:rsidRPr="007A0AC4">
        <w:t>.</w:t>
      </w:r>
    </w:p>
    <w:p w14:paraId="33EFC7A1" w14:textId="242402E7" w:rsidR="00E824F4" w:rsidRDefault="00676024" w:rsidP="004B3037">
      <w:r w:rsidRPr="007A0AC4">
        <w:t xml:space="preserve">Currently, </w:t>
      </w:r>
      <w:r w:rsidR="00834CFA">
        <w:t>~</w:t>
      </w:r>
      <w:r w:rsidRPr="007A0AC4">
        <w:t>17% of Health NZ’s fleet comprises BEVs, this transition has been supported by grants and funding from EECA</w:t>
      </w:r>
      <w:r>
        <w:t xml:space="preserve">. Since FY20/21 EECA’s State Sector Decarbonisation Fund has helped purchase 368 and lease 340 BEVs. This has been enabled through </w:t>
      </w:r>
      <w:r w:rsidRPr="00581A5C">
        <w:t xml:space="preserve">EECA funding </w:t>
      </w:r>
      <w:r>
        <w:t>for</w:t>
      </w:r>
      <w:r w:rsidRPr="00581A5C">
        <w:t xml:space="preserve"> </w:t>
      </w:r>
      <w:r>
        <w:t>f</w:t>
      </w:r>
      <w:r w:rsidRPr="00581A5C">
        <w:t xml:space="preserve">leet </w:t>
      </w:r>
      <w:r>
        <w:t>a</w:t>
      </w:r>
      <w:r w:rsidRPr="00581A5C">
        <w:t>udit/optimisation studies and site charging infrastructure assessments (mix of reports across motu)</w:t>
      </w:r>
      <w:r>
        <w:t xml:space="preserve">. </w:t>
      </w:r>
      <w:r w:rsidR="007E18BA">
        <w:t>Our current approach is to</w:t>
      </w:r>
      <w:r w:rsidR="00E824F4">
        <w:t>:</w:t>
      </w:r>
    </w:p>
    <w:p w14:paraId="4DE2788B" w14:textId="529EC72D" w:rsidR="00E824F4" w:rsidRDefault="00E824F4" w:rsidP="003E7E00">
      <w:pPr>
        <w:pStyle w:val="ListParagraph"/>
        <w:numPr>
          <w:ilvl w:val="0"/>
          <w:numId w:val="14"/>
        </w:numPr>
      </w:pPr>
      <w:r>
        <w:t xml:space="preserve">Replace </w:t>
      </w:r>
      <w:r w:rsidR="000353E3">
        <w:t xml:space="preserve">Internal Combustion Engine vehicles (ICE) </w:t>
      </w:r>
      <w:r>
        <w:t xml:space="preserve">with </w:t>
      </w:r>
      <w:r w:rsidR="00424356">
        <w:t>lower emissions vehicles</w:t>
      </w:r>
    </w:p>
    <w:p w14:paraId="1BFF3C5F" w14:textId="2C21A5FC" w:rsidR="00E824F4" w:rsidRDefault="007A0AC4" w:rsidP="003E7E00">
      <w:pPr>
        <w:pStyle w:val="ListParagraph"/>
        <w:numPr>
          <w:ilvl w:val="0"/>
          <w:numId w:val="14"/>
        </w:numPr>
      </w:pPr>
      <w:r w:rsidRPr="007A0AC4">
        <w:t xml:space="preserve">Where ICE vehicle replacements are necessary </w:t>
      </w:r>
      <w:r w:rsidR="00A7349F">
        <w:t xml:space="preserve">it is likely the solution will </w:t>
      </w:r>
      <w:r w:rsidRPr="007A0AC4">
        <w:t xml:space="preserve">be Hybrid (on capital budget availability grounds), noting that a circa 40% reduction in </w:t>
      </w:r>
      <w:r w:rsidR="003066F6">
        <w:t>operational</w:t>
      </w:r>
      <w:r w:rsidRPr="007A0AC4">
        <w:t xml:space="preserve"> emissions is inherent with this option. </w:t>
      </w:r>
    </w:p>
    <w:p w14:paraId="5D441576" w14:textId="18A129BA" w:rsidR="00166612" w:rsidRDefault="00E824F4" w:rsidP="003E7E00">
      <w:pPr>
        <w:pStyle w:val="ListParagraph"/>
        <w:numPr>
          <w:ilvl w:val="0"/>
          <w:numId w:val="14"/>
        </w:numPr>
      </w:pPr>
      <w:r>
        <w:t>As costs</w:t>
      </w:r>
      <w:r w:rsidR="00166612">
        <w:t xml:space="preserve"> continue to reduce for BEVs and </w:t>
      </w:r>
      <w:r w:rsidR="00FF4694">
        <w:t>when they are</w:t>
      </w:r>
      <w:r w:rsidR="007A0AC4" w:rsidRPr="007A0AC4">
        <w:t xml:space="preserve"> the same cost or less (including BEV charging infrastructure), a BEV will be selected unless there is an overriding operational requirement not to do so, such as the availability of BEVs in the required size, complex terrain and range demands, resilience </w:t>
      </w:r>
      <w:r w:rsidR="00520C2F">
        <w:t>issues</w:t>
      </w:r>
      <w:r w:rsidR="007A0AC4" w:rsidRPr="007A0AC4">
        <w:t xml:space="preserve">, or access to reliable charging infrastructure. </w:t>
      </w:r>
    </w:p>
    <w:p w14:paraId="6A99B6D3" w14:textId="3751C375" w:rsidR="008F6876" w:rsidRPr="00170985" w:rsidRDefault="007F79DE" w:rsidP="007F79DE">
      <w:r w:rsidRPr="00170985">
        <w:t>A fleet optimisation plan is under development to improve the tracking, management, and utilisation of the fleet. This plan has the potential to reduce the fleet size and will help lower emissions by removing the oldest, higher-emissions vehicles from our fleet.</w:t>
      </w:r>
    </w:p>
    <w:p w14:paraId="1F584A84" w14:textId="3FEA05C4" w:rsidR="00E30FB1" w:rsidRDefault="004D6CE5" w:rsidP="00602FC0">
      <w:pPr>
        <w:pStyle w:val="Section2Heading2"/>
      </w:pPr>
      <w:bookmarkStart w:id="56" w:name="_Toc204940784"/>
      <w:r>
        <w:lastRenderedPageBreak/>
        <w:t>Transport</w:t>
      </w:r>
      <w:r w:rsidR="000740F3">
        <w:t>-related</w:t>
      </w:r>
      <w:r>
        <w:t xml:space="preserve"> a</w:t>
      </w:r>
      <w:r w:rsidR="00E30FB1">
        <w:t>ctions</w:t>
      </w:r>
      <w:bookmarkEnd w:id="56"/>
    </w:p>
    <w:p w14:paraId="71348BCC" w14:textId="03339ABD" w:rsidR="00E30FB1" w:rsidRDefault="00455C52" w:rsidP="008F6876">
      <w:pPr>
        <w:pStyle w:val="Figure"/>
      </w:pPr>
      <w:bookmarkStart w:id="57" w:name="_Toc198286792"/>
      <w:r>
        <w:t xml:space="preserve">Table </w:t>
      </w:r>
      <w:r>
        <w:fldChar w:fldCharType="begin"/>
      </w:r>
      <w:r>
        <w:instrText xml:space="preserve"> SEQ Table \* ARABIC </w:instrText>
      </w:r>
      <w:r>
        <w:fldChar w:fldCharType="separate"/>
      </w:r>
      <w:r w:rsidR="008B20C4">
        <w:rPr>
          <w:noProof/>
        </w:rPr>
        <w:t>10</w:t>
      </w:r>
      <w:r>
        <w:fldChar w:fldCharType="end"/>
      </w:r>
      <w:r>
        <w:t xml:space="preserve"> </w:t>
      </w:r>
      <w:r w:rsidR="002B61E4">
        <w:t>T</w:t>
      </w:r>
      <w:r>
        <w:t>ransport related emission</w:t>
      </w:r>
      <w:r w:rsidR="00AE08BC">
        <w:t>s</w:t>
      </w:r>
      <w:r>
        <w:t xml:space="preserve"> action</w:t>
      </w:r>
      <w:r w:rsidR="00AE08BC">
        <w:t>s</w:t>
      </w:r>
      <w:bookmarkEnd w:id="57"/>
      <w:r>
        <w:t xml:space="preserve"> </w:t>
      </w:r>
    </w:p>
    <w:tbl>
      <w:tblPr>
        <w:tblStyle w:val="TeWhatuOra"/>
        <w:tblW w:w="5000" w:type="pct"/>
        <w:tblLook w:val="04A0" w:firstRow="1" w:lastRow="0" w:firstColumn="1" w:lastColumn="0" w:noHBand="0" w:noVBand="1"/>
      </w:tblPr>
      <w:tblGrid>
        <w:gridCol w:w="799"/>
        <w:gridCol w:w="2023"/>
        <w:gridCol w:w="2804"/>
        <w:gridCol w:w="1920"/>
        <w:gridCol w:w="2092"/>
      </w:tblGrid>
      <w:tr w:rsidR="00D43411" w:rsidRPr="00653A18" w14:paraId="47A90720" w14:textId="77777777" w:rsidTr="002634FF">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806" w:type="dxa"/>
          </w:tcPr>
          <w:p w14:paraId="54A0084E" w14:textId="77777777" w:rsidR="00E30FB1" w:rsidRPr="00653A18" w:rsidRDefault="00E30FB1">
            <w:pPr>
              <w:spacing w:before="0" w:after="160" w:line="259" w:lineRule="auto"/>
            </w:pPr>
            <w:r>
              <w:t>Ref</w:t>
            </w:r>
          </w:p>
        </w:tc>
        <w:tc>
          <w:tcPr>
            <w:tcW w:w="2040" w:type="dxa"/>
          </w:tcPr>
          <w:p w14:paraId="1A6B873C" w14:textId="77777777" w:rsidR="00E30FB1" w:rsidRPr="00653A18" w:rsidRDefault="00E30FB1">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2841" w:type="dxa"/>
          </w:tcPr>
          <w:p w14:paraId="2A2FB5AE" w14:textId="77777777" w:rsidR="00E30FB1" w:rsidRPr="00653A18" w:rsidRDefault="00E30FB1">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924" w:type="dxa"/>
          </w:tcPr>
          <w:p w14:paraId="0359A67C" w14:textId="77777777" w:rsidR="00E30FB1" w:rsidRDefault="00E30FB1">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2119" w:type="dxa"/>
          </w:tcPr>
          <w:p w14:paraId="2154A775" w14:textId="77777777" w:rsidR="00E30FB1" w:rsidRDefault="00E30FB1">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115DF3" w:rsidRPr="00653A18" w14:paraId="2D2A8905" w14:textId="77777777" w:rsidTr="002634FF">
        <w:trPr>
          <w:cantSplit/>
          <w:trHeight w:val="1169"/>
        </w:trPr>
        <w:tc>
          <w:tcPr>
            <w:cnfStyle w:val="001000000000" w:firstRow="0" w:lastRow="0" w:firstColumn="1" w:lastColumn="0" w:oddVBand="0" w:evenVBand="0" w:oddHBand="0" w:evenHBand="0" w:firstRowFirstColumn="0" w:firstRowLastColumn="0" w:lastRowFirstColumn="0" w:lastRowLastColumn="0"/>
            <w:tcW w:w="806" w:type="dxa"/>
            <w:vAlign w:val="center"/>
          </w:tcPr>
          <w:p w14:paraId="3A832560" w14:textId="595BD726" w:rsidR="00CE1201" w:rsidRPr="003E4115" w:rsidRDefault="00CE1201" w:rsidP="00BD66DC">
            <w:pPr>
              <w:spacing w:before="0" w:after="160" w:line="259" w:lineRule="auto"/>
              <w:rPr>
                <w:b w:val="0"/>
                <w:bCs/>
              </w:rPr>
            </w:pPr>
            <w:r w:rsidRPr="003E4115">
              <w:rPr>
                <w:b w:val="0"/>
                <w:bCs/>
              </w:rPr>
              <w:t>F1</w:t>
            </w:r>
          </w:p>
        </w:tc>
        <w:tc>
          <w:tcPr>
            <w:tcW w:w="2040" w:type="dxa"/>
            <w:vAlign w:val="center"/>
          </w:tcPr>
          <w:p w14:paraId="543DAA0B" w14:textId="6A4FA655" w:rsidR="00CE1201" w:rsidRPr="003961EB" w:rsidRDefault="00CE1201"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t>Vehicle Fleet Policy</w:t>
            </w:r>
          </w:p>
        </w:tc>
        <w:tc>
          <w:tcPr>
            <w:tcW w:w="2841" w:type="dxa"/>
            <w:vAlign w:val="center"/>
          </w:tcPr>
          <w:p w14:paraId="5CB13D7D" w14:textId="09A8B024" w:rsidR="00CE1201" w:rsidRPr="003961EB" w:rsidRDefault="00CE1201" w:rsidP="00CE1201">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t xml:space="preserve">Draft for internal consultation ready </w:t>
            </w:r>
            <w:r w:rsidR="00BA06D4">
              <w:t xml:space="preserve">October </w:t>
            </w:r>
            <w:r>
              <w:t xml:space="preserve">2025, with finalisation and implementation planned for </w:t>
            </w:r>
            <w:r w:rsidR="00050CED">
              <w:t>February 2026</w:t>
            </w:r>
            <w:r>
              <w:t>.</w:t>
            </w:r>
          </w:p>
        </w:tc>
        <w:tc>
          <w:tcPr>
            <w:tcW w:w="1924" w:type="dxa"/>
            <w:vAlign w:val="center"/>
          </w:tcPr>
          <w:p w14:paraId="1690C7EB" w14:textId="6416673E" w:rsidR="00CE1201" w:rsidRPr="00653A18" w:rsidRDefault="00CE1201" w:rsidP="00CE1201">
            <w:pPr>
              <w:spacing w:before="0" w:after="160" w:line="259" w:lineRule="auto"/>
              <w:cnfStyle w:val="000000000000" w:firstRow="0" w:lastRow="0" w:firstColumn="0" w:lastColumn="0" w:oddVBand="0" w:evenVBand="0" w:oddHBand="0" w:evenHBand="0" w:firstRowFirstColumn="0" w:firstRowLastColumn="0" w:lastRowFirstColumn="0" w:lastRowLastColumn="0"/>
            </w:pPr>
            <w:r>
              <w:t>Fleet Transition and Optimisation Manager</w:t>
            </w:r>
          </w:p>
        </w:tc>
        <w:tc>
          <w:tcPr>
            <w:tcW w:w="2119" w:type="dxa"/>
            <w:vAlign w:val="center"/>
          </w:tcPr>
          <w:p w14:paraId="4B523E3D" w14:textId="139436E1" w:rsidR="00CE1201" w:rsidRPr="00653A18" w:rsidRDefault="009F30CC" w:rsidP="00CE1201">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February </w:t>
            </w:r>
            <w:r w:rsidR="00CE1201">
              <w:t>202</w:t>
            </w:r>
            <w:r>
              <w:t>6</w:t>
            </w:r>
          </w:p>
        </w:tc>
      </w:tr>
      <w:tr w:rsidR="00115DF3" w:rsidRPr="00653A18" w14:paraId="6AA83698" w14:textId="77777777" w:rsidTr="002634FF">
        <w:trPr>
          <w:cantSplit/>
          <w:trHeight w:val="1169"/>
        </w:trPr>
        <w:tc>
          <w:tcPr>
            <w:cnfStyle w:val="001000000000" w:firstRow="0" w:lastRow="0" w:firstColumn="1" w:lastColumn="0" w:oddVBand="0" w:evenVBand="0" w:oddHBand="0" w:evenHBand="0" w:firstRowFirstColumn="0" w:firstRowLastColumn="0" w:lastRowFirstColumn="0" w:lastRowLastColumn="0"/>
            <w:tcW w:w="806" w:type="dxa"/>
            <w:vAlign w:val="center"/>
          </w:tcPr>
          <w:p w14:paraId="53D75D02" w14:textId="3478D073" w:rsidR="005440DB" w:rsidRPr="003E4115" w:rsidRDefault="00CE1201" w:rsidP="00BD66DC">
            <w:pPr>
              <w:spacing w:before="0" w:after="160" w:line="259" w:lineRule="auto"/>
              <w:rPr>
                <w:b w:val="0"/>
                <w:bCs/>
              </w:rPr>
            </w:pPr>
            <w:r w:rsidRPr="003E4115">
              <w:rPr>
                <w:b w:val="0"/>
                <w:bCs/>
              </w:rPr>
              <w:t>F2</w:t>
            </w:r>
          </w:p>
        </w:tc>
        <w:tc>
          <w:tcPr>
            <w:tcW w:w="2040" w:type="dxa"/>
            <w:vAlign w:val="center"/>
          </w:tcPr>
          <w:p w14:paraId="0817E78D" w14:textId="19E19882" w:rsidR="005440DB" w:rsidRPr="00170985" w:rsidRDefault="005440DB"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strike/>
              </w:rPr>
            </w:pPr>
            <w:r>
              <w:rPr>
                <w:bCs/>
              </w:rPr>
              <w:t>Complete the Fleet Optimisation Plan</w:t>
            </w:r>
          </w:p>
        </w:tc>
        <w:tc>
          <w:tcPr>
            <w:tcW w:w="2841" w:type="dxa"/>
            <w:vAlign w:val="center"/>
          </w:tcPr>
          <w:p w14:paraId="26167F2F" w14:textId="6D962003" w:rsidR="00064A6B" w:rsidRDefault="00064A6B" w:rsidP="005440D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Phase 1:</w:t>
            </w:r>
            <w:r w:rsidR="005440DB">
              <w:rPr>
                <w:bCs/>
              </w:rPr>
              <w:t>Identify opportunities to optimise the fleet and release the oldest / most emissions intensive vehicles.</w:t>
            </w:r>
            <w:r w:rsidR="00E74F2D">
              <w:rPr>
                <w:bCs/>
              </w:rPr>
              <w:t xml:space="preserve"> </w:t>
            </w:r>
            <w:r w:rsidR="00204C00">
              <w:rPr>
                <w:bCs/>
              </w:rPr>
              <w:t>Bas</w:t>
            </w:r>
            <w:r w:rsidR="00A91E71">
              <w:rPr>
                <w:bCs/>
              </w:rPr>
              <w:t>e</w:t>
            </w:r>
            <w:r>
              <w:rPr>
                <w:bCs/>
              </w:rPr>
              <w:t>d on available data</w:t>
            </w:r>
            <w:r w:rsidR="00A91E71">
              <w:rPr>
                <w:bCs/>
              </w:rPr>
              <w:t>.</w:t>
            </w:r>
          </w:p>
          <w:p w14:paraId="45F3756F" w14:textId="6F5DDEB0" w:rsidR="00A91E71" w:rsidRDefault="00A91E71" w:rsidP="005440D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A91E71">
              <w:rPr>
                <w:bCs/>
              </w:rPr>
              <w:t>Phase 2: Identify opportunities to optimise the fleet utilising enhanced data from Telematics systems installed throughout the fleet.</w:t>
            </w:r>
          </w:p>
          <w:p w14:paraId="181ACD30" w14:textId="40DCEEAF" w:rsidR="005440DB" w:rsidRPr="00170985" w:rsidRDefault="005440DB" w:rsidP="005440DB">
            <w:pPr>
              <w:spacing w:before="0" w:after="160" w:line="259" w:lineRule="auto"/>
              <w:cnfStyle w:val="000000000000" w:firstRow="0" w:lastRow="0" w:firstColumn="0" w:lastColumn="0" w:oddVBand="0" w:evenVBand="0" w:oddHBand="0" w:evenHBand="0" w:firstRowFirstColumn="0" w:firstRowLastColumn="0" w:lastRowFirstColumn="0" w:lastRowLastColumn="0"/>
              <w:rPr>
                <w:strike/>
              </w:rPr>
            </w:pPr>
            <w:r>
              <w:rPr>
                <w:bCs/>
              </w:rPr>
              <w:t xml:space="preserve">Note: </w:t>
            </w:r>
            <w:r w:rsidR="00D56853">
              <w:rPr>
                <w:bCs/>
              </w:rPr>
              <w:t>i</w:t>
            </w:r>
            <w:r>
              <w:rPr>
                <w:bCs/>
              </w:rPr>
              <w:t xml:space="preserve">nformed by the draft Vehicle Fleet policy due </w:t>
            </w:r>
            <w:r w:rsidR="008A60D1">
              <w:rPr>
                <w:bCs/>
              </w:rPr>
              <w:t xml:space="preserve">October </w:t>
            </w:r>
            <w:r>
              <w:rPr>
                <w:bCs/>
              </w:rPr>
              <w:t>2025.</w:t>
            </w:r>
          </w:p>
        </w:tc>
        <w:tc>
          <w:tcPr>
            <w:tcW w:w="1924" w:type="dxa"/>
            <w:vAlign w:val="center"/>
          </w:tcPr>
          <w:p w14:paraId="573E706B" w14:textId="0404D911" w:rsidR="005440DB" w:rsidRPr="00170985" w:rsidRDefault="005440DB" w:rsidP="005440DB">
            <w:pPr>
              <w:spacing w:before="0" w:after="160" w:line="259" w:lineRule="auto"/>
              <w:cnfStyle w:val="000000000000" w:firstRow="0" w:lastRow="0" w:firstColumn="0" w:lastColumn="0" w:oddVBand="0" w:evenVBand="0" w:oddHBand="0" w:evenHBand="0" w:firstRowFirstColumn="0" w:firstRowLastColumn="0" w:lastRowFirstColumn="0" w:lastRowLastColumn="0"/>
              <w:rPr>
                <w:strike/>
              </w:rPr>
            </w:pPr>
            <w:r>
              <w:t>Fleet Transition and Optimisation Manager</w:t>
            </w:r>
          </w:p>
        </w:tc>
        <w:tc>
          <w:tcPr>
            <w:tcW w:w="2119" w:type="dxa"/>
            <w:vAlign w:val="center"/>
          </w:tcPr>
          <w:p w14:paraId="32F9FD2F" w14:textId="409227C8" w:rsidR="002E7F00" w:rsidRDefault="002E7F00" w:rsidP="001B5E81">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1B5E81">
              <w:t xml:space="preserve">Phase 1: </w:t>
            </w:r>
            <w:r w:rsidR="00223102">
              <w:t>December</w:t>
            </w:r>
            <w:r w:rsidRPr="001B5E81">
              <w:t xml:space="preserve"> 2025 </w:t>
            </w:r>
          </w:p>
          <w:p w14:paraId="116BABBD" w14:textId="0E926312" w:rsidR="005440DB" w:rsidRPr="00170985" w:rsidRDefault="002E7F00" w:rsidP="005440DB">
            <w:pPr>
              <w:spacing w:before="0" w:after="160" w:line="259" w:lineRule="auto"/>
              <w:cnfStyle w:val="000000000000" w:firstRow="0" w:lastRow="0" w:firstColumn="0" w:lastColumn="0" w:oddVBand="0" w:evenVBand="0" w:oddHBand="0" w:evenHBand="0" w:firstRowFirstColumn="0" w:firstRowLastColumn="0" w:lastRowFirstColumn="0" w:lastRowLastColumn="0"/>
              <w:rPr>
                <w:strike/>
              </w:rPr>
            </w:pPr>
            <w:r w:rsidRPr="00504C83">
              <w:t>Phase 2: FY2026/27</w:t>
            </w:r>
          </w:p>
        </w:tc>
      </w:tr>
      <w:tr w:rsidR="00115DF3" w:rsidRPr="00653A18" w14:paraId="306EB585" w14:textId="77777777" w:rsidTr="002634FF">
        <w:trPr>
          <w:cantSplit/>
          <w:trHeight w:val="161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4CDBD941" w14:textId="47D8D6C2" w:rsidR="00E30FB1" w:rsidRPr="003E4115" w:rsidRDefault="007329E0" w:rsidP="00BD66DC">
            <w:pPr>
              <w:spacing w:before="0" w:after="160" w:line="259" w:lineRule="auto"/>
              <w:rPr>
                <w:b w:val="0"/>
                <w:bCs/>
              </w:rPr>
            </w:pPr>
            <w:r w:rsidRPr="003E4115">
              <w:rPr>
                <w:b w:val="0"/>
                <w:bCs/>
              </w:rPr>
              <w:t>PF1</w:t>
            </w:r>
          </w:p>
        </w:tc>
        <w:tc>
          <w:tcPr>
            <w:tcW w:w="2040" w:type="dxa"/>
            <w:vAlign w:val="center"/>
          </w:tcPr>
          <w:p w14:paraId="292A6017" w14:textId="1AB7AEF5" w:rsidR="00E30FB1" w:rsidRDefault="007329E0"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Use sustainability as a lens to policy settings within the </w:t>
            </w:r>
            <w:r w:rsidR="00C27F07" w:rsidRPr="00FA357B">
              <w:t xml:space="preserve">National Travel Assistance Claims </w:t>
            </w:r>
            <w:r w:rsidR="005B083D">
              <w:t>P</w:t>
            </w:r>
            <w:r w:rsidR="00C27F07" w:rsidRPr="00FA357B">
              <w:t>olicy</w:t>
            </w:r>
            <w:r>
              <w:rPr>
                <w:bCs/>
              </w:rPr>
              <w:t xml:space="preserve"> </w:t>
            </w:r>
            <w:r w:rsidR="00503DBA">
              <w:rPr>
                <w:bCs/>
              </w:rPr>
              <w:t>and associated approaches to travel coordination</w:t>
            </w:r>
          </w:p>
        </w:tc>
        <w:tc>
          <w:tcPr>
            <w:tcW w:w="2841" w:type="dxa"/>
            <w:vAlign w:val="center"/>
          </w:tcPr>
          <w:p w14:paraId="59B52526" w14:textId="7DF3DD24" w:rsidR="00E30FB1" w:rsidRDefault="005B083D">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To identify opportunities to </w:t>
            </w:r>
            <w:r w:rsidR="00482E52">
              <w:rPr>
                <w:bCs/>
              </w:rPr>
              <w:t>mitigate the potential rise in measured NTA emissions in the ‘Footprint’</w:t>
            </w:r>
            <w:r>
              <w:rPr>
                <w:bCs/>
              </w:rPr>
              <w:t xml:space="preserve"> </w:t>
            </w:r>
            <w:r w:rsidR="002648E0">
              <w:rPr>
                <w:bCs/>
              </w:rPr>
              <w:t xml:space="preserve">through </w:t>
            </w:r>
            <w:r w:rsidR="00F84F09">
              <w:rPr>
                <w:bCs/>
              </w:rPr>
              <w:t xml:space="preserve">enhanced </w:t>
            </w:r>
            <w:r w:rsidR="002648E0">
              <w:rPr>
                <w:bCs/>
              </w:rPr>
              <w:t xml:space="preserve">support and policy settings. </w:t>
            </w:r>
          </w:p>
        </w:tc>
        <w:tc>
          <w:tcPr>
            <w:tcW w:w="1924" w:type="dxa"/>
            <w:vAlign w:val="center"/>
          </w:tcPr>
          <w:p w14:paraId="155F17FF" w14:textId="65B1246A" w:rsidR="00E30FB1" w:rsidRDefault="00975C97" w:rsidP="00975C97">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Funding – Hospitals and </w:t>
            </w:r>
            <w:r w:rsidR="00E30FB1">
              <w:t>Sustainability Function</w:t>
            </w:r>
          </w:p>
        </w:tc>
        <w:tc>
          <w:tcPr>
            <w:tcW w:w="2119" w:type="dxa"/>
            <w:vAlign w:val="center"/>
          </w:tcPr>
          <w:p w14:paraId="7C284868" w14:textId="01CCA751" w:rsidR="00E30FB1" w:rsidRDefault="00C6576C">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June </w:t>
            </w:r>
            <w:r w:rsidR="00417086">
              <w:t>2026</w:t>
            </w:r>
          </w:p>
        </w:tc>
      </w:tr>
      <w:tr w:rsidR="00115DF3" w:rsidRPr="00653A18" w14:paraId="21900A37" w14:textId="77777777" w:rsidTr="002634FF">
        <w:trPr>
          <w:cantSplit/>
          <w:trHeight w:val="161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22366CFC" w14:textId="7DC227E1" w:rsidR="00E30FB1" w:rsidRPr="003E4115" w:rsidRDefault="00EC4025" w:rsidP="00BD66DC">
            <w:pPr>
              <w:spacing w:before="0" w:after="160" w:line="259" w:lineRule="auto"/>
              <w:rPr>
                <w:b w:val="0"/>
                <w:bCs/>
              </w:rPr>
            </w:pPr>
            <w:r w:rsidRPr="003E4115">
              <w:rPr>
                <w:b w:val="0"/>
                <w:bCs/>
              </w:rPr>
              <w:lastRenderedPageBreak/>
              <w:t>PF2</w:t>
            </w:r>
          </w:p>
        </w:tc>
        <w:tc>
          <w:tcPr>
            <w:tcW w:w="2040" w:type="dxa"/>
            <w:vAlign w:val="center"/>
          </w:tcPr>
          <w:p w14:paraId="1CFFC5D5" w14:textId="3BAD4976" w:rsidR="00E30FB1" w:rsidRDefault="00EC4025"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Assess major future patient transport supply tenders for potential </w:t>
            </w:r>
            <w:r w:rsidR="00D64790">
              <w:rPr>
                <w:bCs/>
              </w:rPr>
              <w:t xml:space="preserve">for lower emissions fleets. </w:t>
            </w:r>
          </w:p>
        </w:tc>
        <w:tc>
          <w:tcPr>
            <w:tcW w:w="2841" w:type="dxa"/>
            <w:vAlign w:val="center"/>
          </w:tcPr>
          <w:p w14:paraId="1B553E65" w14:textId="115848B4" w:rsidR="00E30FB1" w:rsidRDefault="008D5D38">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To set expectations for fuel </w:t>
            </w:r>
            <w:r w:rsidR="00412FA3">
              <w:rPr>
                <w:bCs/>
              </w:rPr>
              <w:t>efficient</w:t>
            </w:r>
            <w:r>
              <w:rPr>
                <w:bCs/>
              </w:rPr>
              <w:t xml:space="preserve"> and where possible low emissions fleets</w:t>
            </w:r>
            <w:r w:rsidR="00412FA3">
              <w:rPr>
                <w:bCs/>
              </w:rPr>
              <w:t xml:space="preserve"> to be improved over time. </w:t>
            </w:r>
          </w:p>
        </w:tc>
        <w:tc>
          <w:tcPr>
            <w:tcW w:w="1924" w:type="dxa"/>
            <w:vAlign w:val="center"/>
          </w:tcPr>
          <w:p w14:paraId="30475D24" w14:textId="33CDFEC2" w:rsidR="00E30FB1" w:rsidRDefault="008D5D38" w:rsidP="00EC4025">
            <w:pPr>
              <w:spacing w:before="0" w:after="160" w:line="259" w:lineRule="auto"/>
              <w:cnfStyle w:val="000000000000" w:firstRow="0" w:lastRow="0" w:firstColumn="0" w:lastColumn="0" w:oddVBand="0" w:evenVBand="0" w:oddHBand="0" w:evenHBand="0" w:firstRowFirstColumn="0" w:firstRowLastColumn="0" w:lastRowFirstColumn="0" w:lastRowLastColumn="0"/>
            </w:pPr>
            <w:r>
              <w:t>Community &amp; Mental Health Funders and Procurement and Supply Chain</w:t>
            </w:r>
          </w:p>
        </w:tc>
        <w:tc>
          <w:tcPr>
            <w:tcW w:w="2119" w:type="dxa"/>
            <w:vAlign w:val="center"/>
          </w:tcPr>
          <w:p w14:paraId="3CCD0D9D" w14:textId="141FDC01" w:rsidR="00E30FB1" w:rsidRDefault="000F0E9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Ongoing </w:t>
            </w:r>
          </w:p>
        </w:tc>
      </w:tr>
      <w:tr w:rsidR="00115DF3" w:rsidRPr="00653A18" w14:paraId="3C4FE12E" w14:textId="77777777" w:rsidTr="002634FF">
        <w:trPr>
          <w:cantSplit/>
          <w:trHeight w:val="161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1AF23FDB" w14:textId="3B438198" w:rsidR="00E30FB1" w:rsidRPr="003E4115" w:rsidRDefault="009A6103" w:rsidP="00BD66DC">
            <w:pPr>
              <w:spacing w:before="0" w:after="160" w:line="259" w:lineRule="auto"/>
              <w:rPr>
                <w:b w:val="0"/>
                <w:bCs/>
              </w:rPr>
            </w:pPr>
            <w:r w:rsidRPr="003E4115">
              <w:rPr>
                <w:b w:val="0"/>
                <w:bCs/>
              </w:rPr>
              <w:t>BT1</w:t>
            </w:r>
          </w:p>
        </w:tc>
        <w:tc>
          <w:tcPr>
            <w:tcW w:w="2040" w:type="dxa"/>
            <w:vAlign w:val="center"/>
          </w:tcPr>
          <w:p w14:paraId="3F08E790" w14:textId="531EAA9E" w:rsidR="00E30FB1" w:rsidRDefault="009A6103"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Develop a business case for a </w:t>
            </w:r>
            <w:r w:rsidR="00552E9B">
              <w:rPr>
                <w:bCs/>
              </w:rPr>
              <w:t>system to better manage CME expenses</w:t>
            </w:r>
          </w:p>
        </w:tc>
        <w:tc>
          <w:tcPr>
            <w:tcW w:w="2841" w:type="dxa"/>
            <w:vAlign w:val="center"/>
          </w:tcPr>
          <w:p w14:paraId="53A84751" w14:textId="1CEB8541" w:rsidR="00E30FB1" w:rsidRDefault="009A6103">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Improve data, reduce </w:t>
            </w:r>
            <w:r w:rsidR="00223AF7">
              <w:rPr>
                <w:bCs/>
              </w:rPr>
              <w:t xml:space="preserve">administrative </w:t>
            </w:r>
            <w:r w:rsidR="00EC4F9D">
              <w:rPr>
                <w:bCs/>
              </w:rPr>
              <w:t>burden,</w:t>
            </w:r>
            <w:r>
              <w:rPr>
                <w:bCs/>
              </w:rPr>
              <w:t xml:space="preserve"> and provide support </w:t>
            </w:r>
            <w:r w:rsidR="0014460E">
              <w:rPr>
                <w:bCs/>
              </w:rPr>
              <w:t>to RMOs and SMOs to reduce the emissions from CME travel</w:t>
            </w:r>
            <w:r w:rsidR="002C3164">
              <w:rPr>
                <w:bCs/>
              </w:rPr>
              <w:t>.</w:t>
            </w:r>
          </w:p>
        </w:tc>
        <w:tc>
          <w:tcPr>
            <w:tcW w:w="1924" w:type="dxa"/>
            <w:vAlign w:val="center"/>
          </w:tcPr>
          <w:p w14:paraId="79C4DD9E" w14:textId="4AE7CE0C" w:rsidR="00E30FB1" w:rsidRPr="0014460E" w:rsidRDefault="004247C3">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t xml:space="preserve">Office of the </w:t>
            </w:r>
            <w:r w:rsidR="0014460E">
              <w:t>Chief Clinical Office</w:t>
            </w:r>
            <w:r>
              <w:t>r</w:t>
            </w:r>
          </w:p>
        </w:tc>
        <w:tc>
          <w:tcPr>
            <w:tcW w:w="2119" w:type="dxa"/>
            <w:vAlign w:val="center"/>
          </w:tcPr>
          <w:p w14:paraId="1076E585" w14:textId="22E8B914" w:rsidR="00E30FB1" w:rsidRDefault="00C6576C">
            <w:pPr>
              <w:spacing w:before="0" w:after="160" w:line="259" w:lineRule="auto"/>
              <w:cnfStyle w:val="000000000000" w:firstRow="0" w:lastRow="0" w:firstColumn="0" w:lastColumn="0" w:oddVBand="0" w:evenVBand="0" w:oddHBand="0" w:evenHBand="0" w:firstRowFirstColumn="0" w:firstRowLastColumn="0" w:lastRowFirstColumn="0" w:lastRowLastColumn="0"/>
            </w:pPr>
            <w:r>
              <w:t>June 2027</w:t>
            </w:r>
          </w:p>
        </w:tc>
      </w:tr>
      <w:tr w:rsidR="00115DF3" w:rsidRPr="00653A18" w14:paraId="01EAABBB" w14:textId="77777777" w:rsidTr="002634FF">
        <w:trPr>
          <w:cantSplit/>
          <w:trHeight w:val="161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5F7E6E96" w14:textId="35DDE86A" w:rsidR="00E30FB1" w:rsidRPr="003E4115" w:rsidRDefault="0014460E" w:rsidP="00BD66DC">
            <w:pPr>
              <w:spacing w:before="0" w:after="160" w:line="259" w:lineRule="auto"/>
              <w:rPr>
                <w:b w:val="0"/>
                <w:bCs/>
              </w:rPr>
            </w:pPr>
            <w:r w:rsidRPr="003E4115">
              <w:rPr>
                <w:b w:val="0"/>
                <w:bCs/>
              </w:rPr>
              <w:t>BT2</w:t>
            </w:r>
          </w:p>
        </w:tc>
        <w:tc>
          <w:tcPr>
            <w:tcW w:w="2040" w:type="dxa"/>
            <w:vAlign w:val="center"/>
          </w:tcPr>
          <w:p w14:paraId="10655845" w14:textId="65072D81" w:rsidR="00E30FB1" w:rsidRPr="00DA1A4C" w:rsidRDefault="00223AF7" w:rsidP="00BD66DC">
            <w:pPr>
              <w:cnfStyle w:val="000000000000" w:firstRow="0" w:lastRow="0" w:firstColumn="0" w:lastColumn="0" w:oddVBand="0" w:evenVBand="0" w:oddHBand="0" w:evenHBand="0" w:firstRowFirstColumn="0" w:firstRowLastColumn="0" w:lastRowFirstColumn="0" w:lastRowLastColumn="0"/>
            </w:pPr>
            <w:r>
              <w:t>Develop and consult on a single Health NZ CME policy</w:t>
            </w:r>
          </w:p>
        </w:tc>
        <w:tc>
          <w:tcPr>
            <w:tcW w:w="2841" w:type="dxa"/>
            <w:vAlign w:val="center"/>
          </w:tcPr>
          <w:p w14:paraId="1AF81880" w14:textId="49F79C34" w:rsidR="00E30FB1" w:rsidRDefault="00223AF7">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Working with staff and unions harmonise </w:t>
            </w:r>
            <w:r w:rsidR="00671251">
              <w:rPr>
                <w:bCs/>
              </w:rPr>
              <w:t xml:space="preserve">a single CME policy and provide support to reduce emissions. </w:t>
            </w:r>
          </w:p>
        </w:tc>
        <w:tc>
          <w:tcPr>
            <w:tcW w:w="1924" w:type="dxa"/>
            <w:vAlign w:val="center"/>
          </w:tcPr>
          <w:p w14:paraId="3AD09A47" w14:textId="2A5C8B32" w:rsidR="00E30FB1" w:rsidRDefault="004247C3">
            <w:pPr>
              <w:spacing w:before="0" w:after="160" w:line="259" w:lineRule="auto"/>
              <w:cnfStyle w:val="000000000000" w:firstRow="0" w:lastRow="0" w:firstColumn="0" w:lastColumn="0" w:oddVBand="0" w:evenVBand="0" w:oddHBand="0" w:evenHBand="0" w:firstRowFirstColumn="0" w:firstRowLastColumn="0" w:lastRowFirstColumn="0" w:lastRowLastColumn="0"/>
            </w:pPr>
            <w:r>
              <w:t>Office of the Chief Clinical Officer</w:t>
            </w:r>
          </w:p>
        </w:tc>
        <w:tc>
          <w:tcPr>
            <w:tcW w:w="2119" w:type="dxa"/>
            <w:vAlign w:val="center"/>
          </w:tcPr>
          <w:p w14:paraId="6FBB5CF9" w14:textId="76317603" w:rsidR="00E30FB1" w:rsidRDefault="00B211E6">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December </w:t>
            </w:r>
            <w:r w:rsidR="000F0E93">
              <w:t>2025</w:t>
            </w:r>
          </w:p>
        </w:tc>
      </w:tr>
      <w:tr w:rsidR="00115DF3" w:rsidRPr="00653A18" w14:paraId="0A63CC66" w14:textId="77777777" w:rsidTr="002634FF">
        <w:trPr>
          <w:cantSplit/>
          <w:trHeight w:val="1618"/>
        </w:trPr>
        <w:tc>
          <w:tcPr>
            <w:cnfStyle w:val="001000000000" w:firstRow="0" w:lastRow="0" w:firstColumn="1" w:lastColumn="0" w:oddVBand="0" w:evenVBand="0" w:oddHBand="0" w:evenHBand="0" w:firstRowFirstColumn="0" w:firstRowLastColumn="0" w:lastRowFirstColumn="0" w:lastRowLastColumn="0"/>
            <w:tcW w:w="806" w:type="dxa"/>
            <w:vAlign w:val="center"/>
          </w:tcPr>
          <w:p w14:paraId="181E43B5" w14:textId="3D12B925" w:rsidR="00054C66" w:rsidRPr="003E4115" w:rsidRDefault="00054C66" w:rsidP="00BD66DC">
            <w:pPr>
              <w:spacing w:before="0" w:after="160" w:line="259" w:lineRule="auto"/>
              <w:rPr>
                <w:b w:val="0"/>
                <w:bCs/>
              </w:rPr>
            </w:pPr>
            <w:r w:rsidRPr="003E4115">
              <w:rPr>
                <w:b w:val="0"/>
                <w:bCs/>
              </w:rPr>
              <w:t>BT3</w:t>
            </w:r>
          </w:p>
        </w:tc>
        <w:tc>
          <w:tcPr>
            <w:tcW w:w="2040" w:type="dxa"/>
            <w:vAlign w:val="center"/>
          </w:tcPr>
          <w:p w14:paraId="5C1845F4" w14:textId="5FBACB98" w:rsidR="00054C66" w:rsidRDefault="00054C66" w:rsidP="00BD66DC">
            <w:pPr>
              <w:cnfStyle w:val="000000000000" w:firstRow="0" w:lastRow="0" w:firstColumn="0" w:lastColumn="0" w:oddVBand="0" w:evenVBand="0" w:oddHBand="0" w:evenHBand="0" w:firstRowFirstColumn="0" w:firstRowLastColumn="0" w:lastRowFirstColumn="0" w:lastRowLastColumn="0"/>
            </w:pPr>
            <w:r>
              <w:t xml:space="preserve">Review </w:t>
            </w:r>
            <w:r w:rsidR="0093393E">
              <w:t xml:space="preserve">the </w:t>
            </w:r>
            <w:r w:rsidR="003066F6">
              <w:t>‘</w:t>
            </w:r>
            <w:r w:rsidR="0093393E" w:rsidRPr="0093393E">
              <w:t>Relocation Direction</w:t>
            </w:r>
            <w:r w:rsidR="003066F6">
              <w:t>’</w:t>
            </w:r>
            <w:r w:rsidR="0093393E">
              <w:t xml:space="preserve"> and </w:t>
            </w:r>
            <w:r w:rsidR="003066F6">
              <w:t>‘</w:t>
            </w:r>
            <w:r w:rsidR="0093393E" w:rsidRPr="0093393E">
              <w:t>Guiding principles for ethical international recruitment</w:t>
            </w:r>
            <w:r w:rsidR="003066F6">
              <w:t>’</w:t>
            </w:r>
          </w:p>
        </w:tc>
        <w:tc>
          <w:tcPr>
            <w:tcW w:w="2841" w:type="dxa"/>
            <w:vAlign w:val="center"/>
          </w:tcPr>
          <w:p w14:paraId="2A407B42" w14:textId="35E816BB" w:rsidR="00054C66" w:rsidRDefault="0093393E">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To review policy settings to </w:t>
            </w:r>
            <w:r w:rsidR="00785E90">
              <w:rPr>
                <w:bCs/>
              </w:rPr>
              <w:t>explore</w:t>
            </w:r>
            <w:r>
              <w:rPr>
                <w:bCs/>
              </w:rPr>
              <w:t xml:space="preserve"> </w:t>
            </w:r>
            <w:r w:rsidR="00785E90">
              <w:rPr>
                <w:bCs/>
              </w:rPr>
              <w:t>emissions</w:t>
            </w:r>
            <w:r>
              <w:rPr>
                <w:bCs/>
              </w:rPr>
              <w:t xml:space="preserve"> reduction opportunities</w:t>
            </w:r>
            <w:r w:rsidR="002C3164">
              <w:rPr>
                <w:bCs/>
              </w:rPr>
              <w:t>.</w:t>
            </w:r>
            <w:r>
              <w:rPr>
                <w:bCs/>
              </w:rPr>
              <w:t xml:space="preserve"> </w:t>
            </w:r>
          </w:p>
        </w:tc>
        <w:tc>
          <w:tcPr>
            <w:tcW w:w="1924" w:type="dxa"/>
            <w:vAlign w:val="center"/>
          </w:tcPr>
          <w:p w14:paraId="06C54FBF" w14:textId="17F31571" w:rsidR="00054C66" w:rsidRDefault="00C06F62">
            <w:pPr>
              <w:spacing w:before="0" w:after="160" w:line="259" w:lineRule="auto"/>
              <w:cnfStyle w:val="000000000000" w:firstRow="0" w:lastRow="0" w:firstColumn="0" w:lastColumn="0" w:oddVBand="0" w:evenVBand="0" w:oddHBand="0" w:evenHBand="0" w:firstRowFirstColumn="0" w:firstRowLastColumn="0" w:lastRowFirstColumn="0" w:lastRowLastColumn="0"/>
            </w:pPr>
            <w:r>
              <w:t>People team</w:t>
            </w:r>
          </w:p>
        </w:tc>
        <w:tc>
          <w:tcPr>
            <w:tcW w:w="2119" w:type="dxa"/>
            <w:vAlign w:val="center"/>
          </w:tcPr>
          <w:p w14:paraId="5A9111C6" w14:textId="0ADBF234" w:rsidR="00054C66" w:rsidRDefault="00785E90">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March 2026 </w:t>
            </w:r>
          </w:p>
        </w:tc>
      </w:tr>
    </w:tbl>
    <w:p w14:paraId="68349D7B" w14:textId="77777777" w:rsidR="00E30FB1" w:rsidRPr="00A15FA5" w:rsidRDefault="00E30FB1" w:rsidP="00E02A49"/>
    <w:p w14:paraId="4D2DAE5F" w14:textId="07FDF20B" w:rsidR="00DF19E5" w:rsidRDefault="00AD0DFB" w:rsidP="00AD0DFB">
      <w:pPr>
        <w:pStyle w:val="Section2Heading1"/>
      </w:pPr>
      <w:bookmarkStart w:id="58" w:name="_Toc204940785"/>
      <w:bookmarkEnd w:id="53"/>
      <w:r>
        <w:t>Medical gases and vapours</w:t>
      </w:r>
      <w:bookmarkEnd w:id="58"/>
    </w:p>
    <w:p w14:paraId="2341E977" w14:textId="55110C3B" w:rsidR="00C6229A" w:rsidRPr="00C6229A" w:rsidRDefault="00C6229A" w:rsidP="00C6229A">
      <w:r w:rsidRPr="00C6229A">
        <w:t>Medical gases and anaesthetic vapours are crucial in healthcare, serving essential functions such as respiratory support, analgesia, and facilitating surgery. Despite their indispensable role in medical care, many of these gases and vapours are potent greenhouse gases and require careful management to minimi</w:t>
      </w:r>
      <w:r w:rsidR="00086A4D">
        <w:t>s</w:t>
      </w:r>
      <w:r w:rsidRPr="00C6229A">
        <w:t xml:space="preserve">e </w:t>
      </w:r>
      <w:r w:rsidR="00F35CEA">
        <w:t>the</w:t>
      </w:r>
      <w:r w:rsidR="00F35CEA" w:rsidRPr="00C6229A">
        <w:t xml:space="preserve"> </w:t>
      </w:r>
      <w:r w:rsidRPr="00C6229A">
        <w:t>environmental impact</w:t>
      </w:r>
      <w:r w:rsidR="00F35CEA">
        <w:t>s</w:t>
      </w:r>
      <w:r w:rsidRPr="00C6229A">
        <w:t>.</w:t>
      </w:r>
    </w:p>
    <w:p w14:paraId="32A650A0" w14:textId="24D3A451" w:rsidR="00C6229A" w:rsidRPr="00C6229A" w:rsidRDefault="00C6229A" w:rsidP="00C6229A">
      <w:r w:rsidRPr="00C6229A">
        <w:t xml:space="preserve">Within Health </w:t>
      </w:r>
      <w:r>
        <w:t>NZ’s</w:t>
      </w:r>
      <w:r w:rsidRPr="00C6229A">
        <w:t xml:space="preserve"> </w:t>
      </w:r>
      <w:r>
        <w:t xml:space="preserve">FY22/23 </w:t>
      </w:r>
      <w:r w:rsidRPr="00C6229A">
        <w:t>baseline, these emission sources amount to 15,700 tCO</w:t>
      </w:r>
      <w:r w:rsidRPr="00C6229A">
        <w:rPr>
          <w:vertAlign w:val="subscript"/>
        </w:rPr>
        <w:t>2</w:t>
      </w:r>
      <w:r w:rsidRPr="00C6229A">
        <w:t xml:space="preserve">e, or approximately 7% of total emissions. The majority (90%) of these emissions come from </w:t>
      </w:r>
      <w:r w:rsidRPr="00C6229A">
        <w:lastRenderedPageBreak/>
        <w:t>Nitrous Oxide (N</w:t>
      </w:r>
      <w:r w:rsidRPr="00C6229A">
        <w:rPr>
          <w:vertAlign w:val="subscript"/>
        </w:rPr>
        <w:t>2</w:t>
      </w:r>
      <w:r w:rsidRPr="00C6229A">
        <w:t>O) and Entonox (a blend of N</w:t>
      </w:r>
      <w:r w:rsidRPr="00C6229A">
        <w:rPr>
          <w:vertAlign w:val="subscript"/>
        </w:rPr>
        <w:t>2</w:t>
      </w:r>
      <w:r w:rsidRPr="00C6229A">
        <w:t xml:space="preserve">O and </w:t>
      </w:r>
      <w:r w:rsidR="00DC2AA0">
        <w:t>O</w:t>
      </w:r>
      <w:r w:rsidRPr="00C6229A">
        <w:t>xygen). Nitrous Oxide is 265 times more potent than carbon dioxide</w:t>
      </w:r>
      <w:r w:rsidR="003066F6">
        <w:rPr>
          <w:rStyle w:val="EndnoteReference"/>
        </w:rPr>
        <w:endnoteReference w:id="17"/>
      </w:r>
      <w:r w:rsidRPr="00C6229A">
        <w:t xml:space="preserve">. The remaining emissions are primarily from anaesthetic vapours (Sevoflurane 3%, Desflurane 0.5%, and Isoflurane &lt;0.1%). Sevoflurane is </w:t>
      </w:r>
      <w:r w:rsidR="00FC1268">
        <w:t>216 times more</w:t>
      </w:r>
      <w:r w:rsidRPr="00C6229A">
        <w:t xml:space="preserve"> potent than carbon dioxide</w:t>
      </w:r>
      <w:r w:rsidR="00FC1268">
        <w:t xml:space="preserve"> (CO</w:t>
      </w:r>
      <w:r w:rsidR="00FC1268" w:rsidRPr="00FC1268">
        <w:rPr>
          <w:vertAlign w:val="subscript"/>
        </w:rPr>
        <w:t>2</w:t>
      </w:r>
      <w:r w:rsidR="00FC1268">
        <w:t>)</w:t>
      </w:r>
      <w:r w:rsidRPr="00C6229A">
        <w:t xml:space="preserve"> but is much less impactful compared to alternative vapour</w:t>
      </w:r>
      <w:r w:rsidR="00054614">
        <w:t>s; Desflurane is 1,790 times more potent than CO</w:t>
      </w:r>
      <w:r w:rsidR="00054614" w:rsidRPr="00054614">
        <w:rPr>
          <w:vertAlign w:val="subscript"/>
        </w:rPr>
        <w:t>2</w:t>
      </w:r>
      <w:r w:rsidR="00054614">
        <w:t xml:space="preserve">. </w:t>
      </w:r>
    </w:p>
    <w:p w14:paraId="316FCE29" w14:textId="427F0002" w:rsidR="00C6229A" w:rsidRPr="00C6229A" w:rsidRDefault="006F0B6A" w:rsidP="00C6229A">
      <w:r>
        <w:t>By</w:t>
      </w:r>
      <w:r w:rsidR="00C6229A" w:rsidRPr="00C6229A">
        <w:t xml:space="preserve"> FY23/24, emissions </w:t>
      </w:r>
      <w:r w:rsidR="232C21BF">
        <w:t xml:space="preserve">associated with medical gas and vapour use </w:t>
      </w:r>
      <w:r w:rsidR="008F4D88">
        <w:t xml:space="preserve">had </w:t>
      </w:r>
      <w:r w:rsidR="00C6229A" w:rsidRPr="00C6229A">
        <w:t>decreased to less than 13,700 tCO</w:t>
      </w:r>
      <w:r w:rsidR="00C6229A" w:rsidRPr="00C6229A">
        <w:rPr>
          <w:vertAlign w:val="subscript"/>
        </w:rPr>
        <w:t>2</w:t>
      </w:r>
      <w:r w:rsidR="00C6229A" w:rsidRPr="00C6229A">
        <w:t>e due to ongoing clinical management and optimi</w:t>
      </w:r>
      <w:r w:rsidR="00054614">
        <w:t>s</w:t>
      </w:r>
      <w:r w:rsidR="00C6229A" w:rsidRPr="00C6229A">
        <w:t xml:space="preserve">ation. The modelling </w:t>
      </w:r>
      <w:r w:rsidR="0002503E">
        <w:t>below (</w:t>
      </w:r>
      <w:r w:rsidR="00585287">
        <w:t>F</w:t>
      </w:r>
      <w:r w:rsidR="0002503E">
        <w:t xml:space="preserve">igure </w:t>
      </w:r>
      <w:r w:rsidR="00661027">
        <w:t>7</w:t>
      </w:r>
      <w:r w:rsidR="0002503E">
        <w:t xml:space="preserve">) </w:t>
      </w:r>
      <w:r w:rsidR="004B38D6">
        <w:t>demonstrates</w:t>
      </w:r>
      <w:r w:rsidR="00C6229A" w:rsidRPr="00C6229A">
        <w:t xml:space="preserve"> a potential pathway to </w:t>
      </w:r>
      <w:r w:rsidR="008F4D88">
        <w:t xml:space="preserve">further </w:t>
      </w:r>
      <w:r w:rsidR="00C6229A" w:rsidRPr="00C6229A">
        <w:t xml:space="preserve">reduce net emissions by </w:t>
      </w:r>
      <w:r w:rsidR="00C6229A" w:rsidRPr="001A5BCA">
        <w:t xml:space="preserve">nearly </w:t>
      </w:r>
      <w:r w:rsidR="00C6229A" w:rsidRPr="00F56B8E">
        <w:t>3,000</w:t>
      </w:r>
      <w:r w:rsidR="00C6229A" w:rsidRPr="001A5BCA">
        <w:t xml:space="preserve"> tCO</w:t>
      </w:r>
      <w:r w:rsidR="00C6229A" w:rsidRPr="001A5BCA">
        <w:rPr>
          <w:vertAlign w:val="subscript"/>
        </w:rPr>
        <w:t>2</w:t>
      </w:r>
      <w:r w:rsidR="00C6229A" w:rsidRPr="001A5BCA">
        <w:t>e by the end of FY26/27.</w:t>
      </w:r>
    </w:p>
    <w:p w14:paraId="5AD2954D" w14:textId="02AE6BC4" w:rsidR="00982B52" w:rsidRDefault="00327D09" w:rsidP="002C4AAA">
      <w:r>
        <w:rPr>
          <w:noProof/>
        </w:rPr>
        <mc:AlternateContent>
          <mc:Choice Requires="cx1">
            <w:drawing>
              <wp:inline distT="0" distB="0" distL="0" distR="0" wp14:anchorId="7868E2B1" wp14:editId="08848297">
                <wp:extent cx="5943600" cy="6056415"/>
                <wp:effectExtent l="0" t="0" r="0" b="1905"/>
                <wp:docPr id="630779140" name="Chart 1" descr="Figure 7 Modelling of medical gas emissions reduction actions">
                  <a:extLst xmlns:a="http://schemas.openxmlformats.org/drawingml/2006/main">
                    <a:ext uri="{FF2B5EF4-FFF2-40B4-BE49-F238E27FC236}">
                      <a16:creationId xmlns:a16="http://schemas.microsoft.com/office/drawing/2014/main" id="{ED3D2113-1B30-4D10-B47E-619B59983D34}"/>
                    </a:ext>
                    <a:ext uri="{147F2762-F138-4A5C-976F-8EAC2B608ADB}">
                      <a16:predDERef xmlns:a16="http://schemas.microsoft.com/office/drawing/2014/main" pred="{BA33BD28-6875-4A37-81B9-1EAFE86C4ED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2"/>
                  </a:graphicData>
                </a:graphic>
              </wp:inline>
            </w:drawing>
          </mc:Choice>
          <mc:Fallback>
            <w:drawing>
              <wp:inline distT="0" distB="0" distL="0" distR="0" wp14:anchorId="7868E2B1" wp14:editId="08848297">
                <wp:extent cx="5943600" cy="6056415"/>
                <wp:effectExtent l="0" t="0" r="0" b="1905"/>
                <wp:docPr id="630779140" name="Chart 1" descr="Figure 7 Modelling of medical gas emissions reduction actions">
                  <a:extLst xmlns:a="http://schemas.openxmlformats.org/drawingml/2006/main">
                    <a:ext uri="{FF2B5EF4-FFF2-40B4-BE49-F238E27FC236}">
                      <a16:creationId xmlns:a16="http://schemas.microsoft.com/office/drawing/2014/main" id="{ED3D2113-1B30-4D10-B47E-619B59983D34}"/>
                    </a:ext>
                    <a:ext uri="{147F2762-F138-4A5C-976F-8EAC2B608ADB}">
                      <a16:predDERef xmlns:a16="http://schemas.microsoft.com/office/drawing/2014/main" pred="{BA33BD28-6875-4A37-81B9-1EAFE86C4ED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30779140" name="Chart 1" descr="Figure 7 Modelling of medical gas emissions reduction actions">
                          <a:extLst>
                            <a:ext uri="{FF2B5EF4-FFF2-40B4-BE49-F238E27FC236}">
                              <a16:creationId xmlns:a16="http://schemas.microsoft.com/office/drawing/2014/main" id="{ED3D2113-1B30-4D10-B47E-619B59983D34}"/>
                            </a:ext>
                            <a:ext uri="{147F2762-F138-4A5C-976F-8EAC2B608ADB}">
                              <a16:predDERef xmlns:a16="http://schemas.microsoft.com/office/drawing/2014/main" pred="{BA33BD28-6875-4A37-81B9-1EAFE86C4EDC}"/>
                            </a:ext>
                          </a:extLst>
                        </pic:cNvPr>
                        <pic:cNvPicPr>
                          <a:picLocks noGrp="1" noRot="1" noChangeAspect="1" noMove="1" noResize="1" noEditPoints="1" noAdjustHandles="1" noChangeArrowheads="1" noChangeShapeType="1"/>
                        </pic:cNvPicPr>
                      </pic:nvPicPr>
                      <pic:blipFill>
                        <a:blip r:embed="rId33"/>
                        <a:stretch>
                          <a:fillRect/>
                        </a:stretch>
                      </pic:blipFill>
                      <pic:spPr>
                        <a:xfrm>
                          <a:off x="0" y="0"/>
                          <a:ext cx="5943600" cy="6055995"/>
                        </a:xfrm>
                        <a:prstGeom prst="rect">
                          <a:avLst/>
                        </a:prstGeom>
                      </pic:spPr>
                    </pic:pic>
                  </a:graphicData>
                </a:graphic>
              </wp:inline>
            </w:drawing>
          </mc:Fallback>
        </mc:AlternateContent>
      </w:r>
    </w:p>
    <w:p w14:paraId="50AB3890" w14:textId="72718802" w:rsidR="00455C52" w:rsidRPr="00FA357B" w:rsidRDefault="00455C52" w:rsidP="008F6876">
      <w:pPr>
        <w:pStyle w:val="Figure"/>
      </w:pPr>
      <w:bookmarkStart w:id="59" w:name="_Toc198286805"/>
      <w:r>
        <w:t xml:space="preserve">Figure </w:t>
      </w:r>
      <w:r>
        <w:fldChar w:fldCharType="begin"/>
      </w:r>
      <w:r>
        <w:instrText xml:space="preserve"> SEQ Figure \* ARABIC </w:instrText>
      </w:r>
      <w:r>
        <w:fldChar w:fldCharType="separate"/>
      </w:r>
      <w:r w:rsidR="008B20C4">
        <w:rPr>
          <w:noProof/>
        </w:rPr>
        <w:t>7</w:t>
      </w:r>
      <w:r>
        <w:fldChar w:fldCharType="end"/>
      </w:r>
      <w:r>
        <w:t xml:space="preserve"> </w:t>
      </w:r>
      <w:r w:rsidR="00283CC5">
        <w:t>M</w:t>
      </w:r>
      <w:r>
        <w:t xml:space="preserve">odelling of </w:t>
      </w:r>
      <w:r w:rsidR="008F73F5">
        <w:t>medical gas emissions reduction actions</w:t>
      </w:r>
      <w:bookmarkEnd w:id="59"/>
      <w:r w:rsidR="008F73F5">
        <w:t xml:space="preserve"> </w:t>
      </w:r>
    </w:p>
    <w:p w14:paraId="0DCA88AE" w14:textId="77777777" w:rsidR="007D03CD" w:rsidRDefault="007D03CD" w:rsidP="007D03CD">
      <w:pPr>
        <w:pStyle w:val="Section2Heading2"/>
      </w:pPr>
      <w:bookmarkStart w:id="60" w:name="_Toc204940786"/>
      <w:r>
        <w:lastRenderedPageBreak/>
        <w:t>Progress and ways of working</w:t>
      </w:r>
      <w:bookmarkEnd w:id="60"/>
      <w:r>
        <w:t xml:space="preserve"> </w:t>
      </w:r>
    </w:p>
    <w:p w14:paraId="7E86108B" w14:textId="2CF5A30E" w:rsidR="00E33888" w:rsidRDefault="00D347F1" w:rsidP="00925F5A">
      <w:r>
        <w:t>Considerable progress</w:t>
      </w:r>
      <w:r w:rsidR="00925F5A">
        <w:t xml:space="preserve"> by clinicians </w:t>
      </w:r>
      <w:r w:rsidR="00652D05">
        <w:t xml:space="preserve">has been ongoing over the last decade to switch </w:t>
      </w:r>
      <w:r w:rsidR="00315F26">
        <w:t xml:space="preserve">to lower emission intensity vapours for surgical procedures. </w:t>
      </w:r>
      <w:r w:rsidR="00E70003">
        <w:t>A</w:t>
      </w:r>
      <w:r w:rsidR="00E70003" w:rsidRPr="00223CBC">
        <w:t xml:space="preserve">naesthetic vapours </w:t>
      </w:r>
      <w:r w:rsidR="00E70003">
        <w:t xml:space="preserve">can </w:t>
      </w:r>
      <w:r w:rsidR="00A172BF">
        <w:t xml:space="preserve">also </w:t>
      </w:r>
      <w:r w:rsidR="00E70003">
        <w:t>be replaced by using Propofol</w:t>
      </w:r>
      <w:r w:rsidR="00592E3B">
        <w:t>,</w:t>
      </w:r>
      <w:r w:rsidR="00E70003">
        <w:t xml:space="preserve"> an </w:t>
      </w:r>
      <w:r w:rsidR="00E70003" w:rsidRPr="00DF4474">
        <w:t>intravenous anaesthetic</w:t>
      </w:r>
      <w:r w:rsidR="00E70003">
        <w:t xml:space="preserve">, which avoids the release of high emissions vapours. </w:t>
      </w:r>
      <w:r w:rsidR="00F35DD1">
        <w:t>Th</w:t>
      </w:r>
      <w:r w:rsidR="00E70003">
        <w:t xml:space="preserve">ese activities </w:t>
      </w:r>
      <w:r w:rsidR="00F35DD1">
        <w:t>ha</w:t>
      </w:r>
      <w:r w:rsidR="00E70003">
        <w:t>ve</w:t>
      </w:r>
      <w:r w:rsidR="00F35DD1">
        <w:t xml:space="preserve"> been clinician lead </w:t>
      </w:r>
      <w:r w:rsidR="00E70003">
        <w:t xml:space="preserve">through </w:t>
      </w:r>
      <w:r w:rsidR="00F35DD1">
        <w:t>improv</w:t>
      </w:r>
      <w:r w:rsidR="00E70003">
        <w:t xml:space="preserve">ing awareness, </w:t>
      </w:r>
      <w:r w:rsidR="00EC4F9D">
        <w:t>systems,</w:t>
      </w:r>
      <w:r w:rsidR="0091735B">
        <w:t xml:space="preserve"> and </w:t>
      </w:r>
      <w:r w:rsidR="003D6928">
        <w:t>behaviours</w:t>
      </w:r>
      <w:r w:rsidR="00F35DD1">
        <w:t>.</w:t>
      </w:r>
    </w:p>
    <w:p w14:paraId="69026A04" w14:textId="56325225" w:rsidR="008A60B2" w:rsidRPr="00327D09" w:rsidRDefault="00BD7081" w:rsidP="00170985">
      <w:pPr>
        <w:pStyle w:val="Box"/>
        <w:shd w:val="clear" w:color="auto" w:fill="28A1AC" w:themeFill="accent2"/>
        <w:rPr>
          <w:b/>
          <w:bCs/>
          <w:color w:val="FFFFFF" w:themeColor="background1"/>
        </w:rPr>
      </w:pPr>
      <w:r w:rsidRPr="00327D09">
        <w:rPr>
          <w:b/>
          <w:bCs/>
          <w:color w:val="FFFFFF" w:themeColor="background1"/>
        </w:rPr>
        <w:t xml:space="preserve">Case </w:t>
      </w:r>
      <w:r w:rsidR="007E5549">
        <w:rPr>
          <w:b/>
          <w:bCs/>
          <w:color w:val="FFFFFF" w:themeColor="background1"/>
        </w:rPr>
        <w:t>s</w:t>
      </w:r>
      <w:r w:rsidRPr="00327D09">
        <w:rPr>
          <w:b/>
          <w:bCs/>
          <w:color w:val="FFFFFF" w:themeColor="background1"/>
        </w:rPr>
        <w:t xml:space="preserve">tudy – Clinician led action to reduce the emissions intensity of </w:t>
      </w:r>
      <w:r w:rsidR="007D04F5" w:rsidRPr="00327D09">
        <w:rPr>
          <w:b/>
          <w:bCs/>
          <w:color w:val="FFFFFF" w:themeColor="background1"/>
        </w:rPr>
        <w:t>anaesthetics</w:t>
      </w:r>
      <w:r w:rsidR="008A60B2" w:rsidRPr="00327D09">
        <w:rPr>
          <w:b/>
          <w:bCs/>
          <w:color w:val="FFFFFF" w:themeColor="background1"/>
        </w:rPr>
        <w:t>.</w:t>
      </w:r>
    </w:p>
    <w:p w14:paraId="112D3C99" w14:textId="1739FEEA" w:rsidR="00C2668F" w:rsidRPr="00327D09" w:rsidRDefault="008A60B2" w:rsidP="00170985">
      <w:pPr>
        <w:pStyle w:val="Box"/>
        <w:shd w:val="clear" w:color="auto" w:fill="28A1AC" w:themeFill="accent2"/>
        <w:rPr>
          <w:color w:val="FFFFFF" w:themeColor="background1"/>
        </w:rPr>
      </w:pPr>
      <w:r w:rsidRPr="00327D09">
        <w:rPr>
          <w:color w:val="FFFFFF" w:themeColor="background1"/>
        </w:rPr>
        <w:t xml:space="preserve">Middlemore </w:t>
      </w:r>
      <w:r w:rsidR="0037744B" w:rsidRPr="00327D09">
        <w:rPr>
          <w:color w:val="FFFFFF" w:themeColor="background1"/>
        </w:rPr>
        <w:t>H</w:t>
      </w:r>
      <w:r w:rsidRPr="00327D09">
        <w:rPr>
          <w:color w:val="FFFFFF" w:themeColor="background1"/>
        </w:rPr>
        <w:t xml:space="preserve">ospital is one example of many that demonstrates the impact behaviour change can have on emissions. Between 2015 and 2023 the emissions from </w:t>
      </w:r>
      <w:r w:rsidR="007D04F5" w:rsidRPr="00327D09">
        <w:rPr>
          <w:color w:val="FFFFFF" w:themeColor="background1"/>
        </w:rPr>
        <w:t>anaesthetic</w:t>
      </w:r>
      <w:r w:rsidRPr="00327D09">
        <w:rPr>
          <w:color w:val="FFFFFF" w:themeColor="background1"/>
        </w:rPr>
        <w:t xml:space="preserve"> vapours reduced by 90% through awareness, education and nudging </w:t>
      </w:r>
      <w:r w:rsidR="007D04F5" w:rsidRPr="00327D09">
        <w:rPr>
          <w:color w:val="FFFFFF" w:themeColor="background1"/>
        </w:rPr>
        <w:t>lower emissions behaviours. Middlemore hospital now rarely uses Desflurane</w:t>
      </w:r>
      <w:r w:rsidR="00592E3B">
        <w:rPr>
          <w:color w:val="FFFFFF" w:themeColor="background1"/>
        </w:rPr>
        <w:t>,</w:t>
      </w:r>
      <w:r w:rsidR="007D04F5" w:rsidRPr="00327D09">
        <w:rPr>
          <w:color w:val="FFFFFF" w:themeColor="background1"/>
        </w:rPr>
        <w:t xml:space="preserve"> the most emissions intensive anaesthetic gas.</w:t>
      </w:r>
    </w:p>
    <w:p w14:paraId="7D7BD711" w14:textId="46642DB6" w:rsidR="003D6928" w:rsidRDefault="003D6928" w:rsidP="00925F5A">
      <w:r>
        <w:t>Nitrous Oxide</w:t>
      </w:r>
      <w:r w:rsidR="009A6598">
        <w:t xml:space="preserve"> (N</w:t>
      </w:r>
      <w:r w:rsidR="009A6598" w:rsidRPr="009D5963">
        <w:rPr>
          <w:vertAlign w:val="subscript"/>
        </w:rPr>
        <w:t>2</w:t>
      </w:r>
      <w:r w:rsidR="009A6598">
        <w:t>O)</w:t>
      </w:r>
      <w:r>
        <w:t xml:space="preserve"> reticulated pipework </w:t>
      </w:r>
      <w:r w:rsidR="005B022E">
        <w:t xml:space="preserve">is prone to </w:t>
      </w:r>
      <w:r w:rsidR="0063331A">
        <w:t xml:space="preserve">significant </w:t>
      </w:r>
      <w:r w:rsidR="005B022E">
        <w:t xml:space="preserve">leaking, </w:t>
      </w:r>
      <w:r w:rsidR="000E4441">
        <w:t>increas</w:t>
      </w:r>
      <w:r w:rsidR="00A541BD">
        <w:t>ing both</w:t>
      </w:r>
      <w:r w:rsidR="005B022E">
        <w:t xml:space="preserve"> emissions and costs</w:t>
      </w:r>
      <w:r w:rsidR="00A541BD">
        <w:t xml:space="preserve">. </w:t>
      </w:r>
      <w:r w:rsidR="005B022E">
        <w:t>Waitemata district has develop</w:t>
      </w:r>
      <w:r w:rsidR="000060A2">
        <w:t>ed</w:t>
      </w:r>
      <w:r w:rsidR="005B022E">
        <w:t xml:space="preserve"> a process to regularly detect and </w:t>
      </w:r>
      <w:r w:rsidR="0063331A">
        <w:t>fix leaks</w:t>
      </w:r>
      <w:r w:rsidR="00172635">
        <w:t xml:space="preserve"> that provides a blueprint for a consistent approach across </w:t>
      </w:r>
      <w:r w:rsidR="00AC75EF">
        <w:t>other sites</w:t>
      </w:r>
      <w:r w:rsidR="0063331A">
        <w:t xml:space="preserve">. </w:t>
      </w:r>
      <w:r w:rsidR="009D5963">
        <w:t>Dunedin</w:t>
      </w:r>
      <w:r w:rsidR="0063331A">
        <w:t xml:space="preserve"> Hospital remove</w:t>
      </w:r>
      <w:r w:rsidR="00CC593C">
        <w:t>d</w:t>
      </w:r>
      <w:r w:rsidR="0063331A">
        <w:t xml:space="preserve"> the reticulate</w:t>
      </w:r>
      <w:r w:rsidR="00D4463E">
        <w:t>d</w:t>
      </w:r>
      <w:r w:rsidR="0063331A">
        <w:t xml:space="preserve"> N</w:t>
      </w:r>
      <w:r w:rsidR="0063331A" w:rsidRPr="009D5963">
        <w:rPr>
          <w:vertAlign w:val="subscript"/>
        </w:rPr>
        <w:t>2</w:t>
      </w:r>
      <w:r w:rsidR="0063331A">
        <w:t xml:space="preserve">O pipework from the hospital </w:t>
      </w:r>
      <w:r w:rsidR="009D5963">
        <w:t>and</w:t>
      </w:r>
      <w:r w:rsidR="0063331A">
        <w:t xml:space="preserve"> moved to bottled N</w:t>
      </w:r>
      <w:r w:rsidR="0063331A" w:rsidRPr="0091735B">
        <w:rPr>
          <w:vertAlign w:val="subscript"/>
        </w:rPr>
        <w:t>2</w:t>
      </w:r>
      <w:r w:rsidR="0063331A">
        <w:t>O</w:t>
      </w:r>
      <w:r w:rsidR="001235E7">
        <w:t xml:space="preserve"> which eradicated the potential for </w:t>
      </w:r>
      <w:r w:rsidR="00C2668F">
        <w:t>leaks,</w:t>
      </w:r>
      <w:r w:rsidR="009D5963">
        <w:t xml:space="preserve"> saving 2,200 tCO</w:t>
      </w:r>
      <w:r w:rsidR="009D5963" w:rsidRPr="008C2961">
        <w:rPr>
          <w:vertAlign w:val="subscript"/>
        </w:rPr>
        <w:t>2</w:t>
      </w:r>
      <w:r w:rsidR="009D5963">
        <w:t>e and $120</w:t>
      </w:r>
      <w:r w:rsidR="00B7133D">
        <w:t>,000</w:t>
      </w:r>
      <w:r w:rsidR="009D5963">
        <w:t xml:space="preserve"> a </w:t>
      </w:r>
      <w:r w:rsidR="008C2961">
        <w:t>year.</w:t>
      </w:r>
    </w:p>
    <w:p w14:paraId="3FCEEF36" w14:textId="3055DEB3" w:rsidR="0056170A" w:rsidRDefault="0056170A" w:rsidP="00925F5A">
      <w:r>
        <w:t>Waikato Hospital underwent a pilot to test N</w:t>
      </w:r>
      <w:r w:rsidRPr="0091735B">
        <w:rPr>
          <w:vertAlign w:val="subscript"/>
        </w:rPr>
        <w:t>2</w:t>
      </w:r>
      <w:r>
        <w:t>O destruction units which capture</w:t>
      </w:r>
      <w:r w:rsidR="004C0DA1">
        <w:t>d</w:t>
      </w:r>
      <w:r>
        <w:t xml:space="preserve"> then </w:t>
      </w:r>
      <w:r w:rsidR="002956BD">
        <w:t>destroy</w:t>
      </w:r>
      <w:r w:rsidR="004C0DA1">
        <w:t>ed</w:t>
      </w:r>
      <w:r w:rsidR="002956BD">
        <w:t xml:space="preserve"> the gas, which reduce</w:t>
      </w:r>
      <w:r w:rsidR="006C630A">
        <w:t>d</w:t>
      </w:r>
      <w:r w:rsidR="002956BD">
        <w:t xml:space="preserve"> emissions </w:t>
      </w:r>
      <w:r w:rsidR="00D82FCF">
        <w:t xml:space="preserve">while also </w:t>
      </w:r>
      <w:r w:rsidR="00835872">
        <w:t>significantly</w:t>
      </w:r>
      <w:r w:rsidR="002956BD">
        <w:t xml:space="preserve"> reduc</w:t>
      </w:r>
      <w:r w:rsidR="00D82FCF">
        <w:t xml:space="preserve">ing </w:t>
      </w:r>
      <w:r w:rsidR="002956BD">
        <w:t xml:space="preserve">the risks </w:t>
      </w:r>
      <w:r w:rsidR="001A2911">
        <w:t xml:space="preserve">for staff </w:t>
      </w:r>
      <w:r w:rsidR="002956BD">
        <w:t xml:space="preserve">associated with chronic exposure. </w:t>
      </w:r>
      <w:r w:rsidR="00D01FE9" w:rsidRPr="00FA357B">
        <w:t xml:space="preserve">There is overwhelming evidence that chronic exposure creates a health risk to </w:t>
      </w:r>
      <w:r w:rsidR="004F061A" w:rsidRPr="00FA357B">
        <w:t>staff,</w:t>
      </w:r>
      <w:r w:rsidR="00D01FE9" w:rsidRPr="00FA357B">
        <w:t xml:space="preserve"> such </w:t>
      </w:r>
      <w:r w:rsidR="00D01FE9" w:rsidRPr="7AAC88CD">
        <w:t>as</w:t>
      </w:r>
      <w:r w:rsidR="00D01FE9" w:rsidRPr="00FA357B">
        <w:t xml:space="preserve"> neurotoxicity, vitamin B12 deficiency and even foetal development risk</w:t>
      </w:r>
      <w:r w:rsidR="00DA4CA6">
        <w:rPr>
          <w:rStyle w:val="EndnoteReference"/>
        </w:rPr>
        <w:endnoteReference w:id="18"/>
      </w:r>
      <w:r w:rsidR="00460896">
        <w:t>.</w:t>
      </w:r>
    </w:p>
    <w:p w14:paraId="510E6A31" w14:textId="0ADC4CD7" w:rsidR="00054614" w:rsidRDefault="00054614" w:rsidP="00054614">
      <w:pPr>
        <w:pStyle w:val="Section2Heading2"/>
      </w:pPr>
      <w:bookmarkStart w:id="61" w:name="_Toc204940787"/>
      <w:r>
        <w:t>Medical gases and vapour actions</w:t>
      </w:r>
      <w:bookmarkEnd w:id="61"/>
      <w:r>
        <w:t xml:space="preserve"> </w:t>
      </w:r>
    </w:p>
    <w:p w14:paraId="283A9FA0" w14:textId="1AE1F3F8" w:rsidR="007D03CD" w:rsidRDefault="000B4A3E" w:rsidP="008F6876">
      <w:pPr>
        <w:pStyle w:val="Figure"/>
      </w:pPr>
      <w:bookmarkStart w:id="62" w:name="_Toc198286793"/>
      <w:r>
        <w:t xml:space="preserve">Table </w:t>
      </w:r>
      <w:r>
        <w:fldChar w:fldCharType="begin"/>
      </w:r>
      <w:r>
        <w:instrText xml:space="preserve"> SEQ Table \* ARABIC </w:instrText>
      </w:r>
      <w:r>
        <w:fldChar w:fldCharType="separate"/>
      </w:r>
      <w:r w:rsidR="008B20C4">
        <w:rPr>
          <w:noProof/>
        </w:rPr>
        <w:t>11</w:t>
      </w:r>
      <w:r>
        <w:fldChar w:fldCharType="end"/>
      </w:r>
      <w:r>
        <w:t xml:space="preserve"> </w:t>
      </w:r>
      <w:r w:rsidR="003E2ADB">
        <w:t>Medical gases and vapo</w:t>
      </w:r>
      <w:r w:rsidR="001E0689">
        <w:t>urs</w:t>
      </w:r>
      <w:r w:rsidR="003E2ADB">
        <w:t xml:space="preserve"> actions</w:t>
      </w:r>
      <w:bookmarkEnd w:id="62"/>
    </w:p>
    <w:tbl>
      <w:tblPr>
        <w:tblStyle w:val="TeWhatuOra"/>
        <w:tblW w:w="5074" w:type="pct"/>
        <w:tblLayout w:type="fixed"/>
        <w:tblLook w:val="04A0" w:firstRow="1" w:lastRow="0" w:firstColumn="1" w:lastColumn="0" w:noHBand="0" w:noVBand="1"/>
      </w:tblPr>
      <w:tblGrid>
        <w:gridCol w:w="567"/>
        <w:gridCol w:w="2977"/>
        <w:gridCol w:w="2977"/>
        <w:gridCol w:w="1843"/>
        <w:gridCol w:w="1417"/>
      </w:tblGrid>
      <w:tr w:rsidR="002634FF" w14:paraId="760BBCB8" w14:textId="77777777" w:rsidTr="007B7D6C">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567" w:type="dxa"/>
          </w:tcPr>
          <w:p w14:paraId="3E00F279" w14:textId="77777777" w:rsidR="00871C74" w:rsidRPr="00653A18" w:rsidRDefault="00871C74">
            <w:pPr>
              <w:spacing w:before="0" w:after="160" w:line="259" w:lineRule="auto"/>
            </w:pPr>
            <w:r>
              <w:t>Ref</w:t>
            </w:r>
          </w:p>
        </w:tc>
        <w:tc>
          <w:tcPr>
            <w:tcW w:w="2977" w:type="dxa"/>
          </w:tcPr>
          <w:p w14:paraId="4562D4DD" w14:textId="77777777" w:rsidR="00871C74" w:rsidRPr="00653A18" w:rsidRDefault="00871C74">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2977" w:type="dxa"/>
          </w:tcPr>
          <w:p w14:paraId="7B8CF201" w14:textId="77777777" w:rsidR="00871C74" w:rsidRPr="00653A18" w:rsidRDefault="00871C74">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843" w:type="dxa"/>
          </w:tcPr>
          <w:p w14:paraId="692D1AC1" w14:textId="77777777" w:rsidR="00871C74" w:rsidRDefault="00871C74">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1417" w:type="dxa"/>
          </w:tcPr>
          <w:p w14:paraId="02684AD7" w14:textId="77777777" w:rsidR="00871C74" w:rsidRDefault="00871C74">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170985" w:rsidRPr="00653A18" w14:paraId="1A118F54" w14:textId="77777777" w:rsidTr="007B7D6C">
        <w:trPr>
          <w:cantSplit/>
          <w:trHeight w:val="61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B53DBE7" w14:textId="567F3FAC" w:rsidR="004612E9" w:rsidRPr="00327D09" w:rsidRDefault="004612E9" w:rsidP="004612E9">
            <w:pPr>
              <w:spacing w:before="0" w:after="160" w:line="259" w:lineRule="auto"/>
              <w:rPr>
                <w:b w:val="0"/>
              </w:rPr>
            </w:pPr>
            <w:r w:rsidRPr="00327D09">
              <w:rPr>
                <w:rFonts w:cs="Arial"/>
                <w:b w:val="0"/>
                <w:color w:val="000000"/>
              </w:rPr>
              <w:t>M1</w:t>
            </w:r>
          </w:p>
        </w:tc>
        <w:tc>
          <w:tcPr>
            <w:tcW w:w="2977" w:type="dxa"/>
            <w:vAlign w:val="center"/>
          </w:tcPr>
          <w:p w14:paraId="1B27FD78" w14:textId="4FF31625" w:rsidR="004612E9" w:rsidRPr="00BB1179" w:rsidRDefault="00D7369C" w:rsidP="00170985">
            <w:pPr>
              <w:cnfStyle w:val="000000000000" w:firstRow="0" w:lastRow="0" w:firstColumn="0" w:lastColumn="0" w:oddVBand="0" w:evenVBand="0" w:oddHBand="0" w:evenHBand="0" w:firstRowFirstColumn="0" w:firstRowLastColumn="0" w:lastRowFirstColumn="0" w:lastRowLastColumn="0"/>
              <w:rPr>
                <w:bCs/>
              </w:rPr>
            </w:pPr>
            <w:r w:rsidRPr="00D7369C">
              <w:t>Seek approval for a national medical gases committee under the National Clinical Governance Group</w:t>
            </w:r>
          </w:p>
        </w:tc>
        <w:tc>
          <w:tcPr>
            <w:tcW w:w="2977" w:type="dxa"/>
            <w:vAlign w:val="center"/>
          </w:tcPr>
          <w:p w14:paraId="6833A22F" w14:textId="34F3AB16" w:rsidR="004612E9" w:rsidRPr="00BB1179" w:rsidRDefault="00942592" w:rsidP="00170985">
            <w:pPr>
              <w:cnfStyle w:val="000000000000" w:firstRow="0" w:lastRow="0" w:firstColumn="0" w:lastColumn="0" w:oddVBand="0" w:evenVBand="0" w:oddHBand="0" w:evenHBand="0" w:firstRowFirstColumn="0" w:firstRowLastColumn="0" w:lastRowFirstColumn="0" w:lastRowLastColumn="0"/>
              <w:rPr>
                <w:bCs/>
              </w:rPr>
            </w:pPr>
            <w:r w:rsidRPr="00942592">
              <w:t>To develop a national approach to reduce the environmental and health and safety impacts of Medical Gases like Nitrous Oxide.</w:t>
            </w:r>
          </w:p>
        </w:tc>
        <w:tc>
          <w:tcPr>
            <w:tcW w:w="1843" w:type="dxa"/>
            <w:vAlign w:val="center"/>
          </w:tcPr>
          <w:p w14:paraId="1FE1CAC1" w14:textId="247240C6" w:rsidR="004612E9" w:rsidRPr="00BB1179" w:rsidRDefault="004612E9" w:rsidP="00170985">
            <w:pPr>
              <w:cnfStyle w:val="000000000000" w:firstRow="0" w:lastRow="0" w:firstColumn="0" w:lastColumn="0" w:oddVBand="0" w:evenVBand="0" w:oddHBand="0" w:evenHBand="0" w:firstRowFirstColumn="0" w:firstRowLastColumn="0" w:lastRowFirstColumn="0" w:lastRowLastColumn="0"/>
            </w:pPr>
            <w:r w:rsidRPr="00BB1179">
              <w:t>Office of the Chief Clinical Officer</w:t>
            </w:r>
          </w:p>
        </w:tc>
        <w:tc>
          <w:tcPr>
            <w:tcW w:w="1417" w:type="dxa"/>
            <w:vAlign w:val="center"/>
          </w:tcPr>
          <w:p w14:paraId="342C143F" w14:textId="6857AF67" w:rsidR="004612E9" w:rsidRPr="00BB1179" w:rsidRDefault="00942592" w:rsidP="00170985">
            <w:pPr>
              <w:cnfStyle w:val="000000000000" w:firstRow="0" w:lastRow="0" w:firstColumn="0" w:lastColumn="0" w:oddVBand="0" w:evenVBand="0" w:oddHBand="0" w:evenHBand="0" w:firstRowFirstColumn="0" w:firstRowLastColumn="0" w:lastRowFirstColumn="0" w:lastRowLastColumn="0"/>
            </w:pPr>
            <w:r>
              <w:t>Complete</w:t>
            </w:r>
          </w:p>
        </w:tc>
      </w:tr>
      <w:tr w:rsidR="00170985" w:rsidRPr="00653A18" w14:paraId="430F168A" w14:textId="77777777" w:rsidTr="007B7D6C">
        <w:trPr>
          <w:cantSplit/>
          <w:trHeight w:val="116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F5CA3F" w14:textId="7EDC18EB" w:rsidR="004612E9" w:rsidRPr="00033CB4" w:rsidRDefault="004612E9" w:rsidP="004612E9">
            <w:pPr>
              <w:spacing w:before="0" w:after="160" w:line="259" w:lineRule="auto"/>
              <w:rPr>
                <w:b w:val="0"/>
              </w:rPr>
            </w:pPr>
            <w:r w:rsidRPr="00033CB4">
              <w:rPr>
                <w:rFonts w:cs="Arial"/>
                <w:b w:val="0"/>
              </w:rPr>
              <w:lastRenderedPageBreak/>
              <w:t>M2</w:t>
            </w:r>
          </w:p>
        </w:tc>
        <w:tc>
          <w:tcPr>
            <w:tcW w:w="2977" w:type="dxa"/>
            <w:vAlign w:val="center"/>
          </w:tcPr>
          <w:p w14:paraId="635C90ED" w14:textId="22F6A6DC" w:rsidR="004612E9" w:rsidRPr="00BB1179" w:rsidRDefault="006F1BC3" w:rsidP="00170985">
            <w:pPr>
              <w:cnfStyle w:val="000000000000" w:firstRow="0" w:lastRow="0" w:firstColumn="0" w:lastColumn="0" w:oddVBand="0" w:evenVBand="0" w:oddHBand="0" w:evenHBand="0" w:firstRowFirstColumn="0" w:firstRowLastColumn="0" w:lastRowFirstColumn="0" w:lastRowLastColumn="0"/>
              <w:rPr>
                <w:bCs/>
              </w:rPr>
            </w:pPr>
            <w:r>
              <w:t>D</w:t>
            </w:r>
            <w:r w:rsidR="004612E9" w:rsidRPr="00BB1179">
              <w:t>ereticulate N</w:t>
            </w:r>
            <w:r w:rsidR="004612E9" w:rsidRPr="00170985">
              <w:rPr>
                <w:vertAlign w:val="subscript"/>
              </w:rPr>
              <w:t>2</w:t>
            </w:r>
            <w:r w:rsidR="004612E9" w:rsidRPr="00BB1179">
              <w:t xml:space="preserve">O from the following sites: Waipapa Theatres, Christchurch hospital and </w:t>
            </w:r>
            <w:r w:rsidR="00074414" w:rsidRPr="00BB1179">
              <w:t xml:space="preserve">key departments </w:t>
            </w:r>
            <w:r>
              <w:t xml:space="preserve">at </w:t>
            </w:r>
            <w:r w:rsidR="00074414" w:rsidRPr="00BB1179">
              <w:t>Middlemore hospital</w:t>
            </w:r>
            <w:r w:rsidR="008A47F0">
              <w:t xml:space="preserve"> and Manukau </w:t>
            </w:r>
            <w:r w:rsidR="00007C3D">
              <w:t>Health Park</w:t>
            </w:r>
            <w:r w:rsidR="00074414" w:rsidRPr="00BB1179">
              <w:t xml:space="preserve"> </w:t>
            </w:r>
          </w:p>
        </w:tc>
        <w:tc>
          <w:tcPr>
            <w:tcW w:w="2977" w:type="dxa"/>
            <w:vAlign w:val="center"/>
          </w:tcPr>
          <w:p w14:paraId="7130C8B9" w14:textId="52CDA2B7" w:rsidR="004612E9" w:rsidRPr="00BB1179" w:rsidRDefault="004612E9" w:rsidP="00170985">
            <w:pPr>
              <w:cnfStyle w:val="000000000000" w:firstRow="0" w:lastRow="0" w:firstColumn="0" w:lastColumn="0" w:oddVBand="0" w:evenVBand="0" w:oddHBand="0" w:evenHBand="0" w:firstRowFirstColumn="0" w:firstRowLastColumn="0" w:lastRowFirstColumn="0" w:lastRowLastColumn="0"/>
              <w:rPr>
                <w:bCs/>
              </w:rPr>
            </w:pPr>
            <w:r w:rsidRPr="00BB1179">
              <w:t>Removing reticulated / piped N</w:t>
            </w:r>
            <w:r w:rsidRPr="00170985">
              <w:rPr>
                <w:vertAlign w:val="subscript"/>
              </w:rPr>
              <w:t>2</w:t>
            </w:r>
            <w:r w:rsidRPr="00BB1179">
              <w:t>O avoids the potential for leaks</w:t>
            </w:r>
            <w:r w:rsidR="002C3164">
              <w:t>.</w:t>
            </w:r>
            <w:r w:rsidRPr="00BB1179">
              <w:t xml:space="preserve"> </w:t>
            </w:r>
          </w:p>
        </w:tc>
        <w:tc>
          <w:tcPr>
            <w:tcW w:w="1843" w:type="dxa"/>
            <w:vAlign w:val="center"/>
          </w:tcPr>
          <w:p w14:paraId="779143A9" w14:textId="4D6C3619" w:rsidR="004612E9" w:rsidRPr="00BB1179" w:rsidRDefault="004612E9" w:rsidP="00170985">
            <w:pPr>
              <w:cnfStyle w:val="000000000000" w:firstRow="0" w:lastRow="0" w:firstColumn="0" w:lastColumn="0" w:oddVBand="0" w:evenVBand="0" w:oddHBand="0" w:evenHBand="0" w:firstRowFirstColumn="0" w:firstRowLastColumn="0" w:lastRowFirstColumn="0" w:lastRowLastColumn="0"/>
            </w:pPr>
            <w:r w:rsidRPr="00BB1179">
              <w:t>Infrastructure Investment Group</w:t>
            </w:r>
          </w:p>
        </w:tc>
        <w:tc>
          <w:tcPr>
            <w:tcW w:w="1417" w:type="dxa"/>
            <w:vAlign w:val="center"/>
          </w:tcPr>
          <w:p w14:paraId="1ADD9E50" w14:textId="75A27BFF" w:rsidR="004612E9" w:rsidRPr="00BB1179" w:rsidRDefault="00306EE5" w:rsidP="00170985">
            <w:pPr>
              <w:cnfStyle w:val="000000000000" w:firstRow="0" w:lastRow="0" w:firstColumn="0" w:lastColumn="0" w:oddVBand="0" w:evenVBand="0" w:oddHBand="0" w:evenHBand="0" w:firstRowFirstColumn="0" w:firstRowLastColumn="0" w:lastRowFirstColumn="0" w:lastRowLastColumn="0"/>
            </w:pPr>
            <w:r>
              <w:t>J</w:t>
            </w:r>
            <w:r w:rsidR="00410A33">
              <w:t>une 2027</w:t>
            </w:r>
            <w:r w:rsidR="006F1BC3" w:rsidRPr="00BB1179" w:rsidDel="00153F53">
              <w:t xml:space="preserve"> </w:t>
            </w:r>
          </w:p>
        </w:tc>
      </w:tr>
      <w:tr w:rsidR="00170985" w:rsidRPr="00653A18" w14:paraId="7E15A9F0" w14:textId="77777777" w:rsidTr="007B7D6C">
        <w:trPr>
          <w:cantSplit/>
          <w:trHeight w:val="116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35BCCE1" w14:textId="5FE0B5CB" w:rsidR="004612E9" w:rsidRPr="00033CB4" w:rsidRDefault="004612E9" w:rsidP="004612E9">
            <w:pPr>
              <w:spacing w:before="0" w:after="160" w:line="259" w:lineRule="auto"/>
              <w:rPr>
                <w:b w:val="0"/>
              </w:rPr>
            </w:pPr>
            <w:r w:rsidRPr="00033CB4">
              <w:rPr>
                <w:rFonts w:cs="Arial"/>
                <w:b w:val="0"/>
              </w:rPr>
              <w:t>M3</w:t>
            </w:r>
          </w:p>
        </w:tc>
        <w:tc>
          <w:tcPr>
            <w:tcW w:w="2977" w:type="dxa"/>
            <w:vAlign w:val="center"/>
          </w:tcPr>
          <w:p w14:paraId="03CFC15D" w14:textId="66FD4130" w:rsidR="004612E9" w:rsidRPr="00BB1179" w:rsidRDefault="004612E9" w:rsidP="00170985">
            <w:pPr>
              <w:cnfStyle w:val="000000000000" w:firstRow="0" w:lastRow="0" w:firstColumn="0" w:lastColumn="0" w:oddVBand="0" w:evenVBand="0" w:oddHBand="0" w:evenHBand="0" w:firstRowFirstColumn="0" w:firstRowLastColumn="0" w:lastRowFirstColumn="0" w:lastRowLastColumn="0"/>
              <w:rPr>
                <w:bCs/>
              </w:rPr>
            </w:pPr>
            <w:r w:rsidRPr="00BB1179">
              <w:t xml:space="preserve">Establish a national programme of qualitative Nitrous </w:t>
            </w:r>
            <w:r w:rsidR="00D521CC">
              <w:t>O</w:t>
            </w:r>
            <w:r w:rsidRPr="00BB1179">
              <w:t>xide exposure monitoring</w:t>
            </w:r>
          </w:p>
        </w:tc>
        <w:tc>
          <w:tcPr>
            <w:tcW w:w="2977" w:type="dxa"/>
            <w:vAlign w:val="center"/>
          </w:tcPr>
          <w:p w14:paraId="5439B64B" w14:textId="23E40F15" w:rsidR="004612E9" w:rsidRPr="00BB1179" w:rsidRDefault="004612E9" w:rsidP="00170985">
            <w:pPr>
              <w:cnfStyle w:val="000000000000" w:firstRow="0" w:lastRow="0" w:firstColumn="0" w:lastColumn="0" w:oddVBand="0" w:evenVBand="0" w:oddHBand="0" w:evenHBand="0" w:firstRowFirstColumn="0" w:firstRowLastColumn="0" w:lastRowFirstColumn="0" w:lastRowLastColumn="0"/>
              <w:rPr>
                <w:bCs/>
              </w:rPr>
            </w:pPr>
            <w:r w:rsidRPr="00BB1179">
              <w:t>Qual</w:t>
            </w:r>
            <w:r w:rsidR="000353E3">
              <w:t>itative</w:t>
            </w:r>
            <w:r w:rsidRPr="00BB1179">
              <w:t xml:space="preserve"> risk assessment for birthing units,</w:t>
            </w:r>
            <w:r w:rsidR="00F21267">
              <w:t xml:space="preserve"> to identify high exposure prioritised sites. </w:t>
            </w:r>
            <w:r w:rsidRPr="00BB1179">
              <w:t xml:space="preserve"> </w:t>
            </w:r>
          </w:p>
        </w:tc>
        <w:tc>
          <w:tcPr>
            <w:tcW w:w="1843" w:type="dxa"/>
            <w:vAlign w:val="center"/>
          </w:tcPr>
          <w:p w14:paraId="45134D36" w14:textId="57423D64" w:rsidR="004612E9" w:rsidRPr="00BB1179" w:rsidRDefault="004612E9" w:rsidP="00170985">
            <w:pPr>
              <w:cnfStyle w:val="000000000000" w:firstRow="0" w:lastRow="0" w:firstColumn="0" w:lastColumn="0" w:oddVBand="0" w:evenVBand="0" w:oddHBand="0" w:evenHBand="0" w:firstRowFirstColumn="0" w:firstRowLastColumn="0" w:lastRowFirstColumn="0" w:lastRowLastColumn="0"/>
            </w:pPr>
            <w:r w:rsidRPr="00170985">
              <w:t xml:space="preserve">Health, Safety, Wellbeing and Operational Resilience </w:t>
            </w:r>
          </w:p>
        </w:tc>
        <w:tc>
          <w:tcPr>
            <w:tcW w:w="1417" w:type="dxa"/>
            <w:vAlign w:val="center"/>
          </w:tcPr>
          <w:p w14:paraId="1085F506" w14:textId="233A1BA4" w:rsidR="004612E9" w:rsidRPr="00BB1179" w:rsidRDefault="00B47851" w:rsidP="00170985">
            <w:pPr>
              <w:cnfStyle w:val="000000000000" w:firstRow="0" w:lastRow="0" w:firstColumn="0" w:lastColumn="0" w:oddVBand="0" w:evenVBand="0" w:oddHBand="0" w:evenHBand="0" w:firstRowFirstColumn="0" w:firstRowLastColumn="0" w:lastRowFirstColumn="0" w:lastRowLastColumn="0"/>
            </w:pPr>
            <w:r w:rsidRPr="00BB1179">
              <w:t>June 2026</w:t>
            </w:r>
          </w:p>
        </w:tc>
      </w:tr>
      <w:tr w:rsidR="00F21267" w:rsidRPr="00653A18" w14:paraId="3EA564F8" w14:textId="77777777" w:rsidTr="007B7D6C">
        <w:trPr>
          <w:cantSplit/>
          <w:trHeight w:val="116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8DFEB55" w14:textId="1D084C01" w:rsidR="00F21267" w:rsidRPr="00BB21BB" w:rsidRDefault="00F21267" w:rsidP="00F21267">
            <w:pPr>
              <w:spacing w:before="0" w:after="160" w:line="259" w:lineRule="auto"/>
              <w:rPr>
                <w:rFonts w:cs="Arial"/>
                <w:b w:val="0"/>
                <w:color w:val="000000"/>
              </w:rPr>
            </w:pPr>
            <w:r w:rsidRPr="00BB21BB">
              <w:rPr>
                <w:rFonts w:cs="Arial"/>
                <w:b w:val="0"/>
                <w:color w:val="000000"/>
              </w:rPr>
              <w:t>M4</w:t>
            </w:r>
          </w:p>
        </w:tc>
        <w:tc>
          <w:tcPr>
            <w:tcW w:w="2977" w:type="dxa"/>
            <w:vAlign w:val="center"/>
          </w:tcPr>
          <w:p w14:paraId="5153F066" w14:textId="3447D4C4" w:rsidR="00F21267" w:rsidRPr="00BB1179" w:rsidRDefault="00F21267" w:rsidP="00F21267">
            <w:pPr>
              <w:cnfStyle w:val="000000000000" w:firstRow="0" w:lastRow="0" w:firstColumn="0" w:lastColumn="0" w:oddVBand="0" w:evenVBand="0" w:oddHBand="0" w:evenHBand="0" w:firstRowFirstColumn="0" w:firstRowLastColumn="0" w:lastRowFirstColumn="0" w:lastRowLastColumn="0"/>
            </w:pPr>
            <w:r w:rsidRPr="00170985">
              <w:t xml:space="preserve">Develop a business case </w:t>
            </w:r>
            <w:r>
              <w:t>for a prioritised</w:t>
            </w:r>
            <w:r w:rsidRPr="00BB1179">
              <w:t xml:space="preserve"> national programme of </w:t>
            </w:r>
            <w:r>
              <w:t>quantitative</w:t>
            </w:r>
            <w:r w:rsidRPr="00BB1179">
              <w:t xml:space="preserve"> Nitrous </w:t>
            </w:r>
            <w:r>
              <w:t>O</w:t>
            </w:r>
            <w:r w:rsidRPr="00BB1179">
              <w:t>xide exposure monitoring</w:t>
            </w:r>
          </w:p>
        </w:tc>
        <w:tc>
          <w:tcPr>
            <w:tcW w:w="2977" w:type="dxa"/>
            <w:vAlign w:val="center"/>
          </w:tcPr>
          <w:p w14:paraId="1C3A65B4" w14:textId="72DC6810" w:rsidR="00F21267" w:rsidRPr="00BB1179" w:rsidRDefault="00E568FA" w:rsidP="00F21267">
            <w:pPr>
              <w:cnfStyle w:val="000000000000" w:firstRow="0" w:lastRow="0" w:firstColumn="0" w:lastColumn="0" w:oddVBand="0" w:evenVBand="0" w:oddHBand="0" w:evenHBand="0" w:firstRowFirstColumn="0" w:firstRowLastColumn="0" w:lastRowFirstColumn="0" w:lastRowLastColumn="0"/>
            </w:pPr>
            <w:r>
              <w:t xml:space="preserve">To quantify the exposure risk and identify control measures to mitigate. </w:t>
            </w:r>
          </w:p>
        </w:tc>
        <w:tc>
          <w:tcPr>
            <w:tcW w:w="1843" w:type="dxa"/>
            <w:vAlign w:val="center"/>
          </w:tcPr>
          <w:p w14:paraId="075C6C68" w14:textId="3E9F654B" w:rsidR="00F21267" w:rsidRPr="00170985" w:rsidRDefault="00F21267" w:rsidP="00F21267">
            <w:pPr>
              <w:cnfStyle w:val="000000000000" w:firstRow="0" w:lastRow="0" w:firstColumn="0" w:lastColumn="0" w:oddVBand="0" w:evenVBand="0" w:oddHBand="0" w:evenHBand="0" w:firstRowFirstColumn="0" w:firstRowLastColumn="0" w:lastRowFirstColumn="0" w:lastRowLastColumn="0"/>
            </w:pPr>
            <w:r w:rsidRPr="00170985">
              <w:t xml:space="preserve">Health, Safety, Wellbeing and Operational Resilience </w:t>
            </w:r>
          </w:p>
        </w:tc>
        <w:tc>
          <w:tcPr>
            <w:tcW w:w="1417" w:type="dxa"/>
            <w:vAlign w:val="center"/>
          </w:tcPr>
          <w:p w14:paraId="7FB7863A" w14:textId="79A73A8A" w:rsidR="00F21267" w:rsidRPr="00BB1179" w:rsidRDefault="00F21267" w:rsidP="00F21267">
            <w:pPr>
              <w:cnfStyle w:val="000000000000" w:firstRow="0" w:lastRow="0" w:firstColumn="0" w:lastColumn="0" w:oddVBand="0" w:evenVBand="0" w:oddHBand="0" w:evenHBand="0" w:firstRowFirstColumn="0" w:firstRowLastColumn="0" w:lastRowFirstColumn="0" w:lastRowLastColumn="0"/>
            </w:pPr>
            <w:r w:rsidRPr="00BB1179">
              <w:t>June 202</w:t>
            </w:r>
            <w:r>
              <w:t>7</w:t>
            </w:r>
          </w:p>
        </w:tc>
      </w:tr>
      <w:tr w:rsidR="0042382F" w:rsidRPr="00653A18" w14:paraId="20322D3B" w14:textId="77777777" w:rsidTr="007B7D6C">
        <w:trPr>
          <w:cantSplit/>
          <w:trHeight w:val="116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D6E752C" w14:textId="7F236E1E" w:rsidR="0042382F" w:rsidRPr="00033CB4" w:rsidRDefault="0042382F" w:rsidP="0042382F">
            <w:pPr>
              <w:spacing w:before="0" w:after="160" w:line="259" w:lineRule="auto"/>
              <w:rPr>
                <w:b w:val="0"/>
              </w:rPr>
            </w:pPr>
            <w:r w:rsidRPr="00033CB4">
              <w:rPr>
                <w:rFonts w:cs="Arial"/>
                <w:b w:val="0"/>
              </w:rPr>
              <w:t>M5</w:t>
            </w:r>
          </w:p>
        </w:tc>
        <w:tc>
          <w:tcPr>
            <w:tcW w:w="2977" w:type="dxa"/>
            <w:vAlign w:val="center"/>
          </w:tcPr>
          <w:p w14:paraId="0191E5A4" w14:textId="0E5F6EBA" w:rsidR="0042382F" w:rsidRPr="00BB1179" w:rsidRDefault="0042382F" w:rsidP="0042382F">
            <w:pPr>
              <w:cnfStyle w:val="000000000000" w:firstRow="0" w:lastRow="0" w:firstColumn="0" w:lastColumn="0" w:oddVBand="0" w:evenVBand="0" w:oddHBand="0" w:evenHBand="0" w:firstRowFirstColumn="0" w:firstRowLastColumn="0" w:lastRowFirstColumn="0" w:lastRowLastColumn="0"/>
              <w:rPr>
                <w:bCs/>
              </w:rPr>
            </w:pPr>
            <w:r>
              <w:rPr>
                <w:color w:val="000000"/>
              </w:rPr>
              <w:t>Establish a Medical Gas Policy Working Group to develop a national Medical Gas Policy</w:t>
            </w:r>
          </w:p>
        </w:tc>
        <w:tc>
          <w:tcPr>
            <w:tcW w:w="2977" w:type="dxa"/>
            <w:vAlign w:val="center"/>
          </w:tcPr>
          <w:p w14:paraId="55237116" w14:textId="503F28C6" w:rsidR="0042382F" w:rsidRPr="00D43411" w:rsidRDefault="0042382F" w:rsidP="0042382F">
            <w:pPr>
              <w:cnfStyle w:val="000000000000" w:firstRow="0" w:lastRow="0" w:firstColumn="0" w:lastColumn="0" w:oddVBand="0" w:evenVBand="0" w:oddHBand="0" w:evenHBand="0" w:firstRowFirstColumn="0" w:firstRowLastColumn="0" w:lastRowFirstColumn="0" w:lastRowLastColumn="0"/>
            </w:pPr>
            <w:r w:rsidRPr="00D43411">
              <w:t xml:space="preserve">A clinician led, multi-disciplinary working group to develop a national policy suite and propose potential further actions. The policy will likely establish settings for when dereticulation or when remediating leaks is the most cost-effective route. </w:t>
            </w:r>
          </w:p>
        </w:tc>
        <w:tc>
          <w:tcPr>
            <w:tcW w:w="1843" w:type="dxa"/>
            <w:vAlign w:val="center"/>
          </w:tcPr>
          <w:p w14:paraId="16AAFC6B" w14:textId="77777777" w:rsidR="0042382F" w:rsidRPr="00D43411" w:rsidRDefault="0042382F" w:rsidP="0042382F">
            <w:pPr>
              <w:pStyle w:val="xmsonormal"/>
              <w:cnfStyle w:val="000000000000" w:firstRow="0" w:lastRow="0" w:firstColumn="0" w:lastColumn="0" w:oddVBand="0" w:evenVBand="0" w:oddHBand="0" w:evenHBand="0" w:firstRowFirstColumn="0" w:firstRowLastColumn="0" w:lastRowFirstColumn="0" w:lastRowLastColumn="0"/>
              <w:rPr>
                <w:rFonts w:ascii="Arial" w:hAnsi="Arial" w:cstheme="minorBidi"/>
                <w:szCs w:val="22"/>
                <w:lang w:eastAsia="en-US"/>
              </w:rPr>
            </w:pPr>
            <w:r w:rsidRPr="00D43411">
              <w:rPr>
                <w:rFonts w:ascii="Arial" w:hAnsi="Arial" w:cstheme="minorBidi"/>
                <w:szCs w:val="22"/>
                <w:lang w:eastAsia="en-US"/>
              </w:rPr>
              <w:t>Office of the Chief Clinical Officer</w:t>
            </w:r>
          </w:p>
          <w:p w14:paraId="4BB62EC9" w14:textId="116BD433" w:rsidR="0042382F" w:rsidRPr="00BB1179" w:rsidRDefault="0042382F" w:rsidP="0042382F">
            <w:pPr>
              <w:cnfStyle w:val="000000000000" w:firstRow="0" w:lastRow="0" w:firstColumn="0" w:lastColumn="0" w:oddVBand="0" w:evenVBand="0" w:oddHBand="0" w:evenHBand="0" w:firstRowFirstColumn="0" w:firstRowLastColumn="0" w:lastRowFirstColumn="0" w:lastRowLastColumn="0"/>
            </w:pPr>
            <w:r w:rsidRPr="00D43411">
              <w:t xml:space="preserve">Sustainability Function </w:t>
            </w:r>
          </w:p>
        </w:tc>
        <w:tc>
          <w:tcPr>
            <w:tcW w:w="1417" w:type="dxa"/>
            <w:vAlign w:val="center"/>
          </w:tcPr>
          <w:p w14:paraId="272DB980" w14:textId="0AFC8898" w:rsidR="0042382F" w:rsidRPr="00BB1179" w:rsidRDefault="0042382F" w:rsidP="0042382F">
            <w:pPr>
              <w:cnfStyle w:val="000000000000" w:firstRow="0" w:lastRow="0" w:firstColumn="0" w:lastColumn="0" w:oddVBand="0" w:evenVBand="0" w:oddHBand="0" w:evenHBand="0" w:firstRowFirstColumn="0" w:firstRowLastColumn="0" w:lastRowFirstColumn="0" w:lastRowLastColumn="0"/>
            </w:pPr>
            <w:r>
              <w:t>March</w:t>
            </w:r>
            <w:r w:rsidRPr="00170985">
              <w:t xml:space="preserve"> 2026</w:t>
            </w:r>
          </w:p>
        </w:tc>
      </w:tr>
      <w:tr w:rsidR="00F21267" w:rsidRPr="00653A18" w14:paraId="0006994E" w14:textId="77777777" w:rsidTr="007B7D6C">
        <w:trPr>
          <w:cantSplit/>
          <w:trHeight w:val="116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C383ED1" w14:textId="17C00770" w:rsidR="00F21267" w:rsidRPr="00033CB4" w:rsidRDefault="00F21267" w:rsidP="00F21267">
            <w:pPr>
              <w:spacing w:before="0" w:after="160" w:line="259" w:lineRule="auto"/>
              <w:rPr>
                <w:rFonts w:cs="Arial"/>
                <w:b w:val="0"/>
              </w:rPr>
            </w:pPr>
            <w:r w:rsidRPr="00033CB4">
              <w:rPr>
                <w:rFonts w:cs="Arial"/>
                <w:b w:val="0"/>
              </w:rPr>
              <w:t>M</w:t>
            </w:r>
            <w:r w:rsidR="00784DE8" w:rsidRPr="00033CB4">
              <w:rPr>
                <w:rFonts w:cs="Arial"/>
                <w:b w:val="0"/>
              </w:rPr>
              <w:t>6</w:t>
            </w:r>
          </w:p>
        </w:tc>
        <w:tc>
          <w:tcPr>
            <w:tcW w:w="2977" w:type="dxa"/>
            <w:vAlign w:val="center"/>
          </w:tcPr>
          <w:p w14:paraId="54CEA673" w14:textId="7C763193" w:rsidR="00F21267" w:rsidRPr="00170985" w:rsidRDefault="00F21267" w:rsidP="00F21267">
            <w:pPr>
              <w:cnfStyle w:val="000000000000" w:firstRow="0" w:lastRow="0" w:firstColumn="0" w:lastColumn="0" w:oddVBand="0" w:evenVBand="0" w:oddHBand="0" w:evenHBand="0" w:firstRowFirstColumn="0" w:firstRowLastColumn="0" w:lastRowFirstColumn="0" w:lastRowLastColumn="0"/>
            </w:pPr>
            <w:r w:rsidRPr="00BB1179">
              <w:t>Trial N</w:t>
            </w:r>
            <w:r w:rsidRPr="00C06F62">
              <w:rPr>
                <w:vertAlign w:val="subscript"/>
              </w:rPr>
              <w:t>2</w:t>
            </w:r>
            <w:r w:rsidRPr="00BB1179">
              <w:t>O destruction units</w:t>
            </w:r>
          </w:p>
        </w:tc>
        <w:tc>
          <w:tcPr>
            <w:tcW w:w="2977" w:type="dxa"/>
            <w:vAlign w:val="center"/>
          </w:tcPr>
          <w:p w14:paraId="16D47168" w14:textId="31237225" w:rsidR="00F21267" w:rsidRPr="00170985" w:rsidRDefault="00F21267" w:rsidP="00F21267">
            <w:pPr>
              <w:cnfStyle w:val="000000000000" w:firstRow="0" w:lastRow="0" w:firstColumn="0" w:lastColumn="0" w:oddVBand="0" w:evenVBand="0" w:oddHBand="0" w:evenHBand="0" w:firstRowFirstColumn="0" w:firstRowLastColumn="0" w:lastRowFirstColumn="0" w:lastRowLastColumn="0"/>
            </w:pPr>
            <w:r w:rsidRPr="00170985">
              <w:t>Develop a business case and identify the next suitable refurbishment or new build projects to trial a centralised N</w:t>
            </w:r>
            <w:r w:rsidRPr="00C06F62">
              <w:rPr>
                <w:vertAlign w:val="subscript"/>
              </w:rPr>
              <w:t>2</w:t>
            </w:r>
            <w:r w:rsidRPr="00170985">
              <w:t xml:space="preserve">O destruction unit.  </w:t>
            </w:r>
          </w:p>
        </w:tc>
        <w:tc>
          <w:tcPr>
            <w:tcW w:w="1843" w:type="dxa"/>
            <w:vAlign w:val="center"/>
          </w:tcPr>
          <w:p w14:paraId="6F0F5E46" w14:textId="26E48A65" w:rsidR="00F21267" w:rsidRPr="00170985" w:rsidRDefault="00F21267" w:rsidP="00F21267">
            <w:pPr>
              <w:cnfStyle w:val="000000000000" w:firstRow="0" w:lastRow="0" w:firstColumn="0" w:lastColumn="0" w:oddVBand="0" w:evenVBand="0" w:oddHBand="0" w:evenHBand="0" w:firstRowFirstColumn="0" w:firstRowLastColumn="0" w:lastRowFirstColumn="0" w:lastRowLastColumn="0"/>
            </w:pPr>
            <w:r w:rsidRPr="00BB1179">
              <w:t>Infrastructure Investment Group</w:t>
            </w:r>
          </w:p>
        </w:tc>
        <w:tc>
          <w:tcPr>
            <w:tcW w:w="1417" w:type="dxa"/>
            <w:vAlign w:val="center"/>
          </w:tcPr>
          <w:p w14:paraId="3BA085D0" w14:textId="74F17C7F" w:rsidR="00F21267" w:rsidRPr="00170985" w:rsidRDefault="00F21267" w:rsidP="00F21267">
            <w:pPr>
              <w:cnfStyle w:val="000000000000" w:firstRow="0" w:lastRow="0" w:firstColumn="0" w:lastColumn="0" w:oddVBand="0" w:evenVBand="0" w:oddHBand="0" w:evenHBand="0" w:firstRowFirstColumn="0" w:firstRowLastColumn="0" w:lastRowFirstColumn="0" w:lastRowLastColumn="0"/>
            </w:pPr>
            <w:r w:rsidRPr="00170985">
              <w:t>June 2027</w:t>
            </w:r>
          </w:p>
        </w:tc>
      </w:tr>
      <w:tr w:rsidR="00F21267" w:rsidRPr="00653A18" w14:paraId="43F5EEE6" w14:textId="77777777" w:rsidTr="007B7D6C">
        <w:trPr>
          <w:cantSplit/>
          <w:trHeight w:val="116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7C52E23" w14:textId="30C812AB" w:rsidR="00F21267" w:rsidRPr="00327D09" w:rsidRDefault="00F21267" w:rsidP="00F21267">
            <w:pPr>
              <w:spacing w:before="0" w:after="160" w:line="259" w:lineRule="auto"/>
              <w:rPr>
                <w:b w:val="0"/>
                <w:highlight w:val="yellow"/>
              </w:rPr>
            </w:pPr>
            <w:r w:rsidRPr="00327D09">
              <w:rPr>
                <w:b w:val="0"/>
              </w:rPr>
              <w:lastRenderedPageBreak/>
              <w:t>V1</w:t>
            </w:r>
          </w:p>
        </w:tc>
        <w:tc>
          <w:tcPr>
            <w:tcW w:w="2977" w:type="dxa"/>
            <w:vAlign w:val="center"/>
          </w:tcPr>
          <w:p w14:paraId="6287F31E" w14:textId="3875D4B3" w:rsidR="00F21267" w:rsidRPr="001C0CA8" w:rsidRDefault="00F21267" w:rsidP="00F21267">
            <w:pPr>
              <w:spacing w:before="0" w:after="160" w:line="259" w:lineRule="auto"/>
              <w:cnfStyle w:val="000000000000" w:firstRow="0" w:lastRow="0" w:firstColumn="0" w:lastColumn="0" w:oddVBand="0" w:evenVBand="0" w:oddHBand="0" w:evenHBand="0" w:firstRowFirstColumn="0" w:firstRowLastColumn="0" w:lastRowFirstColumn="0" w:lastRowLastColumn="0"/>
              <w:rPr>
                <w:bCs/>
                <w:highlight w:val="yellow"/>
              </w:rPr>
            </w:pPr>
            <w:r>
              <w:rPr>
                <w:rFonts w:cs="Arial"/>
                <w:color w:val="000000"/>
              </w:rPr>
              <w:t>Collaborate on a policy on low global warming potential anaesthetics</w:t>
            </w:r>
          </w:p>
        </w:tc>
        <w:tc>
          <w:tcPr>
            <w:tcW w:w="2977" w:type="dxa"/>
            <w:vAlign w:val="center"/>
          </w:tcPr>
          <w:p w14:paraId="1486B03A" w14:textId="59ACBCA3" w:rsidR="00F21267" w:rsidRPr="001C0CA8" w:rsidRDefault="00F21267" w:rsidP="00F21267">
            <w:pPr>
              <w:spacing w:before="0" w:after="160" w:line="259" w:lineRule="auto"/>
              <w:cnfStyle w:val="000000000000" w:firstRow="0" w:lastRow="0" w:firstColumn="0" w:lastColumn="0" w:oddVBand="0" w:evenVBand="0" w:oddHBand="0" w:evenHBand="0" w:firstRowFirstColumn="0" w:firstRowLastColumn="0" w:lastRowFirstColumn="0" w:lastRowLastColumn="0"/>
              <w:rPr>
                <w:bCs/>
                <w:highlight w:val="yellow"/>
              </w:rPr>
            </w:pPr>
            <w:r>
              <w:rPr>
                <w:rFonts w:cs="Arial"/>
                <w:color w:val="000000"/>
              </w:rPr>
              <w:t>Provide guidelines on reducing the emissions from anaesthesia and through engagement assess feasibility to remove Desflurane from the national formulary</w:t>
            </w:r>
            <w:r w:rsidR="002C3164">
              <w:rPr>
                <w:rFonts w:cs="Arial"/>
                <w:color w:val="000000"/>
              </w:rPr>
              <w:t>.</w:t>
            </w:r>
          </w:p>
        </w:tc>
        <w:tc>
          <w:tcPr>
            <w:tcW w:w="1843" w:type="dxa"/>
            <w:vAlign w:val="center"/>
          </w:tcPr>
          <w:p w14:paraId="0E234AE2" w14:textId="2781DCE3" w:rsidR="00F21267" w:rsidRPr="00170985" w:rsidRDefault="00F21267" w:rsidP="00F21267">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10356C">
              <w:rPr>
                <w:rFonts w:cs="Arial"/>
                <w:color w:val="000000"/>
              </w:rPr>
              <w:t>Office of the Chief Clinical Officer</w:t>
            </w:r>
          </w:p>
        </w:tc>
        <w:tc>
          <w:tcPr>
            <w:tcW w:w="1417" w:type="dxa"/>
            <w:vAlign w:val="center"/>
          </w:tcPr>
          <w:p w14:paraId="7AFC8136" w14:textId="3C03C19D" w:rsidR="00F21267" w:rsidRPr="00170985" w:rsidRDefault="00F21267" w:rsidP="00F21267">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170985">
              <w:t xml:space="preserve">December 2026 </w:t>
            </w:r>
          </w:p>
        </w:tc>
      </w:tr>
    </w:tbl>
    <w:p w14:paraId="378131FC" w14:textId="77777777" w:rsidR="00871C74" w:rsidRDefault="00871C74" w:rsidP="00A37F33">
      <w:pPr>
        <w:spacing w:before="0" w:after="160" w:line="259" w:lineRule="auto"/>
      </w:pPr>
    </w:p>
    <w:p w14:paraId="3145D3AD" w14:textId="77777777" w:rsidR="005A1557" w:rsidRPr="00653A18" w:rsidRDefault="005A1557" w:rsidP="00A1728D">
      <w:pPr>
        <w:pStyle w:val="ListBullet"/>
        <w:numPr>
          <w:ilvl w:val="0"/>
          <w:numId w:val="0"/>
        </w:numPr>
        <w:ind w:left="425" w:hanging="425"/>
        <w:sectPr w:rsidR="005A1557" w:rsidRPr="00653A18" w:rsidSect="00263310">
          <w:headerReference w:type="even" r:id="rId34"/>
          <w:headerReference w:type="default" r:id="rId35"/>
          <w:footerReference w:type="default" r:id="rId36"/>
          <w:headerReference w:type="first" r:id="rId37"/>
          <w:footerReference w:type="first" r:id="rId38"/>
          <w:footnotePr>
            <w:numFmt w:val="lowerRoman"/>
          </w:footnotePr>
          <w:endnotePr>
            <w:numFmt w:val="decimal"/>
          </w:endnotePr>
          <w:type w:val="continuous"/>
          <w:pgSz w:w="11906" w:h="16838" w:code="9"/>
          <w:pgMar w:top="1134" w:right="1134" w:bottom="1134" w:left="1134" w:header="1304" w:footer="454" w:gutter="0"/>
          <w:cols w:space="708"/>
          <w:titlePg/>
          <w:docGrid w:linePitch="360"/>
        </w:sectPr>
      </w:pPr>
    </w:p>
    <w:p w14:paraId="61607FF2" w14:textId="60DE8A17" w:rsidR="00DF19E5" w:rsidRPr="00653A18" w:rsidRDefault="00363B9E" w:rsidP="00404FE7">
      <w:pPr>
        <w:pStyle w:val="Dividerheading"/>
        <w:ind w:left="0"/>
      </w:pPr>
      <w:r w:rsidRPr="00653A18">
        <w:rPr>
          <w:noProof/>
          <w:color w:val="003399" w:themeColor="accent3"/>
          <w14:ligatures w14:val="none"/>
        </w:rPr>
        <w:lastRenderedPageBreak/>
        <w:drawing>
          <wp:anchor distT="0" distB="0" distL="114300" distR="114300" simplePos="0" relativeHeight="251658242" behindDoc="1" locked="0" layoutInCell="1" allowOverlap="1" wp14:anchorId="55C87D38" wp14:editId="0778B679">
            <wp:simplePos x="0" y="0"/>
            <wp:positionH relativeFrom="column">
              <wp:posOffset>-720090</wp:posOffset>
            </wp:positionH>
            <wp:positionV relativeFrom="paragraph">
              <wp:posOffset>-1079500</wp:posOffset>
            </wp:positionV>
            <wp:extent cx="7559999" cy="9598548"/>
            <wp:effectExtent l="0" t="0" r="3175" b="3175"/>
            <wp:wrapNone/>
            <wp:docPr id="156831841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18412" name="Picture 5">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7559999" cy="9598548"/>
                    </a:xfrm>
                    <a:prstGeom prst="rect">
                      <a:avLst/>
                    </a:prstGeom>
                  </pic:spPr>
                </pic:pic>
              </a:graphicData>
            </a:graphic>
            <wp14:sizeRelH relativeFrom="page">
              <wp14:pctWidth>0</wp14:pctWidth>
            </wp14:sizeRelH>
            <wp14:sizeRelV relativeFrom="page">
              <wp14:pctHeight>0</wp14:pctHeight>
            </wp14:sizeRelV>
          </wp:anchor>
        </w:drawing>
      </w:r>
      <w:r w:rsidR="000B0E54">
        <w:rPr>
          <w:color w:val="003399" w:themeColor="accent3"/>
        </w:rPr>
        <w:t xml:space="preserve">Footprint Plus </w:t>
      </w:r>
      <w:r w:rsidR="00404FE7">
        <w:rPr>
          <w:color w:val="003399" w:themeColor="accent3"/>
        </w:rPr>
        <w:t>opportunities</w:t>
      </w:r>
      <w:r w:rsidR="004A4A6A" w:rsidRPr="00653A18">
        <w:rPr>
          <w:noProof/>
          <w:color w:val="003399" w:themeColor="accent3"/>
        </w:rPr>
        <w:t xml:space="preserve"> </w:t>
      </w:r>
      <w:r w:rsidR="00DF19E5" w:rsidRPr="00653A18">
        <w:br w:type="page"/>
      </w:r>
    </w:p>
    <w:p w14:paraId="4E195C1A" w14:textId="093BA942" w:rsidR="00BD4785" w:rsidRPr="00653A18" w:rsidRDefault="00404FE7" w:rsidP="00BD4785">
      <w:pPr>
        <w:pStyle w:val="Section3heading1"/>
      </w:pPr>
      <w:bookmarkStart w:id="63" w:name="_Toc204940788"/>
      <w:r>
        <w:lastRenderedPageBreak/>
        <w:t>Footprint Plus</w:t>
      </w:r>
      <w:bookmarkEnd w:id="63"/>
    </w:p>
    <w:p w14:paraId="6FBECEFD" w14:textId="5036075F" w:rsidR="00511376" w:rsidRDefault="00511376" w:rsidP="00BD4785">
      <w:r w:rsidRPr="00511376">
        <w:t xml:space="preserve">By their very nature, ‘Footprint Plus’ emissions are distinct and present varying levels of opportunity and influence. This section of the ERP outlines actions and activities currently undertaken by Health </w:t>
      </w:r>
      <w:r>
        <w:t>NZ</w:t>
      </w:r>
      <w:r w:rsidRPr="00511376">
        <w:t xml:space="preserve"> to reduce these emissions, even in the absence of a baseline assessment.</w:t>
      </w:r>
    </w:p>
    <w:p w14:paraId="5BD79952" w14:textId="6CE51DD0" w:rsidR="00BD4785" w:rsidRDefault="00B427FF" w:rsidP="00BD4785">
      <w:pPr>
        <w:pStyle w:val="Section3heading1"/>
      </w:pPr>
      <w:bookmarkStart w:id="64" w:name="_Toc204940789"/>
      <w:r>
        <w:t>Patient and visitor private travel</w:t>
      </w:r>
      <w:bookmarkEnd w:id="64"/>
      <w:r>
        <w:t xml:space="preserve"> </w:t>
      </w:r>
    </w:p>
    <w:p w14:paraId="633F8621" w14:textId="0EFF0921" w:rsidR="004D5270" w:rsidRDefault="004D5270" w:rsidP="00B427FF">
      <w:pPr>
        <w:rPr>
          <w:rFonts w:eastAsia="Arial"/>
        </w:rPr>
      </w:pPr>
      <w:r w:rsidRPr="004D5270">
        <w:rPr>
          <w:rFonts w:eastAsia="Arial"/>
        </w:rPr>
        <w:t xml:space="preserve">Patient and visitor private travel refers to the journeys undertaken by patients and visitors using their own means to access hospital services and visit </w:t>
      </w:r>
      <w:r w:rsidR="0003632E">
        <w:rPr>
          <w:rFonts w:eastAsia="Arial"/>
        </w:rPr>
        <w:t xml:space="preserve">friends and </w:t>
      </w:r>
      <w:r w:rsidRPr="004D5270">
        <w:rPr>
          <w:rFonts w:eastAsia="Arial"/>
        </w:rPr>
        <w:t>whānau. Most patient trips to hospitals fall under this category. Ensuring timely access to healthcare services is essential to maximi</w:t>
      </w:r>
      <w:r w:rsidR="00641BD5">
        <w:rPr>
          <w:rFonts w:eastAsia="Arial"/>
        </w:rPr>
        <w:t>s</w:t>
      </w:r>
      <w:r w:rsidRPr="004D5270">
        <w:rPr>
          <w:rFonts w:eastAsia="Arial"/>
        </w:rPr>
        <w:t>e health outcomes and</w:t>
      </w:r>
      <w:r>
        <w:rPr>
          <w:rFonts w:eastAsia="Arial"/>
        </w:rPr>
        <w:t xml:space="preserve"> can help</w:t>
      </w:r>
      <w:r w:rsidRPr="004D5270">
        <w:rPr>
          <w:rFonts w:eastAsia="Arial"/>
        </w:rPr>
        <w:t xml:space="preserve"> delay or avoid the need for more interventions, which ultimately generate</w:t>
      </w:r>
      <w:r w:rsidR="00D70CB4">
        <w:rPr>
          <w:rFonts w:eastAsia="Arial"/>
        </w:rPr>
        <w:t>s</w:t>
      </w:r>
      <w:r w:rsidRPr="004D5270">
        <w:rPr>
          <w:rFonts w:eastAsia="Arial"/>
        </w:rPr>
        <w:t xml:space="preserve"> more emissions.</w:t>
      </w:r>
    </w:p>
    <w:p w14:paraId="7BC63874" w14:textId="516C23B6" w:rsidR="00B427FF" w:rsidRDefault="00B419F3" w:rsidP="00B427FF">
      <w:pPr>
        <w:rPr>
          <w:rFonts w:eastAsia="Arial"/>
        </w:rPr>
      </w:pPr>
      <w:r w:rsidRPr="00B419F3">
        <w:rPr>
          <w:rFonts w:eastAsia="Arial"/>
        </w:rPr>
        <w:t>Data collected by international counterparts</w:t>
      </w:r>
      <w:r w:rsidR="000631F9">
        <w:rPr>
          <w:rFonts w:eastAsia="Arial"/>
        </w:rPr>
        <w:t>,</w:t>
      </w:r>
      <w:r w:rsidRPr="00B419F3">
        <w:rPr>
          <w:rFonts w:eastAsia="Arial"/>
        </w:rPr>
        <w:t xml:space="preserve"> and some Health </w:t>
      </w:r>
      <w:r w:rsidR="00E61074">
        <w:rPr>
          <w:rFonts w:eastAsia="Arial"/>
        </w:rPr>
        <w:t>NZ</w:t>
      </w:r>
      <w:r w:rsidRPr="00B419F3">
        <w:rPr>
          <w:rFonts w:eastAsia="Arial"/>
        </w:rPr>
        <w:t xml:space="preserve"> districts</w:t>
      </w:r>
      <w:r w:rsidR="000631F9">
        <w:rPr>
          <w:rFonts w:eastAsia="Arial"/>
        </w:rPr>
        <w:t>,</w:t>
      </w:r>
      <w:r w:rsidRPr="00B419F3">
        <w:rPr>
          <w:rFonts w:eastAsia="Arial"/>
        </w:rPr>
        <w:t xml:space="preserve"> suggest that emissions from patient and visitor private travel could be </w:t>
      </w:r>
      <w:r w:rsidR="004B2007">
        <w:rPr>
          <w:rFonts w:eastAsia="Arial"/>
        </w:rPr>
        <w:t xml:space="preserve">a </w:t>
      </w:r>
      <w:r w:rsidR="00E033F3">
        <w:rPr>
          <w:rFonts w:eastAsia="Arial"/>
        </w:rPr>
        <w:t>similar</w:t>
      </w:r>
      <w:r w:rsidR="004B2007">
        <w:rPr>
          <w:rFonts w:eastAsia="Arial"/>
        </w:rPr>
        <w:t xml:space="preserve"> size </w:t>
      </w:r>
      <w:r w:rsidR="00E033F3">
        <w:rPr>
          <w:rFonts w:eastAsia="Arial"/>
        </w:rPr>
        <w:t xml:space="preserve">to </w:t>
      </w:r>
      <w:r w:rsidRPr="00B419F3">
        <w:rPr>
          <w:rFonts w:eastAsia="Arial"/>
        </w:rPr>
        <w:t>energy emissions</w:t>
      </w:r>
      <w:r w:rsidR="00114C38">
        <w:rPr>
          <w:rStyle w:val="EndnoteReference"/>
          <w:rFonts w:eastAsia="Arial"/>
        </w:rPr>
        <w:endnoteReference w:id="19"/>
      </w:r>
      <w:r w:rsidR="00523983" w:rsidRPr="006634A3">
        <w:rPr>
          <w:rFonts w:eastAsia="Arial"/>
          <w:vertAlign w:val="superscript"/>
        </w:rPr>
        <w:t>,</w:t>
      </w:r>
      <w:r w:rsidR="00523983">
        <w:rPr>
          <w:rStyle w:val="EndnoteReference"/>
          <w:rFonts w:eastAsia="Arial"/>
        </w:rPr>
        <w:endnoteReference w:id="20"/>
      </w:r>
      <w:r w:rsidR="00114C38">
        <w:rPr>
          <w:rFonts w:eastAsia="Arial"/>
        </w:rPr>
        <w:t>.</w:t>
      </w:r>
      <w:r w:rsidR="00396571">
        <w:rPr>
          <w:rFonts w:eastAsia="Arial"/>
        </w:rPr>
        <w:t xml:space="preserve"> </w:t>
      </w:r>
      <w:r>
        <w:rPr>
          <w:rFonts w:eastAsia="Arial"/>
        </w:rPr>
        <w:t>R</w:t>
      </w:r>
      <w:r w:rsidRPr="00B419F3">
        <w:rPr>
          <w:rFonts w:eastAsia="Calibri"/>
        </w:rPr>
        <w:t>educing travel and shifting to lower-emission transport modes will improve air quality and reduce the associated risks of chronic respiratory and cardiovascular diseases, certain cancers, and lower birthweight</w:t>
      </w:r>
      <w:r w:rsidR="00974449">
        <w:rPr>
          <w:rStyle w:val="EndnoteReference"/>
          <w:rFonts w:eastAsia="Calibri"/>
        </w:rPr>
        <w:endnoteReference w:id="21"/>
      </w:r>
      <w:r w:rsidR="00974449" w:rsidRPr="00DA1A4C">
        <w:rPr>
          <w:rFonts w:eastAsia="Calibri"/>
        </w:rPr>
        <w:t>.</w:t>
      </w:r>
    </w:p>
    <w:p w14:paraId="08D9950B" w14:textId="41485964" w:rsidR="008931CA" w:rsidRDefault="003A6E00" w:rsidP="003A6E00">
      <w:pPr>
        <w:pStyle w:val="Section3heading2"/>
        <w:rPr>
          <w:rFonts w:eastAsia="Arial"/>
        </w:rPr>
      </w:pPr>
      <w:bookmarkStart w:id="65" w:name="_Toc204940790"/>
      <w:r>
        <w:rPr>
          <w:rFonts w:eastAsia="Arial"/>
        </w:rPr>
        <w:t>Progress</w:t>
      </w:r>
      <w:bookmarkEnd w:id="65"/>
      <w:r>
        <w:rPr>
          <w:rFonts w:eastAsia="Arial"/>
        </w:rPr>
        <w:t xml:space="preserve"> </w:t>
      </w:r>
    </w:p>
    <w:p w14:paraId="6DEDF01D" w14:textId="5BAC2FF1" w:rsidR="00DF0076" w:rsidRDefault="00DF0076" w:rsidP="006A3ABF">
      <w:r w:rsidRPr="0C542F2C">
        <w:t>As of July 2024, 18 Health NZ districts were already using telehealth for outpatient clinic services</w:t>
      </w:r>
      <w:r>
        <w:rPr>
          <w:rStyle w:val="EndnoteReference"/>
        </w:rPr>
        <w:endnoteReference w:id="22"/>
      </w:r>
      <w:r w:rsidRPr="0C542F2C">
        <w:t>, 14 were using it for acute care and five were providing Hospital in the Home. As telehealth services are expanded, patient private travel emissions will go down</w:t>
      </w:r>
      <w:r>
        <w:rPr>
          <w:rStyle w:val="EndnoteReference"/>
        </w:rPr>
        <w:endnoteReference w:id="23"/>
      </w:r>
      <w:r>
        <w:t>, balancing this with patient choice and effectiveness and equity of telehealth outcomes</w:t>
      </w:r>
      <w:r w:rsidRPr="0C542F2C">
        <w:t>.</w:t>
      </w:r>
    </w:p>
    <w:p w14:paraId="2D705742" w14:textId="5BAFDE20" w:rsidR="001F027B" w:rsidRDefault="001F027B" w:rsidP="00170985">
      <w:pPr>
        <w:pStyle w:val="Box"/>
        <w:shd w:val="clear" w:color="auto" w:fill="003399" w:themeFill="accent3"/>
        <w:rPr>
          <w:b/>
          <w:bCs/>
        </w:rPr>
      </w:pPr>
      <w:r>
        <w:rPr>
          <w:b/>
          <w:bCs/>
        </w:rPr>
        <w:t>Case study – Tapiri Mai</w:t>
      </w:r>
      <w:r w:rsidRPr="001F027B">
        <w:rPr>
          <w:b/>
          <w:bCs/>
        </w:rPr>
        <w:t xml:space="preserve"> </w:t>
      </w:r>
      <w:r w:rsidRPr="00D34F2F">
        <w:rPr>
          <w:b/>
          <w:bCs/>
        </w:rPr>
        <w:t>distance healthcare programme</w:t>
      </w:r>
      <w:r w:rsidR="00F242A4">
        <w:rPr>
          <w:b/>
          <w:bCs/>
        </w:rPr>
        <w:t xml:space="preserve"> </w:t>
      </w:r>
      <w:r w:rsidR="00F242A4" w:rsidRPr="00D34F2F">
        <w:rPr>
          <w:b/>
          <w:bCs/>
        </w:rPr>
        <w:t xml:space="preserve">to support rural patients and reduce travel </w:t>
      </w:r>
    </w:p>
    <w:p w14:paraId="30994034" w14:textId="2A7DD5D2" w:rsidR="00787C7C" w:rsidRPr="001F027B" w:rsidRDefault="00787C7C" w:rsidP="00170985">
      <w:pPr>
        <w:pStyle w:val="Box"/>
        <w:shd w:val="clear" w:color="auto" w:fill="003399" w:themeFill="accent3"/>
      </w:pPr>
      <w:r w:rsidRPr="001F027B">
        <w:t>Tapiri Mai distance healthcare programme aims to improve healthcare access for Matakana and Motiti Island communities by supplementing on-site clinics with virtual consultations. The installation of a radio mast was crucial for providing reliable telehealth services, reducing the need for travel. Community engagement was key, with extensive hui to build trust and address concerns about technology. The programme also includes emergency response training and educational workshops. The initiative has led to greater community independence and resilience, with local pharmacies delivering medicines to the islands, further minimis</w:t>
      </w:r>
      <w:r w:rsidR="003B6E1E">
        <w:t>ing</w:t>
      </w:r>
      <w:r w:rsidR="001F027B" w:rsidRPr="00170985">
        <w:t xml:space="preserve"> travel</w:t>
      </w:r>
      <w:r w:rsidR="003B6E1E">
        <w:t xml:space="preserve">. </w:t>
      </w:r>
    </w:p>
    <w:p w14:paraId="110A9F3A" w14:textId="1EE1C2CF" w:rsidR="006A3ABF" w:rsidRPr="00FA357B" w:rsidRDefault="001B14C9" w:rsidP="006A3ABF">
      <w:r>
        <w:rPr>
          <w:noProof/>
        </w:rPr>
        <w:lastRenderedPageBreak/>
        <w:drawing>
          <wp:anchor distT="0" distB="0" distL="114300" distR="114300" simplePos="0" relativeHeight="251658249" behindDoc="0" locked="0" layoutInCell="1" allowOverlap="1" wp14:anchorId="0F2AEACF" wp14:editId="77E73FD5">
            <wp:simplePos x="0" y="0"/>
            <wp:positionH relativeFrom="column">
              <wp:posOffset>3692525</wp:posOffset>
            </wp:positionH>
            <wp:positionV relativeFrom="paragraph">
              <wp:posOffset>40640</wp:posOffset>
            </wp:positionV>
            <wp:extent cx="2263775" cy="3428365"/>
            <wp:effectExtent l="0" t="0" r="3175" b="635"/>
            <wp:wrapThrough wrapText="bothSides">
              <wp:wrapPolygon edited="0">
                <wp:start x="0" y="0"/>
                <wp:lineTo x="0" y="21484"/>
                <wp:lineTo x="21449" y="21484"/>
                <wp:lineTo x="21449" y="0"/>
                <wp:lineTo x="0" y="0"/>
              </wp:wrapPolygon>
            </wp:wrapThrough>
            <wp:docPr id="855578417" name="Picture 1" descr="Figure 8 Nationwide Service and Campus Plann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78417" name="Picture 1" descr="Figure 8 Nationwide Service and Campus Planning principles"/>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63775" cy="3428365"/>
                    </a:xfrm>
                    <a:prstGeom prst="rect">
                      <a:avLst/>
                    </a:prstGeom>
                  </pic:spPr>
                </pic:pic>
              </a:graphicData>
            </a:graphic>
            <wp14:sizeRelH relativeFrom="margin">
              <wp14:pctWidth>0</wp14:pctWidth>
            </wp14:sizeRelH>
            <wp14:sizeRelV relativeFrom="margin">
              <wp14:pctHeight>0</wp14:pctHeight>
            </wp14:sizeRelV>
          </wp:anchor>
        </w:drawing>
      </w:r>
      <w:r w:rsidR="00B5250F">
        <w:rPr>
          <w:noProof/>
        </w:rPr>
        <w:t>Health NZ’s</w:t>
      </w:r>
      <w:r w:rsidR="006A3ABF" w:rsidRPr="68B76D8B">
        <w:t xml:space="preserve"> Nationwide Service and Campus Planning</w:t>
      </w:r>
      <w:r w:rsidR="006A3ABF">
        <w:rPr>
          <w:rStyle w:val="EndnoteReference"/>
        </w:rPr>
        <w:endnoteReference w:id="24"/>
      </w:r>
      <w:r w:rsidR="006A3ABF" w:rsidRPr="68B76D8B">
        <w:t xml:space="preserve"> identifies the increasing role of virtual healthcare as a key principle for meeting our future healthcare needs</w:t>
      </w:r>
      <w:r w:rsidR="00CD469B">
        <w:t xml:space="preserve"> (</w:t>
      </w:r>
      <w:r w:rsidR="00FF5D53">
        <w:t>F</w:t>
      </w:r>
      <w:r w:rsidR="00CD469B">
        <w:t xml:space="preserve">igure </w:t>
      </w:r>
      <w:r w:rsidR="00FF5D53">
        <w:t>8</w:t>
      </w:r>
      <w:r w:rsidR="00CD469B">
        <w:t>)</w:t>
      </w:r>
      <w:r w:rsidR="006A3ABF" w:rsidRPr="68B76D8B">
        <w:t xml:space="preserve"> and aims to embed digital and virtual technology through the following actions: </w:t>
      </w:r>
    </w:p>
    <w:p w14:paraId="5F8B261F" w14:textId="77777777" w:rsidR="006A3ABF" w:rsidRDefault="006A3ABF" w:rsidP="003E7E00">
      <w:pPr>
        <w:pStyle w:val="ListParagraph"/>
        <w:numPr>
          <w:ilvl w:val="0"/>
          <w:numId w:val="16"/>
        </w:numPr>
        <w:spacing w:before="0" w:after="160" w:line="240" w:lineRule="auto"/>
        <w:ind w:left="709"/>
      </w:pPr>
      <w:r w:rsidRPr="22C06FFE">
        <w:t xml:space="preserve">Development of a national booking, scheduling and referral management </w:t>
      </w:r>
      <w:r w:rsidRPr="6ABE14AB">
        <w:t>service</w:t>
      </w:r>
      <w:r w:rsidRPr="50F629AE">
        <w:t xml:space="preserve"> that supports consumer-led booking and </w:t>
      </w:r>
      <w:r w:rsidRPr="7D8B5B57">
        <w:t xml:space="preserve">scheduling, providing </w:t>
      </w:r>
      <w:r w:rsidRPr="13BE782A">
        <w:t>flexibility in time, location, and mode of delivery.</w:t>
      </w:r>
    </w:p>
    <w:p w14:paraId="784259FC" w14:textId="7201E3F6" w:rsidR="006A3ABF" w:rsidRDefault="006A3ABF" w:rsidP="003E7E00">
      <w:pPr>
        <w:pStyle w:val="ListParagraph"/>
        <w:numPr>
          <w:ilvl w:val="0"/>
          <w:numId w:val="16"/>
        </w:numPr>
        <w:spacing w:before="0" w:after="160" w:line="240" w:lineRule="auto"/>
        <w:ind w:left="709"/>
      </w:pPr>
      <w:r w:rsidRPr="083E6BB8">
        <w:t>Increased use of digital information sources as educative tools and options for specialist advice to support people to access care outside of the hospital setting.</w:t>
      </w:r>
    </w:p>
    <w:p w14:paraId="248319E0" w14:textId="04E18DB3" w:rsidR="006A3ABF" w:rsidRDefault="001B14C9" w:rsidP="003E7E00">
      <w:pPr>
        <w:pStyle w:val="ListParagraph"/>
        <w:numPr>
          <w:ilvl w:val="0"/>
          <w:numId w:val="16"/>
        </w:numPr>
        <w:spacing w:before="0" w:after="160" w:line="240" w:lineRule="auto"/>
        <w:ind w:left="709"/>
      </w:pPr>
      <w:r>
        <w:rPr>
          <w:noProof/>
        </w:rPr>
        <mc:AlternateContent>
          <mc:Choice Requires="wps">
            <w:drawing>
              <wp:anchor distT="0" distB="0" distL="114300" distR="114300" simplePos="0" relativeHeight="251658244" behindDoc="0" locked="0" layoutInCell="1" allowOverlap="1" wp14:anchorId="3408F5DC" wp14:editId="2D69725C">
                <wp:simplePos x="0" y="0"/>
                <wp:positionH relativeFrom="column">
                  <wp:posOffset>3756660</wp:posOffset>
                </wp:positionH>
                <wp:positionV relativeFrom="paragraph">
                  <wp:posOffset>480695</wp:posOffset>
                </wp:positionV>
                <wp:extent cx="2202815" cy="904875"/>
                <wp:effectExtent l="0" t="0" r="6985" b="9525"/>
                <wp:wrapSquare wrapText="bothSides"/>
                <wp:docPr id="533478045" name="Text Box 1"/>
                <wp:cNvGraphicFramePr/>
                <a:graphic xmlns:a="http://schemas.openxmlformats.org/drawingml/2006/main">
                  <a:graphicData uri="http://schemas.microsoft.com/office/word/2010/wordprocessingShape">
                    <wps:wsp>
                      <wps:cNvSpPr txBox="1"/>
                      <wps:spPr>
                        <a:xfrm>
                          <a:off x="0" y="0"/>
                          <a:ext cx="2202815" cy="904875"/>
                        </a:xfrm>
                        <a:prstGeom prst="rect">
                          <a:avLst/>
                        </a:prstGeom>
                        <a:solidFill>
                          <a:prstClr val="white"/>
                        </a:solidFill>
                        <a:ln>
                          <a:noFill/>
                        </a:ln>
                      </wps:spPr>
                      <wps:txbx>
                        <w:txbxContent>
                          <w:p w14:paraId="359FDF95" w14:textId="7AF4B5E2" w:rsidR="007D5F26" w:rsidRPr="00E31E4B" w:rsidRDefault="007D5F26" w:rsidP="00282661">
                            <w:pPr>
                              <w:pStyle w:val="Figure"/>
                              <w:rPr>
                                <w:noProof/>
                              </w:rPr>
                            </w:pPr>
                            <w:bookmarkStart w:id="66" w:name="_Toc198286806"/>
                            <w:r>
                              <w:t xml:space="preserve">Figure </w:t>
                            </w:r>
                            <w:r>
                              <w:fldChar w:fldCharType="begin"/>
                            </w:r>
                            <w:r>
                              <w:instrText xml:space="preserve"> SEQ Figure \* ARABIC </w:instrText>
                            </w:r>
                            <w:r>
                              <w:fldChar w:fldCharType="separate"/>
                            </w:r>
                            <w:r w:rsidR="008B20C4">
                              <w:rPr>
                                <w:noProof/>
                              </w:rPr>
                              <w:t>8</w:t>
                            </w:r>
                            <w:r>
                              <w:fldChar w:fldCharType="end"/>
                            </w:r>
                            <w:r>
                              <w:t xml:space="preserve"> Nationwide Service and Campus Planning</w:t>
                            </w:r>
                            <w:r>
                              <w:rPr>
                                <w:noProof/>
                              </w:rPr>
                              <w:t xml:space="preserve"> principles</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8F5DC" id="Text Box 1" o:spid="_x0000_s1027" type="#_x0000_t202" style="position:absolute;left:0;text-align:left;margin-left:295.8pt;margin-top:37.85pt;width:173.45pt;height:71.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" stroked="f">
                <v:textbox inset="0,0,0,0">
                  <w:txbxContent>
                    <w:p w14:paraId="359FDF95" w14:textId="7AF4B5E2" w:rsidR="007D5F26" w:rsidRPr="00E31E4B" w:rsidRDefault="007D5F26" w:rsidP="00282661">
                      <w:pPr>
                        <w:pStyle w:val="Figure"/>
                        <w:rPr>
                          <w:noProof/>
                        </w:rPr>
                      </w:pPr>
                      <w:bookmarkStart w:id="67" w:name="_Toc198286806"/>
                      <w:r>
                        <w:t xml:space="preserve">Figure </w:t>
                      </w:r>
                      <w:r>
                        <w:fldChar w:fldCharType="begin"/>
                      </w:r>
                      <w:r>
                        <w:instrText xml:space="preserve"> SEQ Figure \* ARABIC </w:instrText>
                      </w:r>
                      <w:r>
                        <w:fldChar w:fldCharType="separate"/>
                      </w:r>
                      <w:r w:rsidR="008B20C4">
                        <w:rPr>
                          <w:noProof/>
                        </w:rPr>
                        <w:t>8</w:t>
                      </w:r>
                      <w:r>
                        <w:fldChar w:fldCharType="end"/>
                      </w:r>
                      <w:r>
                        <w:t xml:space="preserve"> Nationwide Service and Campus Planning</w:t>
                      </w:r>
                      <w:r>
                        <w:rPr>
                          <w:noProof/>
                        </w:rPr>
                        <w:t xml:space="preserve"> principles</w:t>
                      </w:r>
                      <w:bookmarkEnd w:id="67"/>
                    </w:p>
                  </w:txbxContent>
                </v:textbox>
                <w10:wrap type="square"/>
              </v:shape>
            </w:pict>
          </mc:Fallback>
        </mc:AlternateContent>
      </w:r>
      <w:r w:rsidR="006A3ABF" w:rsidRPr="083E6BB8">
        <w:t xml:space="preserve">Development of a single unified national diagnostics service </w:t>
      </w:r>
      <w:r w:rsidR="006A3ABF" w:rsidRPr="2DEC2183">
        <w:t>to enable equitable and improved</w:t>
      </w:r>
      <w:r w:rsidR="006A3ABF" w:rsidRPr="762A04D7">
        <w:t xml:space="preserve"> consumer experience and choice about accessing ambulatory diagnostics </w:t>
      </w:r>
      <w:r w:rsidR="006A3ABF" w:rsidRPr="3BFED389">
        <w:t>closer-to-home.</w:t>
      </w:r>
    </w:p>
    <w:p w14:paraId="54846DA2" w14:textId="3BEC3A5C" w:rsidR="006A3ABF" w:rsidRDefault="006A3ABF" w:rsidP="003E7E00">
      <w:pPr>
        <w:pStyle w:val="ListParagraph"/>
        <w:numPr>
          <w:ilvl w:val="0"/>
          <w:numId w:val="16"/>
        </w:numPr>
        <w:spacing w:before="0" w:after="160" w:line="240" w:lineRule="auto"/>
        <w:ind w:left="709"/>
      </w:pPr>
      <w:r w:rsidRPr="50E1F462">
        <w:t xml:space="preserve">Exploration of systems to augment our workforce, support the delivery of virtual and online health services, and </w:t>
      </w:r>
      <w:r w:rsidRPr="17ADD28F">
        <w:t xml:space="preserve">help design new treatments. </w:t>
      </w:r>
    </w:p>
    <w:p w14:paraId="12E3E6DD" w14:textId="6642D815" w:rsidR="003D4838" w:rsidRDefault="003D4838" w:rsidP="003D4838">
      <w:pPr>
        <w:spacing w:line="257" w:lineRule="auto"/>
        <w:rPr>
          <w:rFonts w:eastAsia="Arial"/>
        </w:rPr>
      </w:pPr>
      <w:r w:rsidRPr="68B76D8B">
        <w:rPr>
          <w:rFonts w:eastAsia="Arial"/>
        </w:rPr>
        <w:t xml:space="preserve">The Nationwide Service and Campus Planning also identifies the importance of making more low complexity services available closer to home. This will reduce the need for patients to travel to access common or high-frequency healthcare services (for instance, radiation oncology will be available in Taranaki, </w:t>
      </w:r>
      <w:r w:rsidRPr="00223CBC">
        <w:rPr>
          <w:rFonts w:eastAsia="Arial"/>
        </w:rPr>
        <w:t>Whang</w:t>
      </w:r>
      <w:r>
        <w:rPr>
          <w:rFonts w:eastAsia="Arial"/>
        </w:rPr>
        <w:t>ā</w:t>
      </w:r>
      <w:r w:rsidRPr="00223CBC">
        <w:rPr>
          <w:rFonts w:eastAsia="Arial"/>
        </w:rPr>
        <w:t>rei</w:t>
      </w:r>
      <w:r w:rsidRPr="68B76D8B">
        <w:rPr>
          <w:rFonts w:eastAsia="Arial"/>
        </w:rPr>
        <w:t xml:space="preserve"> and Hawke’s Bay).</w:t>
      </w:r>
    </w:p>
    <w:p w14:paraId="15C98C62" w14:textId="2F017820" w:rsidR="00103957" w:rsidRPr="00170985" w:rsidRDefault="002424AB" w:rsidP="00170985">
      <w:pPr>
        <w:pStyle w:val="Box"/>
        <w:shd w:val="clear" w:color="auto" w:fill="003399" w:themeFill="accent3"/>
        <w:rPr>
          <w:b/>
          <w:bCs/>
        </w:rPr>
      </w:pPr>
      <w:r w:rsidRPr="00170985">
        <w:rPr>
          <w:b/>
          <w:bCs/>
        </w:rPr>
        <w:t xml:space="preserve">Case </w:t>
      </w:r>
      <w:r w:rsidR="007E5549">
        <w:rPr>
          <w:b/>
          <w:bCs/>
        </w:rPr>
        <w:t>s</w:t>
      </w:r>
      <w:r w:rsidRPr="00170985">
        <w:rPr>
          <w:b/>
          <w:bCs/>
        </w:rPr>
        <w:t xml:space="preserve">tudy – </w:t>
      </w:r>
      <w:r w:rsidR="00103957" w:rsidRPr="00170985">
        <w:rPr>
          <w:b/>
          <w:bCs/>
        </w:rPr>
        <w:t xml:space="preserve">Piki Te Ora – </w:t>
      </w:r>
      <w:r w:rsidR="00F242A4">
        <w:rPr>
          <w:b/>
          <w:bCs/>
        </w:rPr>
        <w:t xml:space="preserve">Pilot for </w:t>
      </w:r>
      <w:r w:rsidR="00103957" w:rsidRPr="00170985">
        <w:rPr>
          <w:b/>
          <w:bCs/>
        </w:rPr>
        <w:t xml:space="preserve">remote health monitoring to support rural patients and reduce travel </w:t>
      </w:r>
    </w:p>
    <w:p w14:paraId="01898DFA" w14:textId="31753416" w:rsidR="002424AB" w:rsidRDefault="002424AB" w:rsidP="00170985">
      <w:pPr>
        <w:pStyle w:val="Box"/>
        <w:shd w:val="clear" w:color="auto" w:fill="003399" w:themeFill="accent3"/>
      </w:pPr>
      <w:r w:rsidRPr="00B65FE1">
        <w:t xml:space="preserve">Piki Te Ora Remote Patient Monitoring pilot </w:t>
      </w:r>
      <w:r>
        <w:t xml:space="preserve">started in 2023 and is due to be complete in </w:t>
      </w:r>
      <w:r w:rsidR="00327D09">
        <w:t>mid-2025</w:t>
      </w:r>
      <w:r w:rsidR="00400EF2">
        <w:t>. I</w:t>
      </w:r>
      <w:r w:rsidR="005B39AF">
        <w:t>t</w:t>
      </w:r>
      <w:r>
        <w:t xml:space="preserve"> </w:t>
      </w:r>
      <w:r w:rsidRPr="00B65FE1">
        <w:t>aims to improve healthcare access for rural Māori communities by enabling patients to monitor their health from home. Using mobile apps and wearable devices, participants can track vital signs and symptoms, which are securely transmitted to healthcare providers for continuous monitoring. This approach</w:t>
      </w:r>
      <w:r>
        <w:t xml:space="preserve"> has the potential to</w:t>
      </w:r>
      <w:r w:rsidRPr="00B65FE1">
        <w:t xml:space="preserve"> reduce the need for frequent travel to distant clinics and hospitals, </w:t>
      </w:r>
      <w:r>
        <w:t>reducing</w:t>
      </w:r>
      <w:r w:rsidRPr="00B65FE1">
        <w:t xml:space="preserve"> unnecessary hospitali</w:t>
      </w:r>
      <w:r>
        <w:t>s</w:t>
      </w:r>
      <w:r w:rsidRPr="00B65FE1">
        <w:t>ations and empowering patients to manage their long-term health conditions more effectively. </w:t>
      </w:r>
      <w:hyperlink r:id="rId41" w:tgtFrame="_blank" w:history="1">
        <w:r w:rsidRPr="00170985">
          <w:t>The pilot fosters community collaboration and aims to enhance health outcomes while minimising t</w:t>
        </w:r>
      </w:hyperlink>
      <w:r w:rsidRPr="00170985">
        <w:t>ravel requirements.</w:t>
      </w:r>
    </w:p>
    <w:p w14:paraId="552D4850" w14:textId="77777777" w:rsidR="00CC2DE4" w:rsidRDefault="00CC2DE4" w:rsidP="00B427FF"/>
    <w:p w14:paraId="2897E223" w14:textId="77777777" w:rsidR="00CC2DE4" w:rsidRDefault="00CC2DE4" w:rsidP="00B427FF"/>
    <w:p w14:paraId="4FD52CDC" w14:textId="71599C37" w:rsidR="008931CA" w:rsidRDefault="00D146D2" w:rsidP="00B427FF">
      <w:r>
        <w:lastRenderedPageBreak/>
        <w:t xml:space="preserve">Support is already in place in some districts </w:t>
      </w:r>
      <w:r w:rsidR="00292777">
        <w:t>that has proven to</w:t>
      </w:r>
      <w:r w:rsidR="00D41EE5">
        <w:t xml:space="preserve"> be</w:t>
      </w:r>
      <w:r w:rsidR="00292777">
        <w:t xml:space="preserve"> effective in encouraging mode shift and improv</w:t>
      </w:r>
      <w:r w:rsidR="00D41EE5">
        <w:t>ing</w:t>
      </w:r>
      <w:r w:rsidR="00292777">
        <w:t xml:space="preserve"> patient experience; </w:t>
      </w:r>
    </w:p>
    <w:p w14:paraId="15976F7F" w14:textId="39064273" w:rsidR="00293C0F" w:rsidRDefault="00293C0F" w:rsidP="00293C0F">
      <w:pPr>
        <w:pStyle w:val="Bulletpoints2"/>
        <w:rPr>
          <w:lang w:val="en-NZ"/>
        </w:rPr>
      </w:pPr>
      <w:r w:rsidRPr="615FAB0C">
        <w:rPr>
          <w:lang w:val="en-NZ"/>
        </w:rPr>
        <w:t>Te Matau a Māui Hawke’s Bay</w:t>
      </w:r>
      <w:r w:rsidR="00E21571">
        <w:rPr>
          <w:lang w:val="en-NZ"/>
        </w:rPr>
        <w:t xml:space="preserve"> </w:t>
      </w:r>
      <w:r w:rsidRPr="615FAB0C">
        <w:rPr>
          <w:lang w:val="en-NZ"/>
        </w:rPr>
        <w:t>provides free public transport for all patients and their caregivers travelling to appointments at the Hawke’s Bay Hospital and Napier Health Centre</w:t>
      </w:r>
      <w:r w:rsidR="0097385B">
        <w:rPr>
          <w:lang w:val="en-NZ"/>
        </w:rPr>
        <w:t>.</w:t>
      </w:r>
    </w:p>
    <w:p w14:paraId="6D9D16A1" w14:textId="473E1701" w:rsidR="00293C0F" w:rsidRDefault="00293C0F" w:rsidP="00293C0F">
      <w:pPr>
        <w:pStyle w:val="Bulletpoints2"/>
        <w:rPr>
          <w:lang w:val="en-NZ"/>
        </w:rPr>
      </w:pPr>
      <w:r w:rsidRPr="00FA357B">
        <w:rPr>
          <w:lang w:val="en-NZ"/>
        </w:rPr>
        <w:t xml:space="preserve">Waikato </w:t>
      </w:r>
      <w:r>
        <w:rPr>
          <w:lang w:val="en-NZ"/>
        </w:rPr>
        <w:t>Hospital</w:t>
      </w:r>
      <w:r w:rsidRPr="00FA357B">
        <w:rPr>
          <w:lang w:val="en-NZ"/>
        </w:rPr>
        <w:t xml:space="preserve"> successfully trialled </w:t>
      </w:r>
      <w:r w:rsidR="004E4F3F">
        <w:rPr>
          <w:lang w:val="en-NZ"/>
        </w:rPr>
        <w:t xml:space="preserve">a </w:t>
      </w:r>
      <w:r w:rsidR="00327F8C">
        <w:rPr>
          <w:lang w:val="en-NZ"/>
        </w:rPr>
        <w:t>year</w:t>
      </w:r>
      <w:r w:rsidR="001B7DB8">
        <w:rPr>
          <w:lang w:val="en-NZ"/>
        </w:rPr>
        <w:t>-</w:t>
      </w:r>
      <w:r w:rsidR="00327F8C">
        <w:rPr>
          <w:lang w:val="en-NZ"/>
        </w:rPr>
        <w:t>long</w:t>
      </w:r>
      <w:r w:rsidR="004E4F3F">
        <w:rPr>
          <w:lang w:val="en-NZ"/>
        </w:rPr>
        <w:t xml:space="preserve"> </w:t>
      </w:r>
      <w:r w:rsidRPr="00FA357B">
        <w:rPr>
          <w:lang w:val="en-NZ"/>
        </w:rPr>
        <w:t xml:space="preserve">50 percent subsidy on public transport for everyone travelling to the </w:t>
      </w:r>
      <w:r>
        <w:rPr>
          <w:lang w:val="en-NZ"/>
        </w:rPr>
        <w:t xml:space="preserve">site, which effectively eliminated missed appointments from car parking and travel issues, which on average were </w:t>
      </w:r>
      <w:r w:rsidR="00D41EE5">
        <w:rPr>
          <w:lang w:val="en-NZ"/>
        </w:rPr>
        <w:t>six</w:t>
      </w:r>
      <w:r>
        <w:rPr>
          <w:lang w:val="en-NZ"/>
        </w:rPr>
        <w:t xml:space="preserve"> a day</w:t>
      </w:r>
      <w:r w:rsidRPr="00FA357B">
        <w:rPr>
          <w:lang w:val="en-NZ"/>
        </w:rPr>
        <w:t xml:space="preserve">. </w:t>
      </w:r>
      <w:r w:rsidR="00BD5C01" w:rsidRPr="002C71E5">
        <w:rPr>
          <w:rFonts w:ascii="Arial Nova" w:hAnsi="Arial Nova"/>
        </w:rPr>
        <w:t>The subsidy resulted in a 20</w:t>
      </w:r>
      <w:r w:rsidR="00BD5C01">
        <w:rPr>
          <w:rFonts w:ascii="Arial Nova" w:hAnsi="Arial Nova"/>
        </w:rPr>
        <w:t xml:space="preserve"> percent</w:t>
      </w:r>
      <w:r w:rsidR="00BD5C01" w:rsidRPr="002C71E5">
        <w:rPr>
          <w:rFonts w:ascii="Arial Nova" w:hAnsi="Arial Nova"/>
        </w:rPr>
        <w:t xml:space="preserve"> increase in passenger usage across all bus services in the first six months of the trial</w:t>
      </w:r>
      <w:r w:rsidR="00BD5C01">
        <w:rPr>
          <w:rFonts w:ascii="Arial Nova" w:hAnsi="Arial Nova"/>
        </w:rPr>
        <w:t xml:space="preserve">. </w:t>
      </w:r>
    </w:p>
    <w:p w14:paraId="7C38DC01" w14:textId="2B7D0D37" w:rsidR="004A4AE4" w:rsidRDefault="004A4AE4" w:rsidP="00F4371E">
      <w:pPr>
        <w:pStyle w:val="Section3heading2"/>
      </w:pPr>
      <w:bookmarkStart w:id="68" w:name="_Toc204940791"/>
      <w:r>
        <w:t>Patient travel a</w:t>
      </w:r>
      <w:r w:rsidR="001B55A6">
        <w:t>ctions</w:t>
      </w:r>
      <w:bookmarkEnd w:id="68"/>
    </w:p>
    <w:p w14:paraId="3A4D84E6" w14:textId="327F73D7" w:rsidR="00F4371E" w:rsidRPr="00F4371E" w:rsidRDefault="00F4371E" w:rsidP="00282661">
      <w:pPr>
        <w:pStyle w:val="Figure"/>
      </w:pPr>
      <w:bookmarkStart w:id="69" w:name="_Toc198286794"/>
      <w:r>
        <w:t xml:space="preserve">Table </w:t>
      </w:r>
      <w:r>
        <w:fldChar w:fldCharType="begin"/>
      </w:r>
      <w:r>
        <w:instrText xml:space="preserve"> SEQ Table \* ARABIC </w:instrText>
      </w:r>
      <w:r>
        <w:fldChar w:fldCharType="separate"/>
      </w:r>
      <w:r w:rsidR="008B20C4">
        <w:rPr>
          <w:noProof/>
        </w:rPr>
        <w:t>12</w:t>
      </w:r>
      <w:r>
        <w:fldChar w:fldCharType="end"/>
      </w:r>
      <w:r>
        <w:t xml:space="preserve"> </w:t>
      </w:r>
      <w:r w:rsidRPr="00AE7164">
        <w:t>Patient travel actions</w:t>
      </w:r>
      <w:bookmarkEnd w:id="69"/>
    </w:p>
    <w:tbl>
      <w:tblPr>
        <w:tblStyle w:val="TeWhatuOra"/>
        <w:tblW w:w="5000" w:type="pct"/>
        <w:tblLook w:val="04A0" w:firstRow="1" w:lastRow="0" w:firstColumn="1" w:lastColumn="0" w:noHBand="0" w:noVBand="1"/>
      </w:tblPr>
      <w:tblGrid>
        <w:gridCol w:w="826"/>
        <w:gridCol w:w="2292"/>
        <w:gridCol w:w="3177"/>
        <w:gridCol w:w="1980"/>
        <w:gridCol w:w="1363"/>
      </w:tblGrid>
      <w:tr w:rsidR="00293C0F" w14:paraId="1E8EC23B" w14:textId="77777777" w:rsidTr="00C479C2">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834" w:type="dxa"/>
          </w:tcPr>
          <w:p w14:paraId="02349BDA" w14:textId="77777777" w:rsidR="00293C0F" w:rsidRPr="00653A18" w:rsidRDefault="00293C0F">
            <w:pPr>
              <w:spacing w:before="0" w:after="160" w:line="259" w:lineRule="auto"/>
            </w:pPr>
            <w:r>
              <w:t>Ref</w:t>
            </w:r>
          </w:p>
        </w:tc>
        <w:tc>
          <w:tcPr>
            <w:tcW w:w="2315" w:type="dxa"/>
          </w:tcPr>
          <w:p w14:paraId="374BA20F" w14:textId="77777777" w:rsidR="00293C0F" w:rsidRPr="00653A18" w:rsidRDefault="00293C0F">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3230" w:type="dxa"/>
          </w:tcPr>
          <w:p w14:paraId="6B94E534" w14:textId="77777777" w:rsidR="00293C0F" w:rsidRPr="00653A18" w:rsidRDefault="00293C0F">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985" w:type="dxa"/>
          </w:tcPr>
          <w:p w14:paraId="4A29DEDF" w14:textId="77777777" w:rsidR="00293C0F" w:rsidRDefault="00293C0F">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1366" w:type="dxa"/>
          </w:tcPr>
          <w:p w14:paraId="4357E8E7" w14:textId="77777777" w:rsidR="00293C0F" w:rsidRDefault="00293C0F">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293C0F" w:rsidRPr="00653A18" w14:paraId="3908274A" w14:textId="77777777" w:rsidTr="00C479C2">
        <w:trPr>
          <w:cantSplit/>
          <w:trHeight w:val="1169"/>
        </w:trPr>
        <w:tc>
          <w:tcPr>
            <w:cnfStyle w:val="001000000000" w:firstRow="0" w:lastRow="0" w:firstColumn="1" w:lastColumn="0" w:oddVBand="0" w:evenVBand="0" w:oddHBand="0" w:evenHBand="0" w:firstRowFirstColumn="0" w:firstRowLastColumn="0" w:lastRowFirstColumn="0" w:lastRowLastColumn="0"/>
            <w:tcW w:w="834" w:type="dxa"/>
            <w:vAlign w:val="center"/>
          </w:tcPr>
          <w:p w14:paraId="65BE22E1" w14:textId="1012EFF8" w:rsidR="00293C0F" w:rsidRPr="003961EB" w:rsidRDefault="00293C0F" w:rsidP="00BD66DC">
            <w:pPr>
              <w:spacing w:before="0" w:after="160" w:line="259" w:lineRule="auto"/>
              <w:rPr>
                <w:b w:val="0"/>
                <w:bCs/>
              </w:rPr>
            </w:pPr>
            <w:r>
              <w:rPr>
                <w:b w:val="0"/>
                <w:bCs/>
              </w:rPr>
              <w:t>P1</w:t>
            </w:r>
          </w:p>
        </w:tc>
        <w:tc>
          <w:tcPr>
            <w:tcW w:w="2315" w:type="dxa"/>
            <w:vAlign w:val="center"/>
          </w:tcPr>
          <w:p w14:paraId="4A4CFC96" w14:textId="1FD49CFF" w:rsidR="00293C0F" w:rsidRPr="003961EB" w:rsidRDefault="00342833"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Create guidance for </w:t>
            </w:r>
            <w:r w:rsidR="007B280B">
              <w:rPr>
                <w:bCs/>
              </w:rPr>
              <w:t>site specific Travel Plans</w:t>
            </w:r>
          </w:p>
        </w:tc>
        <w:tc>
          <w:tcPr>
            <w:tcW w:w="3230" w:type="dxa"/>
            <w:vAlign w:val="center"/>
          </w:tcPr>
          <w:p w14:paraId="0682E116" w14:textId="1D337218" w:rsidR="00293C0F" w:rsidRPr="003961EB" w:rsidRDefault="007B280B">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Create and launch guidance to support </w:t>
            </w:r>
            <w:r w:rsidR="00EE4BF8">
              <w:rPr>
                <w:bCs/>
              </w:rPr>
              <w:t>consistent</w:t>
            </w:r>
            <w:r>
              <w:rPr>
                <w:bCs/>
              </w:rPr>
              <w:t xml:space="preserve"> </w:t>
            </w:r>
            <w:r w:rsidR="00EE4BF8">
              <w:rPr>
                <w:bCs/>
              </w:rPr>
              <w:t>travel planning across major Health NZ sites</w:t>
            </w:r>
            <w:r w:rsidR="002C3164">
              <w:rPr>
                <w:bCs/>
              </w:rPr>
              <w:t>.</w:t>
            </w:r>
          </w:p>
        </w:tc>
        <w:tc>
          <w:tcPr>
            <w:tcW w:w="1985" w:type="dxa"/>
            <w:vAlign w:val="center"/>
          </w:tcPr>
          <w:p w14:paraId="6601AD41" w14:textId="4F43DF53" w:rsidR="00293C0F" w:rsidRPr="00653A18" w:rsidRDefault="00FE256C">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Sustainability </w:t>
            </w:r>
            <w:r w:rsidR="00C16604">
              <w:t>F</w:t>
            </w:r>
            <w:r>
              <w:t xml:space="preserve">unction </w:t>
            </w:r>
          </w:p>
        </w:tc>
        <w:tc>
          <w:tcPr>
            <w:tcW w:w="1366" w:type="dxa"/>
            <w:vAlign w:val="center"/>
          </w:tcPr>
          <w:p w14:paraId="69609384" w14:textId="23C20297" w:rsidR="00293C0F" w:rsidRPr="00653A18" w:rsidRDefault="001F6282">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November </w:t>
            </w:r>
            <w:r w:rsidR="00FE256C">
              <w:t>2025</w:t>
            </w:r>
          </w:p>
        </w:tc>
      </w:tr>
      <w:tr w:rsidR="00E171A7" w:rsidRPr="00653A18" w14:paraId="41A9F01A" w14:textId="77777777" w:rsidTr="00C479C2">
        <w:trPr>
          <w:cantSplit/>
          <w:trHeight w:val="1169"/>
        </w:trPr>
        <w:tc>
          <w:tcPr>
            <w:cnfStyle w:val="001000000000" w:firstRow="0" w:lastRow="0" w:firstColumn="1" w:lastColumn="0" w:oddVBand="0" w:evenVBand="0" w:oddHBand="0" w:evenHBand="0" w:firstRowFirstColumn="0" w:firstRowLastColumn="0" w:lastRowFirstColumn="0" w:lastRowLastColumn="0"/>
            <w:tcW w:w="834" w:type="dxa"/>
            <w:vAlign w:val="center"/>
          </w:tcPr>
          <w:p w14:paraId="45A89A03" w14:textId="1A158E28" w:rsidR="00E171A7" w:rsidRPr="00CF64EE" w:rsidRDefault="00E171A7" w:rsidP="00BD66DC">
            <w:pPr>
              <w:spacing w:before="0" w:after="160" w:line="259" w:lineRule="auto"/>
              <w:rPr>
                <w:b w:val="0"/>
              </w:rPr>
            </w:pPr>
            <w:r w:rsidRPr="00CF64EE">
              <w:rPr>
                <w:b w:val="0"/>
              </w:rPr>
              <w:t>P2</w:t>
            </w:r>
          </w:p>
        </w:tc>
        <w:tc>
          <w:tcPr>
            <w:tcW w:w="2315" w:type="dxa"/>
            <w:vAlign w:val="center"/>
          </w:tcPr>
          <w:p w14:paraId="702948BE" w14:textId="77A1E586" w:rsidR="00E171A7" w:rsidRDefault="00E171A7"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szCs w:val="24"/>
              </w:rPr>
              <w:t>Develop a methodology to assess patient and staff travel emission impacts when planning service and campus changes</w:t>
            </w:r>
          </w:p>
        </w:tc>
        <w:tc>
          <w:tcPr>
            <w:tcW w:w="3230" w:type="dxa"/>
            <w:vAlign w:val="center"/>
          </w:tcPr>
          <w:p w14:paraId="7AD89130" w14:textId="3577374E" w:rsidR="00E171A7" w:rsidRDefault="00E171A7" w:rsidP="00E171A7">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szCs w:val="24"/>
              </w:rPr>
              <w:t>To add emissions as a lens to the modelling of patient journeys to help inform the assessment of service and campus planning options</w:t>
            </w:r>
            <w:r w:rsidR="002C3164">
              <w:rPr>
                <w:szCs w:val="24"/>
              </w:rPr>
              <w:t>.</w:t>
            </w:r>
          </w:p>
        </w:tc>
        <w:tc>
          <w:tcPr>
            <w:tcW w:w="1985" w:type="dxa"/>
            <w:vAlign w:val="center"/>
          </w:tcPr>
          <w:p w14:paraId="6146DB7E" w14:textId="1A068F97" w:rsidR="00E171A7" w:rsidRDefault="00E171A7" w:rsidP="00E171A7">
            <w:pPr>
              <w:spacing w:before="0" w:after="160" w:line="259" w:lineRule="auto"/>
              <w:cnfStyle w:val="000000000000" w:firstRow="0" w:lastRow="0" w:firstColumn="0" w:lastColumn="0" w:oddVBand="0" w:evenVBand="0" w:oddHBand="0" w:evenHBand="0" w:firstRowFirstColumn="0" w:firstRowLastColumn="0" w:lastRowFirstColumn="0" w:lastRowLastColumn="0"/>
            </w:pPr>
            <w:r>
              <w:rPr>
                <w:szCs w:val="24"/>
              </w:rPr>
              <w:t xml:space="preserve">Hospital Funder </w:t>
            </w:r>
          </w:p>
        </w:tc>
        <w:tc>
          <w:tcPr>
            <w:tcW w:w="1366" w:type="dxa"/>
            <w:vAlign w:val="center"/>
          </w:tcPr>
          <w:p w14:paraId="765F50C1" w14:textId="72C55666" w:rsidR="00E171A7" w:rsidRDefault="00E171A7" w:rsidP="00E171A7">
            <w:pPr>
              <w:spacing w:before="0" w:after="160" w:line="259" w:lineRule="auto"/>
              <w:cnfStyle w:val="000000000000" w:firstRow="0" w:lastRow="0" w:firstColumn="0" w:lastColumn="0" w:oddVBand="0" w:evenVBand="0" w:oddHBand="0" w:evenHBand="0" w:firstRowFirstColumn="0" w:firstRowLastColumn="0" w:lastRowFirstColumn="0" w:lastRowLastColumn="0"/>
            </w:pPr>
            <w:r>
              <w:t>October 2025</w:t>
            </w:r>
          </w:p>
        </w:tc>
      </w:tr>
      <w:tr w:rsidR="006A1898" w:rsidRPr="00653A18" w14:paraId="04496CF3" w14:textId="77777777" w:rsidTr="00C479C2">
        <w:trPr>
          <w:cantSplit/>
          <w:trHeight w:val="1169"/>
        </w:trPr>
        <w:tc>
          <w:tcPr>
            <w:cnfStyle w:val="001000000000" w:firstRow="0" w:lastRow="0" w:firstColumn="1" w:lastColumn="0" w:oddVBand="0" w:evenVBand="0" w:oddHBand="0" w:evenHBand="0" w:firstRowFirstColumn="0" w:firstRowLastColumn="0" w:lastRowFirstColumn="0" w:lastRowLastColumn="0"/>
            <w:tcW w:w="834" w:type="dxa"/>
            <w:vAlign w:val="center"/>
          </w:tcPr>
          <w:p w14:paraId="5E2B84EA" w14:textId="02483051" w:rsidR="006A1898" w:rsidRPr="00170985" w:rsidRDefault="006A1898" w:rsidP="00BD66DC">
            <w:pPr>
              <w:spacing w:before="0" w:after="160" w:line="259" w:lineRule="auto"/>
              <w:rPr>
                <w:b w:val="0"/>
                <w:i/>
                <w:iCs/>
              </w:rPr>
            </w:pPr>
            <w:r w:rsidRPr="00170985">
              <w:rPr>
                <w:b w:val="0"/>
              </w:rPr>
              <w:t>P</w:t>
            </w:r>
            <w:r w:rsidR="005118F4" w:rsidRPr="00170985">
              <w:rPr>
                <w:b w:val="0"/>
              </w:rPr>
              <w:t>3</w:t>
            </w:r>
          </w:p>
        </w:tc>
        <w:tc>
          <w:tcPr>
            <w:tcW w:w="2315" w:type="dxa"/>
            <w:vAlign w:val="center"/>
          </w:tcPr>
          <w:p w14:paraId="4696EA3C" w14:textId="0A0E1279" w:rsidR="006A1898" w:rsidRPr="00F56B8E" w:rsidRDefault="006A1898"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i/>
                <w:iCs/>
                <w:highlight w:val="yellow"/>
              </w:rPr>
            </w:pPr>
            <w:r>
              <w:t xml:space="preserve">Through the development of Health NZ’s telehealth approach and strategy, develop a method to quantify the emissions benefits of avoided patient and visitor travel. </w:t>
            </w:r>
          </w:p>
        </w:tc>
        <w:tc>
          <w:tcPr>
            <w:tcW w:w="3230" w:type="dxa"/>
            <w:vAlign w:val="center"/>
          </w:tcPr>
          <w:p w14:paraId="26A4E8D9" w14:textId="5D4EB7D7" w:rsidR="006A1898" w:rsidRPr="00F56B8E" w:rsidRDefault="006A1898" w:rsidP="006A1898">
            <w:pPr>
              <w:spacing w:before="0" w:after="160" w:line="259" w:lineRule="auto"/>
              <w:cnfStyle w:val="000000000000" w:firstRow="0" w:lastRow="0" w:firstColumn="0" w:lastColumn="0" w:oddVBand="0" w:evenVBand="0" w:oddHBand="0" w:evenHBand="0" w:firstRowFirstColumn="0" w:firstRowLastColumn="0" w:lastRowFirstColumn="0" w:lastRowLastColumn="0"/>
              <w:rPr>
                <w:bCs/>
                <w:i/>
                <w:iCs/>
                <w:highlight w:val="yellow"/>
              </w:rPr>
            </w:pPr>
            <w:r>
              <w:t xml:space="preserve">Support decision making with emissions as </w:t>
            </w:r>
            <w:r w:rsidR="00AA5E28">
              <w:t xml:space="preserve">a </w:t>
            </w:r>
            <w:r w:rsidR="003121FC">
              <w:t>lens and</w:t>
            </w:r>
            <w:r>
              <w:t xml:space="preserve"> track the emissions benefit of avoided travel. </w:t>
            </w:r>
          </w:p>
        </w:tc>
        <w:tc>
          <w:tcPr>
            <w:tcW w:w="1985" w:type="dxa"/>
            <w:vAlign w:val="center"/>
          </w:tcPr>
          <w:p w14:paraId="1F8599A3" w14:textId="4A860201" w:rsidR="006A1898" w:rsidRPr="00F56B8E" w:rsidRDefault="006A1898" w:rsidP="00DD1152">
            <w:pPr>
              <w:cnfStyle w:val="000000000000" w:firstRow="0" w:lastRow="0" w:firstColumn="0" w:lastColumn="0" w:oddVBand="0" w:evenVBand="0" w:oddHBand="0" w:evenHBand="0" w:firstRowFirstColumn="0" w:firstRowLastColumn="0" w:lastRowFirstColumn="0" w:lastRowLastColumn="0"/>
              <w:rPr>
                <w:i/>
                <w:iCs/>
                <w:highlight w:val="yellow"/>
              </w:rPr>
            </w:pPr>
            <w:r>
              <w:t>Digital Services, Planning Funding and Outcomes</w:t>
            </w:r>
            <w:r w:rsidR="006A7945">
              <w:t xml:space="preserve">, </w:t>
            </w:r>
            <w:r>
              <w:t xml:space="preserve">Sustainability Function </w:t>
            </w:r>
          </w:p>
        </w:tc>
        <w:tc>
          <w:tcPr>
            <w:tcW w:w="1366" w:type="dxa"/>
            <w:vAlign w:val="center"/>
          </w:tcPr>
          <w:p w14:paraId="6363BCA8" w14:textId="4EC36968" w:rsidR="006A1898" w:rsidRPr="00F56B8E" w:rsidRDefault="004D31C7" w:rsidP="006A1898">
            <w:pPr>
              <w:spacing w:before="0" w:after="160" w:line="259" w:lineRule="auto"/>
              <w:cnfStyle w:val="000000000000" w:firstRow="0" w:lastRow="0" w:firstColumn="0" w:lastColumn="0" w:oddVBand="0" w:evenVBand="0" w:oddHBand="0" w:evenHBand="0" w:firstRowFirstColumn="0" w:firstRowLastColumn="0" w:lastRowFirstColumn="0" w:lastRowLastColumn="0"/>
              <w:rPr>
                <w:i/>
                <w:iCs/>
                <w:highlight w:val="yellow"/>
              </w:rPr>
            </w:pPr>
            <w:r>
              <w:t xml:space="preserve">December </w:t>
            </w:r>
            <w:r w:rsidR="006A1898">
              <w:t>2025</w:t>
            </w:r>
          </w:p>
        </w:tc>
      </w:tr>
      <w:tr w:rsidR="006A1898" w:rsidRPr="00653A18" w14:paraId="1C12714B" w14:textId="77777777" w:rsidTr="00C479C2">
        <w:trPr>
          <w:cantSplit/>
          <w:trHeight w:val="1169"/>
        </w:trPr>
        <w:tc>
          <w:tcPr>
            <w:cnfStyle w:val="001000000000" w:firstRow="0" w:lastRow="0" w:firstColumn="1" w:lastColumn="0" w:oddVBand="0" w:evenVBand="0" w:oddHBand="0" w:evenHBand="0" w:firstRowFirstColumn="0" w:firstRowLastColumn="0" w:lastRowFirstColumn="0" w:lastRowLastColumn="0"/>
            <w:tcW w:w="834" w:type="dxa"/>
            <w:vAlign w:val="center"/>
          </w:tcPr>
          <w:p w14:paraId="17613A2B" w14:textId="0A840055" w:rsidR="006A1898" w:rsidRPr="00170985" w:rsidRDefault="006A1898" w:rsidP="00BD66DC">
            <w:pPr>
              <w:spacing w:before="0" w:after="160" w:line="259" w:lineRule="auto"/>
              <w:rPr>
                <w:b w:val="0"/>
                <w:i/>
                <w:iCs/>
              </w:rPr>
            </w:pPr>
            <w:r w:rsidRPr="00170985">
              <w:rPr>
                <w:b w:val="0"/>
              </w:rPr>
              <w:lastRenderedPageBreak/>
              <w:t>P</w:t>
            </w:r>
            <w:r w:rsidR="005118F4" w:rsidRPr="00170985">
              <w:rPr>
                <w:b w:val="0"/>
              </w:rPr>
              <w:t>4</w:t>
            </w:r>
          </w:p>
        </w:tc>
        <w:tc>
          <w:tcPr>
            <w:tcW w:w="2315" w:type="dxa"/>
            <w:vAlign w:val="center"/>
          </w:tcPr>
          <w:p w14:paraId="08013347" w14:textId="1375CE51" w:rsidR="006A1898" w:rsidRPr="00F56B8E" w:rsidRDefault="006A1898"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i/>
                <w:iCs/>
                <w:highlight w:val="yellow"/>
              </w:rPr>
            </w:pPr>
            <w:r>
              <w:t>Evaluate the Piki Te Ora pilot for remote patient health monitoring for rural patients, for patient benefits and avoided travel emissions.</w:t>
            </w:r>
          </w:p>
        </w:tc>
        <w:tc>
          <w:tcPr>
            <w:tcW w:w="3230" w:type="dxa"/>
            <w:vAlign w:val="center"/>
          </w:tcPr>
          <w:p w14:paraId="3118F25A" w14:textId="2978A376" w:rsidR="006A1898" w:rsidRPr="00F56B8E" w:rsidRDefault="006A1898" w:rsidP="006A1898">
            <w:pPr>
              <w:spacing w:before="0" w:after="160" w:line="259" w:lineRule="auto"/>
              <w:cnfStyle w:val="000000000000" w:firstRow="0" w:lastRow="0" w:firstColumn="0" w:lastColumn="0" w:oddVBand="0" w:evenVBand="0" w:oddHBand="0" w:evenHBand="0" w:firstRowFirstColumn="0" w:firstRowLastColumn="0" w:lastRowFirstColumn="0" w:lastRowLastColumn="0"/>
              <w:rPr>
                <w:bCs/>
                <w:i/>
                <w:iCs/>
                <w:highlight w:val="yellow"/>
              </w:rPr>
            </w:pPr>
            <w:r>
              <w:t xml:space="preserve">To quantify the emission reduction as an additional benefit to the pilot and to support next steps. </w:t>
            </w:r>
          </w:p>
        </w:tc>
        <w:tc>
          <w:tcPr>
            <w:tcW w:w="1985" w:type="dxa"/>
            <w:vAlign w:val="center"/>
          </w:tcPr>
          <w:p w14:paraId="25162C15" w14:textId="0FEC87FF" w:rsidR="006A1898" w:rsidRPr="00815332" w:rsidRDefault="006A1898" w:rsidP="00815332">
            <w:pPr>
              <w:cnfStyle w:val="000000000000" w:firstRow="0" w:lastRow="0" w:firstColumn="0" w:lastColumn="0" w:oddVBand="0" w:evenVBand="0" w:oddHBand="0" w:evenHBand="0" w:firstRowFirstColumn="0" w:firstRowLastColumn="0" w:lastRowFirstColumn="0" w:lastRowLastColumn="0"/>
            </w:pPr>
            <w:r w:rsidRPr="00DD1152">
              <w:t>Digital Services</w:t>
            </w:r>
          </w:p>
        </w:tc>
        <w:tc>
          <w:tcPr>
            <w:tcW w:w="1366" w:type="dxa"/>
            <w:vAlign w:val="center"/>
          </w:tcPr>
          <w:p w14:paraId="5EA5DCBF" w14:textId="39EBBB06" w:rsidR="006A1898" w:rsidRPr="00F56B8E" w:rsidRDefault="006A1898" w:rsidP="006A1898">
            <w:pPr>
              <w:spacing w:before="0" w:after="160" w:line="259" w:lineRule="auto"/>
              <w:cnfStyle w:val="000000000000" w:firstRow="0" w:lastRow="0" w:firstColumn="0" w:lastColumn="0" w:oddVBand="0" w:evenVBand="0" w:oddHBand="0" w:evenHBand="0" w:firstRowFirstColumn="0" w:firstRowLastColumn="0" w:lastRowFirstColumn="0" w:lastRowLastColumn="0"/>
              <w:rPr>
                <w:i/>
                <w:iCs/>
                <w:highlight w:val="yellow"/>
              </w:rPr>
            </w:pPr>
            <w:r>
              <w:t>December 2025</w:t>
            </w:r>
          </w:p>
        </w:tc>
      </w:tr>
    </w:tbl>
    <w:p w14:paraId="7921B9C0" w14:textId="4C0EC5C7" w:rsidR="00BD4785" w:rsidRDefault="00B5250F" w:rsidP="00837AD4">
      <w:pPr>
        <w:pStyle w:val="Section3heading1"/>
      </w:pPr>
      <w:bookmarkStart w:id="70" w:name="_Toc204940792"/>
      <w:r>
        <w:t>Staff Commute</w:t>
      </w:r>
      <w:bookmarkEnd w:id="70"/>
    </w:p>
    <w:p w14:paraId="35DCCAE1" w14:textId="1F527099" w:rsidR="00B5250F" w:rsidRPr="00CD2D7C" w:rsidRDefault="00B36D92" w:rsidP="00CC36E0">
      <w:pPr>
        <w:rPr>
          <w:rFonts w:cstheme="minorHAnsi"/>
        </w:rPr>
      </w:pPr>
      <w:r w:rsidRPr="00B36D92">
        <w:rPr>
          <w:rFonts w:cstheme="minorHAnsi"/>
        </w:rPr>
        <w:t>Staff commuting refers to the travel undertaken by employees between their place of residence and their workplace. Supporting and encouraging staff to use active transport has significant health and wellbeing benefits. Not only does it increase physical activity, but research also shows that people who commute actively have a lower risk of chronic diseases such as diabetes, cancer, and mental health issues, and take fewer sick days</w:t>
      </w:r>
      <w:r w:rsidR="00F97665">
        <w:rPr>
          <w:rStyle w:val="EndnoteReference"/>
          <w:rFonts w:cstheme="minorHAnsi"/>
        </w:rPr>
        <w:endnoteReference w:id="25"/>
      </w:r>
      <w:r w:rsidR="00CD2D7C">
        <w:rPr>
          <w:rStyle w:val="eop"/>
          <w:rFonts w:cstheme="minorHAnsi"/>
        </w:rPr>
        <w:t>.</w:t>
      </w:r>
      <w:r w:rsidR="00C460A1">
        <w:rPr>
          <w:rStyle w:val="eop"/>
          <w:rFonts w:cstheme="minorHAnsi"/>
        </w:rPr>
        <w:t xml:space="preserve"> Emissions from staff commute </w:t>
      </w:r>
      <w:r w:rsidR="00380DDA">
        <w:rPr>
          <w:rStyle w:val="eop"/>
          <w:rFonts w:cstheme="minorHAnsi"/>
        </w:rPr>
        <w:t>could be</w:t>
      </w:r>
      <w:r w:rsidR="00C460A1">
        <w:rPr>
          <w:rStyle w:val="eop"/>
          <w:rFonts w:cstheme="minorHAnsi"/>
        </w:rPr>
        <w:t xml:space="preserve"> </w:t>
      </w:r>
      <w:r w:rsidR="007916D8">
        <w:rPr>
          <w:rStyle w:val="eop"/>
          <w:rFonts w:cstheme="minorHAnsi"/>
        </w:rPr>
        <w:t xml:space="preserve">smaller than </w:t>
      </w:r>
      <w:r w:rsidR="00380DDA">
        <w:rPr>
          <w:rStyle w:val="eop"/>
          <w:rFonts w:cstheme="minorHAnsi"/>
        </w:rPr>
        <w:t xml:space="preserve">patient </w:t>
      </w:r>
      <w:r w:rsidR="007916D8">
        <w:rPr>
          <w:rStyle w:val="eop"/>
          <w:rFonts w:cstheme="minorHAnsi"/>
        </w:rPr>
        <w:t xml:space="preserve">private </w:t>
      </w:r>
      <w:r w:rsidR="00380DDA">
        <w:rPr>
          <w:rStyle w:val="eop"/>
          <w:rFonts w:cstheme="minorHAnsi"/>
        </w:rPr>
        <w:t>travel emissions</w:t>
      </w:r>
      <w:r w:rsidR="00380DDA">
        <w:rPr>
          <w:rStyle w:val="EndnoteReference"/>
          <w:rFonts w:cstheme="minorHAnsi"/>
        </w:rPr>
        <w:endnoteReference w:id="26"/>
      </w:r>
      <w:r w:rsidR="00380DDA">
        <w:rPr>
          <w:rStyle w:val="eop"/>
          <w:rFonts w:cstheme="minorHAnsi"/>
        </w:rPr>
        <w:t>.</w:t>
      </w:r>
    </w:p>
    <w:p w14:paraId="3AB16101" w14:textId="773B4F88" w:rsidR="00BD4785" w:rsidRPr="00837AD4" w:rsidRDefault="003A0522" w:rsidP="00837AD4">
      <w:pPr>
        <w:pStyle w:val="Section3heading2"/>
      </w:pPr>
      <w:bookmarkStart w:id="71" w:name="_Toc204940793"/>
      <w:r w:rsidRPr="00837AD4">
        <w:t>Progress</w:t>
      </w:r>
      <w:bookmarkEnd w:id="71"/>
    </w:p>
    <w:p w14:paraId="576FAF0C" w14:textId="513EF89D" w:rsidR="002E0512" w:rsidRPr="002E0512" w:rsidRDefault="002E0512" w:rsidP="00CC36E0">
      <w:pPr>
        <w:rPr>
          <w:rFonts w:cstheme="minorHAnsi"/>
          <w:szCs w:val="24"/>
        </w:rPr>
      </w:pPr>
      <w:r w:rsidRPr="002E0512">
        <w:rPr>
          <w:rFonts w:cstheme="minorHAnsi"/>
          <w:szCs w:val="24"/>
        </w:rPr>
        <w:t xml:space="preserve">Most of our staff work kanohi ki te kanohi | face to face, to deliver their patient facing roles. It is important, where feasible, to balance team connectivity and collaboration with flexible working arrangements, which have the potential to reduce travel emissions. Health NZ will update </w:t>
      </w:r>
      <w:r w:rsidR="004761F4">
        <w:rPr>
          <w:rFonts w:cstheme="minorHAnsi"/>
          <w:szCs w:val="24"/>
        </w:rPr>
        <w:t>its</w:t>
      </w:r>
      <w:r w:rsidR="004761F4" w:rsidRPr="002E0512">
        <w:rPr>
          <w:rFonts w:cstheme="minorHAnsi"/>
          <w:szCs w:val="24"/>
        </w:rPr>
        <w:t xml:space="preserve"> </w:t>
      </w:r>
      <w:r w:rsidRPr="002E0512">
        <w:rPr>
          <w:rFonts w:cstheme="minorHAnsi"/>
          <w:szCs w:val="24"/>
        </w:rPr>
        <w:t xml:space="preserve">flexible working policy by </w:t>
      </w:r>
      <w:r w:rsidR="00FB20D4">
        <w:rPr>
          <w:rFonts w:cstheme="minorHAnsi"/>
          <w:szCs w:val="24"/>
        </w:rPr>
        <w:t>the end of</w:t>
      </w:r>
      <w:r w:rsidRPr="002E0512">
        <w:rPr>
          <w:rFonts w:cstheme="minorHAnsi"/>
          <w:szCs w:val="24"/>
        </w:rPr>
        <w:t xml:space="preserve"> FY24/25. </w:t>
      </w:r>
    </w:p>
    <w:p w14:paraId="2A5F8D37" w14:textId="037916E3" w:rsidR="00096D90" w:rsidRDefault="00096D90" w:rsidP="00CC36E0">
      <w:pPr>
        <w:rPr>
          <w:rFonts w:cstheme="minorHAnsi"/>
          <w:szCs w:val="24"/>
        </w:rPr>
      </w:pPr>
      <w:r w:rsidRPr="00096D90">
        <w:rPr>
          <w:rFonts w:cstheme="minorHAnsi"/>
          <w:szCs w:val="24"/>
        </w:rPr>
        <w:t>Many districts have introduced active transport incentives for staff, ranging from secure bicycle parking and end-of-trip facilities to public transport subsidies and guaranteed ride home programs. Several districts have packaged these incentives into workplace travel plans, which typically cover not just staff travel but also patient and visitor travel. These plans are monitored for success and are often complemented by disincentives, such as restrictions on free car parking.</w:t>
      </w:r>
    </w:p>
    <w:p w14:paraId="6316C681" w14:textId="77777777" w:rsidR="005879DD" w:rsidRDefault="005879DD" w:rsidP="00CC36E0">
      <w:pPr>
        <w:rPr>
          <w:rFonts w:cstheme="minorHAnsi"/>
          <w:szCs w:val="24"/>
        </w:rPr>
      </w:pPr>
    </w:p>
    <w:p w14:paraId="637C05E7" w14:textId="77777777" w:rsidR="005879DD" w:rsidRDefault="005879DD" w:rsidP="00CC36E0">
      <w:pPr>
        <w:rPr>
          <w:rFonts w:cstheme="minorHAnsi"/>
          <w:szCs w:val="24"/>
        </w:rPr>
      </w:pPr>
    </w:p>
    <w:p w14:paraId="5CAC65CF" w14:textId="77777777" w:rsidR="005879DD" w:rsidRDefault="005879DD" w:rsidP="00CC36E0">
      <w:pPr>
        <w:rPr>
          <w:rFonts w:cstheme="minorHAnsi"/>
          <w:szCs w:val="24"/>
        </w:rPr>
      </w:pPr>
    </w:p>
    <w:p w14:paraId="11EC0D2D" w14:textId="134E2DDA" w:rsidR="00096D90" w:rsidRDefault="00416773" w:rsidP="001B55A6">
      <w:pPr>
        <w:pStyle w:val="Section3heading2"/>
      </w:pPr>
      <w:bookmarkStart w:id="72" w:name="_Toc204940794"/>
      <w:r>
        <w:lastRenderedPageBreak/>
        <w:t xml:space="preserve">Staff Commute </w:t>
      </w:r>
      <w:r w:rsidR="007F5151">
        <w:t>a</w:t>
      </w:r>
      <w:r w:rsidR="001B55A6">
        <w:t>ctions</w:t>
      </w:r>
      <w:bookmarkEnd w:id="72"/>
    </w:p>
    <w:p w14:paraId="363743C2" w14:textId="5DDE32B9" w:rsidR="00264183" w:rsidRPr="00CC36E0" w:rsidRDefault="00F4371E" w:rsidP="00282661">
      <w:pPr>
        <w:pStyle w:val="Figure"/>
        <w:rPr>
          <w:rFonts w:cstheme="minorHAnsi"/>
          <w:szCs w:val="24"/>
        </w:rPr>
      </w:pPr>
      <w:bookmarkStart w:id="73" w:name="_Toc198286795"/>
      <w:r>
        <w:t xml:space="preserve">Table </w:t>
      </w:r>
      <w:r>
        <w:fldChar w:fldCharType="begin"/>
      </w:r>
      <w:r>
        <w:instrText xml:space="preserve"> SEQ Table \* ARABIC </w:instrText>
      </w:r>
      <w:r>
        <w:fldChar w:fldCharType="separate"/>
      </w:r>
      <w:r w:rsidR="008B20C4">
        <w:rPr>
          <w:noProof/>
        </w:rPr>
        <w:t>13</w:t>
      </w:r>
      <w:r>
        <w:fldChar w:fldCharType="end"/>
      </w:r>
      <w:r>
        <w:t xml:space="preserve"> Staff commute actions</w:t>
      </w:r>
      <w:bookmarkEnd w:id="73"/>
    </w:p>
    <w:tbl>
      <w:tblPr>
        <w:tblStyle w:val="TeWhatuOra"/>
        <w:tblW w:w="5000" w:type="pct"/>
        <w:tblLook w:val="04A0" w:firstRow="1" w:lastRow="0" w:firstColumn="1" w:lastColumn="0" w:noHBand="0" w:noVBand="1"/>
      </w:tblPr>
      <w:tblGrid>
        <w:gridCol w:w="816"/>
        <w:gridCol w:w="1775"/>
        <w:gridCol w:w="3566"/>
        <w:gridCol w:w="1980"/>
        <w:gridCol w:w="1501"/>
      </w:tblGrid>
      <w:tr w:rsidR="00264183" w14:paraId="27A55E1D" w14:textId="77777777" w:rsidTr="00C479C2">
        <w:trPr>
          <w:cnfStyle w:val="100000000000" w:firstRow="1" w:lastRow="0" w:firstColumn="0" w:lastColumn="0" w:oddVBand="0" w:evenVBand="0" w:oddHBand="0" w:evenHBand="0" w:firstRowFirstColumn="0" w:firstRowLastColumn="0" w:lastRowFirstColumn="0" w:lastRowLastColumn="0"/>
          <w:cantSplit/>
          <w:trHeight w:val="605"/>
          <w:tblHeader/>
        </w:trPr>
        <w:tc>
          <w:tcPr>
            <w:cnfStyle w:val="001000000000" w:firstRow="0" w:lastRow="0" w:firstColumn="1" w:lastColumn="0" w:oddVBand="0" w:evenVBand="0" w:oddHBand="0" w:evenHBand="0" w:firstRowFirstColumn="0" w:firstRowLastColumn="0" w:lastRowFirstColumn="0" w:lastRowLastColumn="0"/>
            <w:tcW w:w="824" w:type="dxa"/>
          </w:tcPr>
          <w:p w14:paraId="746E4267" w14:textId="77777777" w:rsidR="00264183" w:rsidRPr="00653A18" w:rsidRDefault="00264183">
            <w:pPr>
              <w:spacing w:before="0" w:after="160" w:line="259" w:lineRule="auto"/>
            </w:pPr>
            <w:r>
              <w:t>Ref</w:t>
            </w:r>
          </w:p>
        </w:tc>
        <w:tc>
          <w:tcPr>
            <w:tcW w:w="1792" w:type="dxa"/>
          </w:tcPr>
          <w:p w14:paraId="44F66CFE" w14:textId="77777777" w:rsidR="00264183" w:rsidRPr="00653A18" w:rsidRDefault="00264183">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3621" w:type="dxa"/>
          </w:tcPr>
          <w:p w14:paraId="3CC0249D" w14:textId="77777777" w:rsidR="00264183" w:rsidRPr="00653A18" w:rsidRDefault="00264183">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985" w:type="dxa"/>
          </w:tcPr>
          <w:p w14:paraId="32497ACB" w14:textId="77777777" w:rsidR="00264183" w:rsidRDefault="00264183">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1508" w:type="dxa"/>
          </w:tcPr>
          <w:p w14:paraId="47F89CD4" w14:textId="77777777" w:rsidR="00264183" w:rsidRDefault="00264183">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5F75A9" w:rsidRPr="00653A18" w14:paraId="4F652F67" w14:textId="77777777" w:rsidTr="00C479C2">
        <w:trPr>
          <w:cantSplit/>
          <w:trHeight w:val="1169"/>
        </w:trPr>
        <w:tc>
          <w:tcPr>
            <w:cnfStyle w:val="001000000000" w:firstRow="0" w:lastRow="0" w:firstColumn="1" w:lastColumn="0" w:oddVBand="0" w:evenVBand="0" w:oddHBand="0" w:evenHBand="0" w:firstRowFirstColumn="0" w:firstRowLastColumn="0" w:lastRowFirstColumn="0" w:lastRowLastColumn="0"/>
            <w:tcW w:w="824" w:type="dxa"/>
            <w:vAlign w:val="center"/>
          </w:tcPr>
          <w:p w14:paraId="0E1843FF" w14:textId="37402B00" w:rsidR="005F75A9" w:rsidRPr="003961EB" w:rsidRDefault="6329E28D" w:rsidP="00BD66DC">
            <w:pPr>
              <w:spacing w:before="0" w:after="160" w:line="259" w:lineRule="auto"/>
              <w:rPr>
                <w:b w:val="0"/>
              </w:rPr>
            </w:pPr>
            <w:r>
              <w:rPr>
                <w:b w:val="0"/>
              </w:rPr>
              <w:t>S1</w:t>
            </w:r>
          </w:p>
        </w:tc>
        <w:tc>
          <w:tcPr>
            <w:tcW w:w="1792" w:type="dxa"/>
            <w:vAlign w:val="center"/>
          </w:tcPr>
          <w:p w14:paraId="53F54FB9" w14:textId="556212C7" w:rsidR="005F75A9" w:rsidRPr="003961EB" w:rsidRDefault="009D7DAD"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t>P</w:t>
            </w:r>
            <w:r w:rsidR="005F75A9" w:rsidRPr="0063786E">
              <w:t>repare a prioritised plan and timeline for site-based travel plan</w:t>
            </w:r>
            <w:r w:rsidR="005F75A9">
              <w:t>ning</w:t>
            </w:r>
            <w:r w:rsidR="005F75A9" w:rsidRPr="0063786E">
              <w:t xml:space="preserve"> </w:t>
            </w:r>
          </w:p>
        </w:tc>
        <w:tc>
          <w:tcPr>
            <w:tcW w:w="3621" w:type="dxa"/>
          </w:tcPr>
          <w:p w14:paraId="05004DFE" w14:textId="564A8BBB" w:rsidR="005F75A9" w:rsidRPr="003961EB" w:rsidRDefault="005F75A9" w:rsidP="005F75A9">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63786E">
              <w:t>To identify which major sites require a new/updated Travel Plan and work collaboratively to prepare a future implementation and delivery plan.</w:t>
            </w:r>
          </w:p>
        </w:tc>
        <w:tc>
          <w:tcPr>
            <w:tcW w:w="1985" w:type="dxa"/>
            <w:vAlign w:val="center"/>
          </w:tcPr>
          <w:p w14:paraId="77BCBE52" w14:textId="5A2C99E2" w:rsidR="005F75A9" w:rsidRPr="00653A18" w:rsidRDefault="005F75A9" w:rsidP="005F75A9">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Sustainability </w:t>
            </w:r>
            <w:r w:rsidR="002E7481">
              <w:t>F</w:t>
            </w:r>
            <w:r>
              <w:t xml:space="preserve">unction </w:t>
            </w:r>
          </w:p>
        </w:tc>
        <w:tc>
          <w:tcPr>
            <w:tcW w:w="1508" w:type="dxa"/>
            <w:vAlign w:val="center"/>
          </w:tcPr>
          <w:p w14:paraId="1EDE40B5" w14:textId="29275F4C" w:rsidR="005F75A9" w:rsidRPr="00653A18" w:rsidRDefault="007945C1" w:rsidP="005F75A9">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December </w:t>
            </w:r>
            <w:r w:rsidR="6329E28D">
              <w:t>2025</w:t>
            </w:r>
          </w:p>
        </w:tc>
      </w:tr>
      <w:tr w:rsidR="00264183" w:rsidRPr="00653A18" w14:paraId="57BF6349" w14:textId="77777777" w:rsidTr="00C479C2">
        <w:trPr>
          <w:cantSplit/>
          <w:trHeight w:val="1169"/>
        </w:trPr>
        <w:tc>
          <w:tcPr>
            <w:cnfStyle w:val="001000000000" w:firstRow="0" w:lastRow="0" w:firstColumn="1" w:lastColumn="0" w:oddVBand="0" w:evenVBand="0" w:oddHBand="0" w:evenHBand="0" w:firstRowFirstColumn="0" w:firstRowLastColumn="0" w:lastRowFirstColumn="0" w:lastRowLastColumn="0"/>
            <w:tcW w:w="824" w:type="dxa"/>
            <w:vAlign w:val="center"/>
          </w:tcPr>
          <w:p w14:paraId="77D85F7A" w14:textId="04EF7627" w:rsidR="00264183" w:rsidRDefault="00264183" w:rsidP="00BD66DC">
            <w:pPr>
              <w:spacing w:before="0" w:after="160" w:line="259" w:lineRule="auto"/>
              <w:rPr>
                <w:b w:val="0"/>
                <w:bCs/>
              </w:rPr>
            </w:pPr>
            <w:r>
              <w:rPr>
                <w:b w:val="0"/>
                <w:bCs/>
              </w:rPr>
              <w:t>S2</w:t>
            </w:r>
          </w:p>
        </w:tc>
        <w:tc>
          <w:tcPr>
            <w:tcW w:w="1792" w:type="dxa"/>
            <w:vAlign w:val="center"/>
          </w:tcPr>
          <w:p w14:paraId="42D3BC16" w14:textId="0F21873B" w:rsidR="00264183" w:rsidRDefault="00794697"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Develop </w:t>
            </w:r>
            <w:r w:rsidR="006D356D">
              <w:rPr>
                <w:bCs/>
              </w:rPr>
              <w:t>guidance for effective and right sized end of trip facilities</w:t>
            </w:r>
          </w:p>
        </w:tc>
        <w:tc>
          <w:tcPr>
            <w:tcW w:w="3621" w:type="dxa"/>
            <w:vAlign w:val="center"/>
          </w:tcPr>
          <w:p w14:paraId="4FE38011" w14:textId="7C558EB6" w:rsidR="00264183" w:rsidRDefault="004F01A3">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At master</w:t>
            </w:r>
            <w:r w:rsidR="008268C3">
              <w:rPr>
                <w:bCs/>
              </w:rPr>
              <w:t xml:space="preserve"> </w:t>
            </w:r>
            <w:r>
              <w:rPr>
                <w:bCs/>
              </w:rPr>
              <w:t xml:space="preserve">planning and site planning stages </w:t>
            </w:r>
            <w:r w:rsidR="001622E4">
              <w:rPr>
                <w:bCs/>
              </w:rPr>
              <w:t xml:space="preserve">the appropriate level of end of trip active travel facilities are installed. </w:t>
            </w:r>
          </w:p>
        </w:tc>
        <w:tc>
          <w:tcPr>
            <w:tcW w:w="1985" w:type="dxa"/>
            <w:vAlign w:val="center"/>
          </w:tcPr>
          <w:p w14:paraId="65B4F17A" w14:textId="6D8ED1AC" w:rsidR="00264183" w:rsidRDefault="003A7C76">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3A7C76">
              <w:t>Infrastructure Investment Group and Sustainability Function.</w:t>
            </w:r>
          </w:p>
        </w:tc>
        <w:tc>
          <w:tcPr>
            <w:tcW w:w="1508" w:type="dxa"/>
            <w:vAlign w:val="center"/>
          </w:tcPr>
          <w:p w14:paraId="2EECADF9" w14:textId="72F052B5" w:rsidR="00264183" w:rsidRDefault="005D1052">
            <w:pPr>
              <w:spacing w:before="0" w:after="160" w:line="259" w:lineRule="auto"/>
              <w:cnfStyle w:val="000000000000" w:firstRow="0" w:lastRow="0" w:firstColumn="0" w:lastColumn="0" w:oddVBand="0" w:evenVBand="0" w:oddHBand="0" w:evenHBand="0" w:firstRowFirstColumn="0" w:firstRowLastColumn="0" w:lastRowFirstColumn="0" w:lastRowLastColumn="0"/>
            </w:pPr>
            <w:r>
              <w:t>Comp</w:t>
            </w:r>
            <w:r w:rsidR="00232C4D">
              <w:t>lete</w:t>
            </w:r>
          </w:p>
          <w:p w14:paraId="69A0C556" w14:textId="4A12A23C" w:rsidR="004A6276" w:rsidRDefault="004A6276">
            <w:pPr>
              <w:spacing w:before="0" w:after="160" w:line="259" w:lineRule="auto"/>
              <w:cnfStyle w:val="000000000000" w:firstRow="0" w:lastRow="0" w:firstColumn="0" w:lastColumn="0" w:oddVBand="0" w:evenVBand="0" w:oddHBand="0" w:evenHBand="0" w:firstRowFirstColumn="0" w:firstRowLastColumn="0" w:lastRowFirstColumn="0" w:lastRowLastColumn="0"/>
            </w:pPr>
          </w:p>
        </w:tc>
      </w:tr>
      <w:tr w:rsidR="00D76205" w:rsidRPr="00653A18" w14:paraId="45D1F143" w14:textId="77777777" w:rsidTr="00C479C2">
        <w:trPr>
          <w:cantSplit/>
          <w:trHeight w:val="1169"/>
        </w:trPr>
        <w:tc>
          <w:tcPr>
            <w:cnfStyle w:val="001000000000" w:firstRow="0" w:lastRow="0" w:firstColumn="1" w:lastColumn="0" w:oddVBand="0" w:evenVBand="0" w:oddHBand="0" w:evenHBand="0" w:firstRowFirstColumn="0" w:firstRowLastColumn="0" w:lastRowFirstColumn="0" w:lastRowLastColumn="0"/>
            <w:tcW w:w="824" w:type="dxa"/>
            <w:vAlign w:val="center"/>
          </w:tcPr>
          <w:p w14:paraId="791C82BE" w14:textId="3CF2A988" w:rsidR="00D76205" w:rsidRPr="00C06F62" w:rsidRDefault="00D76205" w:rsidP="00BD66DC">
            <w:pPr>
              <w:spacing w:before="0" w:after="160" w:line="259" w:lineRule="auto"/>
              <w:rPr>
                <w:b w:val="0"/>
                <w:bCs/>
              </w:rPr>
            </w:pPr>
            <w:r w:rsidRPr="00C06F62">
              <w:rPr>
                <w:b w:val="0"/>
                <w:bCs/>
              </w:rPr>
              <w:t>S3</w:t>
            </w:r>
          </w:p>
        </w:tc>
        <w:tc>
          <w:tcPr>
            <w:tcW w:w="1792" w:type="dxa"/>
            <w:vAlign w:val="center"/>
          </w:tcPr>
          <w:p w14:paraId="55D0A6A3" w14:textId="2DC64ACD" w:rsidR="00D76205" w:rsidRPr="00C06F62" w:rsidRDefault="00410A33" w:rsidP="00BD66DC">
            <w:pPr>
              <w:spacing w:before="0" w:after="160" w:line="259" w:lineRule="auto"/>
              <w:cnfStyle w:val="000000000000" w:firstRow="0" w:lastRow="0" w:firstColumn="0" w:lastColumn="0" w:oddVBand="0" w:evenVBand="0" w:oddHBand="0" w:evenHBand="0" w:firstRowFirstColumn="0" w:firstRowLastColumn="0" w:lastRowFirstColumn="0" w:lastRowLastColumn="0"/>
            </w:pPr>
            <w:r>
              <w:rPr>
                <w:bCs/>
              </w:rPr>
              <w:t>Update our</w:t>
            </w:r>
            <w:r w:rsidR="00AB5CBD" w:rsidRPr="00C06F62">
              <w:t xml:space="preserve"> policy related to balancing face to face and flexible working </w:t>
            </w:r>
          </w:p>
        </w:tc>
        <w:tc>
          <w:tcPr>
            <w:tcW w:w="3621" w:type="dxa"/>
            <w:vAlign w:val="center"/>
          </w:tcPr>
          <w:p w14:paraId="40959F8B" w14:textId="370CCB5F" w:rsidR="00D76205" w:rsidRPr="00C06F62" w:rsidRDefault="00AB5CBD">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C06F62">
              <w:t xml:space="preserve">To provide a harmonised national policy for staff that balances the need for flexibility, avoided emissions, culture and </w:t>
            </w:r>
            <w:r w:rsidR="000F4E1A" w:rsidRPr="00C06F62">
              <w:t xml:space="preserve">connectivity. </w:t>
            </w:r>
          </w:p>
        </w:tc>
        <w:tc>
          <w:tcPr>
            <w:tcW w:w="1985" w:type="dxa"/>
            <w:vAlign w:val="center"/>
          </w:tcPr>
          <w:p w14:paraId="471679A7" w14:textId="165EC4BA" w:rsidR="00D76205" w:rsidRPr="00C06F62" w:rsidRDefault="00410A33">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People </w:t>
            </w:r>
            <w:r w:rsidR="000B05D8">
              <w:t>T</w:t>
            </w:r>
            <w:r>
              <w:t>eam</w:t>
            </w:r>
            <w:r w:rsidR="00A654EA">
              <w:t xml:space="preserve"> </w:t>
            </w:r>
          </w:p>
        </w:tc>
        <w:tc>
          <w:tcPr>
            <w:tcW w:w="1508" w:type="dxa"/>
            <w:vAlign w:val="center"/>
          </w:tcPr>
          <w:p w14:paraId="4445D38F" w14:textId="35EDE7CE" w:rsidR="00D76205" w:rsidRPr="00C06F62" w:rsidRDefault="005B5CF5">
            <w:pPr>
              <w:spacing w:before="0" w:after="160" w:line="259" w:lineRule="auto"/>
              <w:cnfStyle w:val="000000000000" w:firstRow="0" w:lastRow="0" w:firstColumn="0" w:lastColumn="0" w:oddVBand="0" w:evenVBand="0" w:oddHBand="0" w:evenHBand="0" w:firstRowFirstColumn="0" w:firstRowLastColumn="0" w:lastRowFirstColumn="0" w:lastRowLastColumn="0"/>
            </w:pPr>
            <w:r w:rsidRPr="00232C4D">
              <w:t>December</w:t>
            </w:r>
            <w:r w:rsidR="00751D66" w:rsidRPr="00C06F62">
              <w:t xml:space="preserve"> </w:t>
            </w:r>
            <w:r w:rsidR="000F4E1A" w:rsidRPr="00C06F62">
              <w:t>2025</w:t>
            </w:r>
          </w:p>
        </w:tc>
      </w:tr>
    </w:tbl>
    <w:p w14:paraId="5F5B220F" w14:textId="78F2B7E9" w:rsidR="00D22126" w:rsidRDefault="009E73BA" w:rsidP="00D22126">
      <w:pPr>
        <w:pStyle w:val="Section3heading1"/>
      </w:pPr>
      <w:bookmarkStart w:id="74" w:name="_Toc204940795"/>
      <w:r>
        <w:t>Procurement and supply chain</w:t>
      </w:r>
      <w:bookmarkEnd w:id="74"/>
    </w:p>
    <w:p w14:paraId="334723BF" w14:textId="6B6E37E5" w:rsidR="00B01329" w:rsidRDefault="001A5FC9" w:rsidP="00B01329">
      <w:r w:rsidRPr="001A5FC9">
        <w:t xml:space="preserve">Supply chain emissions arise from the extraction, processing, transport, and manufacture of goods that Health </w:t>
      </w:r>
      <w:r w:rsidR="00E61074">
        <w:t>NZ</w:t>
      </w:r>
      <w:r w:rsidRPr="001A5FC9">
        <w:t xml:space="preserve"> purchases. Emissions also stem from services that support Health </w:t>
      </w:r>
      <w:r w:rsidR="00E61074">
        <w:t>NZ</w:t>
      </w:r>
      <w:r w:rsidRPr="001A5FC9">
        <w:t xml:space="preserve">’s delivery, such as internet and cloud </w:t>
      </w:r>
      <w:r w:rsidR="007F5DF0">
        <w:t xml:space="preserve">computing </w:t>
      </w:r>
      <w:r w:rsidRPr="001A5FC9">
        <w:t xml:space="preserve">services, as well as healthcare services commissioned by Health </w:t>
      </w:r>
      <w:r w:rsidR="00E61074">
        <w:t>NZ</w:t>
      </w:r>
      <w:r w:rsidRPr="001A5FC9">
        <w:t xml:space="preserve">. </w:t>
      </w:r>
      <w:r w:rsidR="005F4DB0">
        <w:t>International studies show that e</w:t>
      </w:r>
      <w:r w:rsidRPr="001A5FC9">
        <w:t xml:space="preserve">missions from supply chain and commissioned activities constitute a substantial portion of any healthcare system’s emissions inventory, potentially being </w:t>
      </w:r>
      <w:r w:rsidR="00F35712">
        <w:t>two</w:t>
      </w:r>
      <w:r w:rsidR="00F35712" w:rsidRPr="00F56B8E">
        <w:t xml:space="preserve"> </w:t>
      </w:r>
      <w:r w:rsidRPr="00F56B8E">
        <w:t>to five times</w:t>
      </w:r>
      <w:r w:rsidRPr="001A5FC9">
        <w:t xml:space="preserve"> larger than energy emissions</w:t>
      </w:r>
      <w:r w:rsidR="001940A1" w:rsidRPr="00EA4EC9">
        <w:rPr>
          <w:rStyle w:val="EndnoteReference"/>
          <w:rFonts w:asciiTheme="majorHAnsi" w:hAnsiTheme="majorHAnsi" w:cstheme="majorHAnsi"/>
        </w:rPr>
        <w:endnoteReference w:id="27"/>
      </w:r>
      <w:r w:rsidR="00EA4EC9" w:rsidRPr="00EA4EC9">
        <w:rPr>
          <w:vertAlign w:val="superscript"/>
        </w:rPr>
        <w:t>,</w:t>
      </w:r>
      <w:r w:rsidR="00B01329" w:rsidRPr="00EA4EC9">
        <w:rPr>
          <w:rStyle w:val="EndnoteReference"/>
          <w:rFonts w:asciiTheme="majorHAnsi" w:eastAsia="Aptos" w:hAnsiTheme="majorHAnsi" w:cstheme="majorHAnsi"/>
        </w:rPr>
        <w:endnoteReference w:id="28"/>
      </w:r>
      <w:r w:rsidR="00B01329" w:rsidRPr="00223CBC">
        <w:t>.</w:t>
      </w:r>
      <w:r w:rsidR="007618E6">
        <w:t xml:space="preserve"> For thi</w:t>
      </w:r>
      <w:r w:rsidR="00833709">
        <w:t xml:space="preserve">s, our first ERP, we have focused on Procurement and Supply Chain. Our work </w:t>
      </w:r>
      <w:r w:rsidR="00A76A96">
        <w:t xml:space="preserve">related to </w:t>
      </w:r>
      <w:r w:rsidR="00867690">
        <w:t xml:space="preserve">understanding the impact and </w:t>
      </w:r>
      <w:r w:rsidR="00E845AB">
        <w:t xml:space="preserve">partnership </w:t>
      </w:r>
      <w:r w:rsidR="00867690">
        <w:t>opportunit</w:t>
      </w:r>
      <w:r w:rsidR="00FF37F8">
        <w:t>ies</w:t>
      </w:r>
      <w:r w:rsidR="00867690">
        <w:t xml:space="preserve"> in relation to </w:t>
      </w:r>
      <w:r w:rsidR="00A76A96">
        <w:t>commissioned services</w:t>
      </w:r>
      <w:r w:rsidR="00436D29">
        <w:t xml:space="preserve"> providers</w:t>
      </w:r>
      <w:r w:rsidR="004F320E">
        <w:t xml:space="preserve"> and Hauora Māori </w:t>
      </w:r>
      <w:r w:rsidR="00436D29">
        <w:t>P</w:t>
      </w:r>
      <w:r w:rsidR="004F320E">
        <w:t xml:space="preserve">artners </w:t>
      </w:r>
      <w:r w:rsidR="00A76A96">
        <w:t>is in its discovery stage</w:t>
      </w:r>
      <w:r w:rsidR="00D94577">
        <w:t xml:space="preserve"> and will continue to develop</w:t>
      </w:r>
      <w:r w:rsidR="00A76A96">
        <w:t>.</w:t>
      </w:r>
    </w:p>
    <w:p w14:paraId="1D271584" w14:textId="1D6A7BC1" w:rsidR="00E21943" w:rsidRDefault="00A71124" w:rsidP="00A71124">
      <w:pPr>
        <w:pStyle w:val="Section3heading2"/>
      </w:pPr>
      <w:bookmarkStart w:id="75" w:name="_Toc204940796"/>
      <w:r>
        <w:t>Progress</w:t>
      </w:r>
      <w:bookmarkEnd w:id="75"/>
      <w:r>
        <w:t xml:space="preserve"> </w:t>
      </w:r>
      <w:r w:rsidR="00A77ECF">
        <w:t xml:space="preserve"> </w:t>
      </w:r>
    </w:p>
    <w:p w14:paraId="42F3F0D6" w14:textId="70A115FF" w:rsidR="00124930" w:rsidRDefault="001A5FC9" w:rsidP="00023778">
      <w:r w:rsidRPr="001A5FC9">
        <w:t xml:space="preserve">Health </w:t>
      </w:r>
      <w:r>
        <w:t>NZ</w:t>
      </w:r>
      <w:r w:rsidRPr="001A5FC9">
        <w:t xml:space="preserve"> has focused on developing enabling policies and processes at the enterprise level. In 2024, Health </w:t>
      </w:r>
      <w:r>
        <w:t>NZ</w:t>
      </w:r>
      <w:r w:rsidRPr="001A5FC9">
        <w:t xml:space="preserve"> adopted the </w:t>
      </w:r>
      <w:r w:rsidR="00163232">
        <w:t>National</w:t>
      </w:r>
      <w:r w:rsidR="00163232" w:rsidRPr="001A5FC9">
        <w:t xml:space="preserve"> </w:t>
      </w:r>
      <w:r w:rsidRPr="001A5FC9">
        <w:t>Procurement Policy</w:t>
      </w:r>
      <w:r w:rsidR="00163232">
        <w:t>, which defines</w:t>
      </w:r>
      <w:r w:rsidR="00A917A9">
        <w:t xml:space="preserve"> </w:t>
      </w:r>
      <w:r w:rsidRPr="001A5FC9">
        <w:t xml:space="preserve">Broader </w:t>
      </w:r>
      <w:r w:rsidRPr="001A5FC9">
        <w:lastRenderedPageBreak/>
        <w:t>Outcomes</w:t>
      </w:r>
      <w:r w:rsidR="00C405D6">
        <w:t xml:space="preserve"> that can be achieved by procurement activity. The National Procurement Policy </w:t>
      </w:r>
      <w:r w:rsidR="00191A12">
        <w:t>notes that environmental benefits include the reduction of negative impacts.</w:t>
      </w:r>
      <w:r w:rsidR="002D61F4">
        <w:t xml:space="preserve"> </w:t>
      </w:r>
      <w:r w:rsidR="002D61F4" w:rsidRPr="002D61F4">
        <w:t xml:space="preserve">At the same time, updates to the Government </w:t>
      </w:r>
      <w:r w:rsidR="007E5CAA">
        <w:t xml:space="preserve">Procurement </w:t>
      </w:r>
      <w:r w:rsidR="002D61F4" w:rsidRPr="002D61F4">
        <w:t xml:space="preserve">Rules </w:t>
      </w:r>
      <w:r w:rsidR="007E5CAA">
        <w:t xml:space="preserve">(rules) </w:t>
      </w:r>
      <w:r w:rsidR="002D61F4" w:rsidRPr="002D61F4">
        <w:t>have been drafted and consulted. Once the rules are released, there is an opportunity to ensure a strong alignment between the National Procurement Policy and the rules in relation to sustainability and climate change</w:t>
      </w:r>
      <w:r w:rsidR="009147CE">
        <w:t>.</w:t>
      </w:r>
    </w:p>
    <w:p w14:paraId="5DDC24AC" w14:textId="111F743D" w:rsidR="001B55A6" w:rsidRDefault="00AB331E" w:rsidP="001B55A6">
      <w:pPr>
        <w:pStyle w:val="Section3heading2"/>
      </w:pPr>
      <w:bookmarkStart w:id="76" w:name="_Toc204940797"/>
      <w:r>
        <w:t xml:space="preserve">Procurement and </w:t>
      </w:r>
      <w:r w:rsidR="006C045C">
        <w:t>Supply chain a</w:t>
      </w:r>
      <w:r w:rsidR="001B55A6">
        <w:t>ctions</w:t>
      </w:r>
      <w:bookmarkEnd w:id="76"/>
    </w:p>
    <w:p w14:paraId="6F1AE265" w14:textId="445E79DA" w:rsidR="00714417" w:rsidRDefault="006C045C" w:rsidP="00282661">
      <w:pPr>
        <w:pStyle w:val="Figure"/>
      </w:pPr>
      <w:bookmarkStart w:id="77" w:name="_Toc198286796"/>
      <w:r>
        <w:t xml:space="preserve">Table </w:t>
      </w:r>
      <w:r>
        <w:fldChar w:fldCharType="begin"/>
      </w:r>
      <w:r>
        <w:instrText xml:space="preserve"> SEQ Table \* ARABIC </w:instrText>
      </w:r>
      <w:r>
        <w:fldChar w:fldCharType="separate"/>
      </w:r>
      <w:r w:rsidR="008B20C4">
        <w:rPr>
          <w:noProof/>
        </w:rPr>
        <w:t>14</w:t>
      </w:r>
      <w:r>
        <w:fldChar w:fldCharType="end"/>
      </w:r>
      <w:r>
        <w:t xml:space="preserve"> supply chain actions</w:t>
      </w:r>
      <w:bookmarkEnd w:id="77"/>
    </w:p>
    <w:tbl>
      <w:tblPr>
        <w:tblStyle w:val="TeWhatuOra"/>
        <w:tblW w:w="5000" w:type="pct"/>
        <w:tblLayout w:type="fixed"/>
        <w:tblLook w:val="04A0" w:firstRow="1" w:lastRow="0" w:firstColumn="1" w:lastColumn="0" w:noHBand="0" w:noVBand="1"/>
      </w:tblPr>
      <w:tblGrid>
        <w:gridCol w:w="713"/>
        <w:gridCol w:w="2706"/>
        <w:gridCol w:w="2707"/>
        <w:gridCol w:w="1994"/>
        <w:gridCol w:w="1518"/>
      </w:tblGrid>
      <w:tr w:rsidR="003E4115" w14:paraId="65D79B90" w14:textId="77777777" w:rsidTr="00C479C2">
        <w:trPr>
          <w:cnfStyle w:val="100000000000" w:firstRow="1" w:lastRow="0" w:firstColumn="0" w:lastColumn="0" w:oddVBand="0" w:evenVBand="0" w:oddHBand="0" w:evenHBand="0" w:firstRowFirstColumn="0" w:firstRowLastColumn="0" w:lastRowFirstColumn="0" w:lastRowLastColumn="0"/>
          <w:cantSplit/>
          <w:trHeight w:val="317"/>
          <w:tblHeader/>
        </w:trPr>
        <w:tc>
          <w:tcPr>
            <w:cnfStyle w:val="001000000000" w:firstRow="0" w:lastRow="0" w:firstColumn="1" w:lastColumn="0" w:oddVBand="0" w:evenVBand="0" w:oddHBand="0" w:evenHBand="0" w:firstRowFirstColumn="0" w:firstRowLastColumn="0" w:lastRowFirstColumn="0" w:lastRowLastColumn="0"/>
            <w:tcW w:w="709" w:type="dxa"/>
          </w:tcPr>
          <w:p w14:paraId="4DE763B2" w14:textId="77777777" w:rsidR="00714417" w:rsidRPr="00653A18" w:rsidRDefault="00714417">
            <w:pPr>
              <w:spacing w:before="0" w:after="160" w:line="259" w:lineRule="auto"/>
            </w:pPr>
            <w:r>
              <w:t>Ref</w:t>
            </w:r>
          </w:p>
        </w:tc>
        <w:tc>
          <w:tcPr>
            <w:tcW w:w="2693" w:type="dxa"/>
          </w:tcPr>
          <w:p w14:paraId="40E879C2" w14:textId="77777777" w:rsidR="00714417" w:rsidRPr="00653A18" w:rsidRDefault="00714417">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2694" w:type="dxa"/>
          </w:tcPr>
          <w:p w14:paraId="3193D601" w14:textId="77777777" w:rsidR="00714417" w:rsidRPr="00653A18" w:rsidRDefault="00714417">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984" w:type="dxa"/>
          </w:tcPr>
          <w:p w14:paraId="0F85A5A1" w14:textId="77777777" w:rsidR="00714417" w:rsidRDefault="00714417">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1511" w:type="dxa"/>
          </w:tcPr>
          <w:p w14:paraId="152FCCFC" w14:textId="77777777" w:rsidR="00714417" w:rsidRDefault="00714417">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DD1152" w:rsidRPr="00653A18" w14:paraId="3EB0D571" w14:textId="77777777" w:rsidTr="00C479C2">
        <w:trPr>
          <w:cantSplit/>
          <w:trHeight w:val="1784"/>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B77D01C" w14:textId="5BC3EF93" w:rsidR="00DD1152" w:rsidRPr="001D5E8D" w:rsidRDefault="00DD1152" w:rsidP="00BD66DC">
            <w:pPr>
              <w:spacing w:before="0" w:after="160" w:line="259" w:lineRule="auto"/>
              <w:rPr>
                <w:b w:val="0"/>
                <w:bCs/>
              </w:rPr>
            </w:pPr>
            <w:r w:rsidRPr="00FD7CE6">
              <w:rPr>
                <w:b w:val="0"/>
                <w:bCs/>
              </w:rPr>
              <w:t>SC1</w:t>
            </w:r>
          </w:p>
        </w:tc>
        <w:tc>
          <w:tcPr>
            <w:tcW w:w="2693" w:type="dxa"/>
            <w:vAlign w:val="center"/>
          </w:tcPr>
          <w:p w14:paraId="5E77921E" w14:textId="3D5431FA" w:rsidR="00DD1152" w:rsidRPr="00504C83" w:rsidRDefault="0092034C"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sidRPr="00504C83">
              <w:t>Review National Procurement Policy to align with new Government</w:t>
            </w:r>
            <w:r w:rsidR="007E5CAA" w:rsidRPr="00504C83">
              <w:t xml:space="preserve"> Procurement</w:t>
            </w:r>
            <w:r w:rsidRPr="00504C83">
              <w:t xml:space="preserve"> Rules for sustainability and climate change outcomes.</w:t>
            </w:r>
          </w:p>
        </w:tc>
        <w:tc>
          <w:tcPr>
            <w:tcW w:w="2694" w:type="dxa"/>
            <w:vAlign w:val="center"/>
          </w:tcPr>
          <w:p w14:paraId="2C2D81D6" w14:textId="2B1DAB9E" w:rsidR="00DD1152" w:rsidRPr="00504C83" w:rsidRDefault="0092034C" w:rsidP="00DD1152">
            <w:pPr>
              <w:spacing w:before="0" w:after="160" w:line="259" w:lineRule="auto"/>
              <w:cnfStyle w:val="000000000000" w:firstRow="0" w:lastRow="0" w:firstColumn="0" w:lastColumn="0" w:oddVBand="0" w:evenVBand="0" w:oddHBand="0" w:evenHBand="0" w:firstRowFirstColumn="0" w:firstRowLastColumn="0" w:lastRowFirstColumn="0" w:lastRowLastColumn="0"/>
              <w:rPr>
                <w:b/>
              </w:rPr>
            </w:pPr>
            <w:r w:rsidRPr="00504C83">
              <w:t>Ensure environmental and climate change considerations of National Procurement Policy aligns with Government</w:t>
            </w:r>
            <w:r w:rsidR="007E5CAA" w:rsidRPr="00504C83">
              <w:t xml:space="preserve"> Procurement</w:t>
            </w:r>
            <w:r w:rsidRPr="00504C83">
              <w:t xml:space="preserve"> Rules</w:t>
            </w:r>
            <w:r w:rsidR="002C3164">
              <w:t>.</w:t>
            </w:r>
          </w:p>
        </w:tc>
        <w:tc>
          <w:tcPr>
            <w:tcW w:w="1984" w:type="dxa"/>
            <w:vAlign w:val="center"/>
          </w:tcPr>
          <w:p w14:paraId="68DAA8A9" w14:textId="3B35F649" w:rsidR="00DD1152" w:rsidRPr="00653A18" w:rsidRDefault="00DD1152">
            <w:pPr>
              <w:spacing w:before="0" w:after="160" w:line="259" w:lineRule="auto"/>
              <w:cnfStyle w:val="000000000000" w:firstRow="0" w:lastRow="0" w:firstColumn="0" w:lastColumn="0" w:oddVBand="0" w:evenVBand="0" w:oddHBand="0" w:evenHBand="0" w:firstRowFirstColumn="0" w:firstRowLastColumn="0" w:lastRowFirstColumn="0" w:lastRowLastColumn="0"/>
            </w:pPr>
            <w:r>
              <w:t>Procurement and Supply Chain</w:t>
            </w:r>
          </w:p>
        </w:tc>
        <w:tc>
          <w:tcPr>
            <w:tcW w:w="1511" w:type="dxa"/>
            <w:vAlign w:val="center"/>
          </w:tcPr>
          <w:p w14:paraId="278544E5" w14:textId="54486B6F" w:rsidR="00DD1152" w:rsidRPr="00653A18" w:rsidRDefault="00164044" w:rsidP="00DD1152">
            <w:pPr>
              <w:spacing w:before="0" w:after="160" w:line="259" w:lineRule="auto"/>
              <w:cnfStyle w:val="000000000000" w:firstRow="0" w:lastRow="0" w:firstColumn="0" w:lastColumn="0" w:oddVBand="0" w:evenVBand="0" w:oddHBand="0" w:evenHBand="0" w:firstRowFirstColumn="0" w:firstRowLastColumn="0" w:lastRowFirstColumn="0" w:lastRowLastColumn="0"/>
            </w:pPr>
            <w:r>
              <w:t>August</w:t>
            </w:r>
            <w:r w:rsidR="0092034C">
              <w:t xml:space="preserve"> 2026</w:t>
            </w:r>
          </w:p>
        </w:tc>
      </w:tr>
      <w:tr w:rsidR="00105EE7" w:rsidRPr="00653A18" w14:paraId="43CA8DBF" w14:textId="77777777" w:rsidTr="00C479C2">
        <w:trPr>
          <w:cantSplit/>
          <w:trHeight w:val="1192"/>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DB1ED1E" w14:textId="6123233E" w:rsidR="000B3E2F" w:rsidRPr="00FA3AAB" w:rsidRDefault="00B02120" w:rsidP="00BD66DC">
            <w:pPr>
              <w:spacing w:before="0" w:after="160" w:line="259" w:lineRule="auto"/>
              <w:rPr>
                <w:b w:val="0"/>
                <w:bCs/>
              </w:rPr>
            </w:pPr>
            <w:r w:rsidRPr="00FA3AAB">
              <w:rPr>
                <w:b w:val="0"/>
                <w:bCs/>
              </w:rPr>
              <w:t>SC</w:t>
            </w:r>
            <w:r>
              <w:rPr>
                <w:b w:val="0"/>
                <w:bCs/>
              </w:rPr>
              <w:t>2</w:t>
            </w:r>
          </w:p>
        </w:tc>
        <w:tc>
          <w:tcPr>
            <w:tcW w:w="2693" w:type="dxa"/>
            <w:vAlign w:val="center"/>
          </w:tcPr>
          <w:p w14:paraId="3DE2654D" w14:textId="68DCC03F" w:rsidR="000B3E2F" w:rsidRDefault="000B3E2F"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Undertake an emissions estimation of supply chain </w:t>
            </w:r>
            <w:r w:rsidR="00B02120">
              <w:rPr>
                <w:bCs/>
              </w:rPr>
              <w:t xml:space="preserve">and commissioned services </w:t>
            </w:r>
            <w:r>
              <w:rPr>
                <w:bCs/>
              </w:rPr>
              <w:t>emissions</w:t>
            </w:r>
          </w:p>
        </w:tc>
        <w:tc>
          <w:tcPr>
            <w:tcW w:w="2694" w:type="dxa"/>
            <w:vAlign w:val="center"/>
          </w:tcPr>
          <w:p w14:paraId="315506CD" w14:textId="2C4D886B" w:rsidR="000B3E2F" w:rsidRDefault="000B3E2F" w:rsidP="000B3E2F">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To identify which procurement </w:t>
            </w:r>
            <w:r w:rsidR="00B02120">
              <w:rPr>
                <w:bCs/>
              </w:rPr>
              <w:t xml:space="preserve">and commissioned services </w:t>
            </w:r>
            <w:r>
              <w:rPr>
                <w:bCs/>
              </w:rPr>
              <w:t>categories are the highest emissions to focus efforts on reduction</w:t>
            </w:r>
            <w:r w:rsidR="002C3164">
              <w:rPr>
                <w:bCs/>
              </w:rPr>
              <w:t>.</w:t>
            </w:r>
          </w:p>
        </w:tc>
        <w:tc>
          <w:tcPr>
            <w:tcW w:w="1984" w:type="dxa"/>
            <w:vAlign w:val="center"/>
          </w:tcPr>
          <w:p w14:paraId="25F2B96C" w14:textId="118BD79B" w:rsidR="000B3E2F" w:rsidRDefault="000B3E2F" w:rsidP="000B3E2F">
            <w:pPr>
              <w:spacing w:before="0" w:after="160" w:line="259" w:lineRule="auto"/>
              <w:cnfStyle w:val="000000000000" w:firstRow="0" w:lastRow="0" w:firstColumn="0" w:lastColumn="0" w:oddVBand="0" w:evenVBand="0" w:oddHBand="0" w:evenHBand="0" w:firstRowFirstColumn="0" w:firstRowLastColumn="0" w:lastRowFirstColumn="0" w:lastRowLastColumn="0"/>
            </w:pPr>
            <w:r>
              <w:t>Procurement and Supply Chain and Sustainability Function</w:t>
            </w:r>
          </w:p>
        </w:tc>
        <w:tc>
          <w:tcPr>
            <w:tcW w:w="1511" w:type="dxa"/>
            <w:vAlign w:val="center"/>
          </w:tcPr>
          <w:p w14:paraId="6BC01AA1" w14:textId="02CBD086" w:rsidR="000B3E2F" w:rsidRDefault="00E845AB" w:rsidP="000B3E2F">
            <w:pPr>
              <w:spacing w:before="0" w:after="160" w:line="259" w:lineRule="auto"/>
              <w:cnfStyle w:val="000000000000" w:firstRow="0" w:lastRow="0" w:firstColumn="0" w:lastColumn="0" w:oddVBand="0" w:evenVBand="0" w:oddHBand="0" w:evenHBand="0" w:firstRowFirstColumn="0" w:firstRowLastColumn="0" w:lastRowFirstColumn="0" w:lastRowLastColumn="0"/>
            </w:pPr>
            <w:r>
              <w:t xml:space="preserve">December  </w:t>
            </w:r>
            <w:r w:rsidR="000B3E2F">
              <w:t>202</w:t>
            </w:r>
            <w:r w:rsidR="0092034C">
              <w:t>5</w:t>
            </w:r>
          </w:p>
        </w:tc>
      </w:tr>
    </w:tbl>
    <w:p w14:paraId="52564BC5" w14:textId="3E54CFD0" w:rsidR="000A3EDE" w:rsidRDefault="000A3EDE" w:rsidP="000A3EDE">
      <w:pPr>
        <w:pStyle w:val="Section3heading1"/>
      </w:pPr>
      <w:bookmarkStart w:id="78" w:name="_Toc204940798"/>
      <w:r>
        <w:t>Infrastructure</w:t>
      </w:r>
      <w:bookmarkEnd w:id="78"/>
    </w:p>
    <w:p w14:paraId="4FEBB961" w14:textId="4A2E0D90" w:rsidR="00BD38C5" w:rsidRDefault="00BD38C5" w:rsidP="00694AF8">
      <w:pPr>
        <w:pStyle w:val="Bulletpoints2"/>
        <w:numPr>
          <w:ilvl w:val="0"/>
          <w:numId w:val="0"/>
        </w:numPr>
        <w:rPr>
          <w:rFonts w:asciiTheme="minorHAnsi" w:eastAsiaTheme="minorHAnsi" w:hAnsiTheme="minorHAnsi" w:cstheme="minorBidi"/>
          <w:shd w:val="clear" w:color="auto" w:fill="auto"/>
          <w:lang w:val="en-NZ"/>
        </w:rPr>
      </w:pPr>
      <w:r w:rsidRPr="00BD38C5">
        <w:rPr>
          <w:rFonts w:asciiTheme="minorHAnsi" w:eastAsiaTheme="minorHAnsi" w:hAnsiTheme="minorHAnsi" w:cstheme="minorBidi"/>
          <w:shd w:val="clear" w:color="auto" w:fill="auto"/>
          <w:lang w:val="en-NZ"/>
        </w:rPr>
        <w:t>The process of constructing a new healthcare facility, refurbishing, or upgrading an existing one generates embodied emissions at all stages: from the</w:t>
      </w:r>
      <w:r w:rsidR="007E035D">
        <w:rPr>
          <w:rFonts w:asciiTheme="minorHAnsi" w:eastAsiaTheme="minorHAnsi" w:hAnsiTheme="minorHAnsi" w:cstheme="minorBidi"/>
          <w:shd w:val="clear" w:color="auto" w:fill="auto"/>
          <w:lang w:val="en-NZ"/>
        </w:rPr>
        <w:t xml:space="preserve"> extraction of raw materials,</w:t>
      </w:r>
      <w:r w:rsidRPr="00BD38C5">
        <w:rPr>
          <w:rFonts w:asciiTheme="minorHAnsi" w:eastAsiaTheme="minorHAnsi" w:hAnsiTheme="minorHAnsi" w:cstheme="minorBidi"/>
          <w:shd w:val="clear" w:color="auto" w:fill="auto"/>
          <w:lang w:val="en-NZ"/>
        </w:rPr>
        <w:t xml:space="preserve"> manufacture or production </w:t>
      </w:r>
      <w:r w:rsidR="00745935">
        <w:rPr>
          <w:rFonts w:asciiTheme="minorHAnsi" w:eastAsiaTheme="minorHAnsi" w:hAnsiTheme="minorHAnsi" w:cstheme="minorBidi"/>
          <w:shd w:val="clear" w:color="auto" w:fill="auto"/>
          <w:lang w:val="en-NZ"/>
        </w:rPr>
        <w:t>into products</w:t>
      </w:r>
      <w:r w:rsidRPr="00BD38C5">
        <w:rPr>
          <w:rFonts w:asciiTheme="minorHAnsi" w:eastAsiaTheme="minorHAnsi" w:hAnsiTheme="minorHAnsi" w:cstheme="minorBidi"/>
          <w:shd w:val="clear" w:color="auto" w:fill="auto"/>
          <w:lang w:val="en-NZ"/>
        </w:rPr>
        <w:t>, transportation of these materials</w:t>
      </w:r>
      <w:r w:rsidR="00745935">
        <w:rPr>
          <w:rFonts w:asciiTheme="minorHAnsi" w:eastAsiaTheme="minorHAnsi" w:hAnsiTheme="minorHAnsi" w:cstheme="minorBidi"/>
          <w:shd w:val="clear" w:color="auto" w:fill="auto"/>
          <w:lang w:val="en-NZ"/>
        </w:rPr>
        <w:t xml:space="preserve"> and products</w:t>
      </w:r>
      <w:r w:rsidRPr="00BD38C5">
        <w:rPr>
          <w:rFonts w:asciiTheme="minorHAnsi" w:eastAsiaTheme="minorHAnsi" w:hAnsiTheme="minorHAnsi" w:cstheme="minorBidi"/>
          <w:shd w:val="clear" w:color="auto" w:fill="auto"/>
          <w:lang w:val="en-NZ"/>
        </w:rPr>
        <w:t xml:space="preserve"> to site, waste produced during construction, to the deconstruction of the building or its components at the end of their life cycle.</w:t>
      </w:r>
    </w:p>
    <w:p w14:paraId="57BE9610" w14:textId="166ABC73" w:rsidR="00694AF8" w:rsidRPr="003D6AE4" w:rsidRDefault="00694AF8" w:rsidP="00694AF8">
      <w:pPr>
        <w:pStyle w:val="Bulletpoints2"/>
        <w:numPr>
          <w:ilvl w:val="0"/>
          <w:numId w:val="0"/>
        </w:numPr>
        <w:rPr>
          <w:szCs w:val="24"/>
        </w:rPr>
      </w:pPr>
      <w:r w:rsidRPr="003D6AE4">
        <w:rPr>
          <w:szCs w:val="24"/>
        </w:rPr>
        <w:t>International evidence</w:t>
      </w:r>
      <w:r w:rsidRPr="003D6AE4">
        <w:rPr>
          <w:rStyle w:val="EndnoteReference"/>
          <w:szCs w:val="24"/>
        </w:rPr>
        <w:endnoteReference w:id="29"/>
      </w:r>
      <w:r w:rsidRPr="003D6AE4">
        <w:rPr>
          <w:szCs w:val="24"/>
          <w:vertAlign w:val="superscript"/>
        </w:rPr>
        <w:t>,</w:t>
      </w:r>
      <w:r w:rsidRPr="003D6AE4">
        <w:rPr>
          <w:rStyle w:val="EndnoteReference"/>
          <w:szCs w:val="24"/>
        </w:rPr>
        <w:endnoteReference w:id="30"/>
      </w:r>
      <w:r w:rsidRPr="003D6AE4">
        <w:rPr>
          <w:szCs w:val="24"/>
          <w:vertAlign w:val="superscript"/>
        </w:rPr>
        <w:t>,</w:t>
      </w:r>
      <w:r w:rsidRPr="003D6AE4">
        <w:rPr>
          <w:rStyle w:val="EndnoteReference"/>
          <w:szCs w:val="24"/>
        </w:rPr>
        <w:endnoteReference w:id="31"/>
      </w:r>
      <w:r w:rsidRPr="003D6AE4">
        <w:rPr>
          <w:szCs w:val="24"/>
        </w:rPr>
        <w:t xml:space="preserve"> suggests that </w:t>
      </w:r>
      <w:r w:rsidR="00BD38C5" w:rsidRPr="00BD38C5">
        <w:rPr>
          <w:szCs w:val="24"/>
          <w:lang w:val="en-NZ"/>
        </w:rPr>
        <w:t xml:space="preserve">a healthier internal and external hospital environment can boost staff productivity and morale, and even facilitate patient recovery. Energy, water, and waste emissions are often ‘locked in’ through the design of a hospital; therefore, it is crucial to adopt a whole-of-life approach during the design </w:t>
      </w:r>
      <w:r w:rsidR="00BD38C5" w:rsidRPr="008F0387">
        <w:rPr>
          <w:szCs w:val="24"/>
          <w:lang w:val="en-NZ"/>
        </w:rPr>
        <w:t>phase.</w:t>
      </w:r>
    </w:p>
    <w:p w14:paraId="7B44747D" w14:textId="740FA5EB" w:rsidR="00694AF8" w:rsidRDefault="00D34017" w:rsidP="00D34017">
      <w:pPr>
        <w:pStyle w:val="Section3heading2"/>
      </w:pPr>
      <w:bookmarkStart w:id="79" w:name="_Toc204940799"/>
      <w:r>
        <w:lastRenderedPageBreak/>
        <w:t>Progress</w:t>
      </w:r>
      <w:bookmarkEnd w:id="79"/>
    </w:p>
    <w:p w14:paraId="77137948" w14:textId="1C04731C" w:rsidR="00893CF9" w:rsidRDefault="00893CF9" w:rsidP="001706DB">
      <w:r w:rsidRPr="00893CF9">
        <w:t>Efforts are underway to incorporate sustainability as a key consideration in the decision-making process for infrastructure investment, spanning from the Infrastructure Investment Plan through business case stages to design and delivery</w:t>
      </w:r>
      <w:r w:rsidR="00D14B0B">
        <w:t>.</w:t>
      </w:r>
    </w:p>
    <w:p w14:paraId="4A6F02B7" w14:textId="3C651FE5" w:rsidR="001706DB" w:rsidRDefault="001706DB" w:rsidP="001706DB">
      <w:r>
        <w:t xml:space="preserve">Health NZ </w:t>
      </w:r>
      <w:r w:rsidR="008268C3" w:rsidRPr="00127852">
        <w:t>continues</w:t>
      </w:r>
      <w:r w:rsidR="00127852" w:rsidRPr="00127852">
        <w:t xml:space="preserve"> to collaborate with the Australasian Healthcare Infrastructure Alliance (AHIA) and has representation on the </w:t>
      </w:r>
      <w:r w:rsidR="004F061A" w:rsidRPr="00127852">
        <w:t>Environmentally</w:t>
      </w:r>
      <w:r w:rsidR="00127852" w:rsidRPr="00127852">
        <w:t xml:space="preserve"> Sustainable Design (ESD) subgroup. This collaboration has resulted in several outputs, including the publication of three guidance documents. These documents provide teams with guidelines on electrifying hospital power supplies, electrifying the fleet, and strengthening resilience and adaptation to climate change</w:t>
      </w:r>
      <w:r>
        <w:rPr>
          <w:rStyle w:val="EndnoteReference"/>
        </w:rPr>
        <w:endnoteReference w:id="32"/>
      </w:r>
      <w:r w:rsidRPr="68B76D8B">
        <w:t>.</w:t>
      </w:r>
    </w:p>
    <w:p w14:paraId="7A07CE50" w14:textId="4CD52846" w:rsidR="00CD1B77" w:rsidRPr="00170985" w:rsidRDefault="00022746" w:rsidP="006E4205">
      <w:pPr>
        <w:pStyle w:val="Box"/>
        <w:pBdr>
          <w:bottom w:val="single" w:sz="12" w:space="19" w:color="FFFFFF" w:themeColor="background1"/>
        </w:pBdr>
        <w:shd w:val="clear" w:color="auto" w:fill="003399" w:themeFill="accent3"/>
        <w:ind w:right="4960"/>
        <w:rPr>
          <w:b/>
          <w:bCs/>
        </w:rPr>
      </w:pPr>
      <w:r w:rsidRPr="00170985">
        <w:rPr>
          <w:b/>
          <w:bCs/>
          <w:noProof/>
        </w:rPr>
        <w:drawing>
          <wp:anchor distT="0" distB="0" distL="114300" distR="114300" simplePos="0" relativeHeight="251658250" behindDoc="1" locked="0" layoutInCell="1" allowOverlap="1" wp14:anchorId="506C98D1" wp14:editId="7264BF50">
            <wp:simplePos x="0" y="0"/>
            <wp:positionH relativeFrom="column">
              <wp:posOffset>2537460</wp:posOffset>
            </wp:positionH>
            <wp:positionV relativeFrom="paragraph">
              <wp:posOffset>33655</wp:posOffset>
            </wp:positionV>
            <wp:extent cx="3680460" cy="2990850"/>
            <wp:effectExtent l="0" t="0" r="0" b="0"/>
            <wp:wrapNone/>
            <wp:docPr id="403855753" name="Picture 1" descr="Figure 9 Te Huhi Raupō entrance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55753" name="Picture 1" descr="Figure 9 Te Huhi Raupō entrance (to the righ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88381" cy="2997287"/>
                    </a:xfrm>
                    <a:prstGeom prst="rect">
                      <a:avLst/>
                    </a:prstGeom>
                  </pic:spPr>
                </pic:pic>
              </a:graphicData>
            </a:graphic>
            <wp14:sizeRelH relativeFrom="margin">
              <wp14:pctWidth>0</wp14:pctWidth>
            </wp14:sizeRelH>
            <wp14:sizeRelV relativeFrom="margin">
              <wp14:pctHeight>0</wp14:pctHeight>
            </wp14:sizeRelV>
          </wp:anchor>
        </w:drawing>
      </w:r>
      <w:r w:rsidR="009C4C15" w:rsidRPr="00170985">
        <w:rPr>
          <w:b/>
          <w:bCs/>
        </w:rPr>
        <w:t>C</w:t>
      </w:r>
      <w:r w:rsidR="007E5549">
        <w:rPr>
          <w:b/>
          <w:bCs/>
        </w:rPr>
        <w:t>ase study</w:t>
      </w:r>
      <w:r w:rsidR="009C4C15" w:rsidRPr="00170985">
        <w:rPr>
          <w:b/>
          <w:bCs/>
        </w:rPr>
        <w:t xml:space="preserve"> - Taranaki Renal Unit, Te Huhi Raupō </w:t>
      </w:r>
    </w:p>
    <w:p w14:paraId="655776B3" w14:textId="77777777" w:rsidR="00B072F8" w:rsidRDefault="00CD1B77" w:rsidP="006E4205">
      <w:pPr>
        <w:pStyle w:val="Box"/>
        <w:pBdr>
          <w:bottom w:val="single" w:sz="12" w:space="19" w:color="FFFFFF" w:themeColor="background1"/>
        </w:pBdr>
        <w:shd w:val="clear" w:color="auto" w:fill="003399" w:themeFill="accent3"/>
        <w:ind w:right="4960"/>
      </w:pPr>
      <w:r>
        <w:t xml:space="preserve">The building </w:t>
      </w:r>
      <w:r w:rsidR="009C4C15" w:rsidRPr="00E63990">
        <w:t>has become a world leader for energy-efficient low carbon design, the building is one of the first healthcare buildings internationally to target Zero Energy and Zero Carbon Certifications - a leading, internationally recognised environmental certification provided via the International Living Future Institute</w:t>
      </w:r>
    </w:p>
    <w:p w14:paraId="5A4EE739" w14:textId="1FB77034" w:rsidR="009C4C15" w:rsidRPr="006E4205" w:rsidRDefault="00B072F8" w:rsidP="006E4205">
      <w:pPr>
        <w:pStyle w:val="Box"/>
        <w:pBdr>
          <w:bottom w:val="single" w:sz="12" w:space="19" w:color="FFFFFF" w:themeColor="background1"/>
        </w:pBdr>
        <w:shd w:val="clear" w:color="auto" w:fill="003399" w:themeFill="accent3"/>
        <w:ind w:right="4960"/>
        <w:rPr>
          <w:b/>
          <w:bCs/>
          <w:szCs w:val="24"/>
        </w:rPr>
      </w:pPr>
      <w:bookmarkStart w:id="80" w:name="_Toc198286807"/>
      <w:r w:rsidRPr="006E4205">
        <w:rPr>
          <w:b/>
          <w:bCs/>
          <w:szCs w:val="24"/>
        </w:rPr>
        <w:t xml:space="preserve">Figure </w:t>
      </w:r>
      <w:r w:rsidRPr="006E4205">
        <w:rPr>
          <w:b/>
          <w:bCs/>
          <w:szCs w:val="24"/>
        </w:rPr>
        <w:fldChar w:fldCharType="begin"/>
      </w:r>
      <w:r w:rsidRPr="006E4205">
        <w:rPr>
          <w:b/>
          <w:bCs/>
          <w:szCs w:val="24"/>
        </w:rPr>
        <w:instrText xml:space="preserve"> SEQ Figure \* ARABIC </w:instrText>
      </w:r>
      <w:r w:rsidRPr="006E4205">
        <w:rPr>
          <w:b/>
          <w:bCs/>
          <w:szCs w:val="24"/>
        </w:rPr>
        <w:fldChar w:fldCharType="separate"/>
      </w:r>
      <w:r w:rsidR="008B20C4">
        <w:rPr>
          <w:b/>
          <w:bCs/>
          <w:noProof/>
          <w:szCs w:val="24"/>
        </w:rPr>
        <w:t>9</w:t>
      </w:r>
      <w:r w:rsidRPr="006E4205">
        <w:rPr>
          <w:b/>
          <w:bCs/>
          <w:szCs w:val="24"/>
        </w:rPr>
        <w:fldChar w:fldCharType="end"/>
      </w:r>
      <w:r w:rsidRPr="006E4205">
        <w:rPr>
          <w:b/>
          <w:bCs/>
          <w:szCs w:val="24"/>
        </w:rPr>
        <w:t xml:space="preserve"> Te Huhi Raupō entrance</w:t>
      </w:r>
      <w:r w:rsidR="00E709D6" w:rsidRPr="006E4205">
        <w:rPr>
          <w:b/>
          <w:bCs/>
          <w:szCs w:val="24"/>
        </w:rPr>
        <w:t xml:space="preserve"> (to the right)</w:t>
      </w:r>
      <w:bookmarkEnd w:id="80"/>
    </w:p>
    <w:p w14:paraId="1FC81467" w14:textId="71952F42" w:rsidR="001706DB" w:rsidRDefault="001706DB" w:rsidP="001706DB">
      <w:r>
        <w:t xml:space="preserve">Health NZ has developed ESD requirements </w:t>
      </w:r>
      <w:r w:rsidR="00B21B2C">
        <w:t xml:space="preserve">which are detailed in the Health NZ </w:t>
      </w:r>
      <w:r w:rsidR="00095738">
        <w:t>Facility</w:t>
      </w:r>
      <w:r w:rsidRPr="001C36CA">
        <w:t xml:space="preserve"> Design Guidance Note</w:t>
      </w:r>
      <w:r>
        <w:t xml:space="preserve"> (DGN)</w:t>
      </w:r>
      <w:r w:rsidR="00C07A5C">
        <w:rPr>
          <w:rStyle w:val="EndnoteReference"/>
        </w:rPr>
        <w:endnoteReference w:id="33"/>
      </w:r>
      <w:r>
        <w:t xml:space="preserve">. </w:t>
      </w:r>
      <w:r w:rsidRPr="00DA1A4C">
        <w:t xml:space="preserve">The </w:t>
      </w:r>
      <w:r>
        <w:t>DGN</w:t>
      </w:r>
      <w:r w:rsidRPr="00DA1A4C">
        <w:t xml:space="preserve"> sets </w:t>
      </w:r>
      <w:r>
        <w:t>the</w:t>
      </w:r>
      <w:r w:rsidRPr="00DA1A4C">
        <w:t xml:space="preserve"> </w:t>
      </w:r>
      <w:r w:rsidRPr="7CD83E9A">
        <w:t>requirements</w:t>
      </w:r>
      <w:r w:rsidRPr="00DA1A4C">
        <w:t xml:space="preserve"> for healthcare infrastructure projects to embed low emission design and construction practices, to drive down operational and embodied emissions</w:t>
      </w:r>
      <w:r w:rsidR="00CC4BF5">
        <w:t xml:space="preserve">. Specific requirements include building certification, undertaking whole of life emissions assessments to inform design and specific emissions, energy, water and waste outcomes. </w:t>
      </w:r>
    </w:p>
    <w:p w14:paraId="55C20C8F" w14:textId="69C260C6" w:rsidR="00C1307C" w:rsidRDefault="00F74B44" w:rsidP="00C1307C">
      <w:pPr>
        <w:pStyle w:val="Bulletpoints2"/>
        <w:numPr>
          <w:ilvl w:val="0"/>
          <w:numId w:val="0"/>
        </w:numPr>
      </w:pPr>
      <w:r w:rsidRPr="00491386">
        <w:rPr>
          <w:rFonts w:asciiTheme="minorHAnsi" w:eastAsiaTheme="minorHAnsi" w:hAnsiTheme="minorHAnsi" w:cstheme="minorBidi"/>
          <w:shd w:val="clear" w:color="auto" w:fill="auto"/>
          <w:lang w:val="en-NZ"/>
        </w:rPr>
        <w:t>The DGN recommends projects source local products and materials, avoid toxic and harmful chemicals and select refrigerants with the lowest global warming potential (GWP). These recommendations are further explained in our Broader Outcomes Guide for Suppliers</w:t>
      </w:r>
      <w:r>
        <w:rPr>
          <w:rStyle w:val="EndnoteReference"/>
          <w:lang w:val="en-NZ"/>
        </w:rPr>
        <w:endnoteReference w:id="34"/>
      </w:r>
      <w:r w:rsidRPr="68B76D8B">
        <w:t>.</w:t>
      </w:r>
    </w:p>
    <w:p w14:paraId="241258E6" w14:textId="77777777" w:rsidR="00F77E1E" w:rsidRDefault="00F77E1E" w:rsidP="00C1307C">
      <w:pPr>
        <w:pStyle w:val="Bulletpoints2"/>
        <w:numPr>
          <w:ilvl w:val="0"/>
          <w:numId w:val="0"/>
        </w:numPr>
      </w:pPr>
    </w:p>
    <w:p w14:paraId="32EA4F77" w14:textId="77777777" w:rsidR="00F77E1E" w:rsidRDefault="00F77E1E" w:rsidP="00C1307C">
      <w:pPr>
        <w:pStyle w:val="Bulletpoints2"/>
        <w:numPr>
          <w:ilvl w:val="0"/>
          <w:numId w:val="0"/>
        </w:numPr>
      </w:pPr>
    </w:p>
    <w:p w14:paraId="2A63D1E2" w14:textId="77777777" w:rsidR="00F77E1E" w:rsidRDefault="00F77E1E" w:rsidP="00C1307C">
      <w:pPr>
        <w:pStyle w:val="Bulletpoints2"/>
        <w:numPr>
          <w:ilvl w:val="0"/>
          <w:numId w:val="0"/>
        </w:numPr>
      </w:pPr>
    </w:p>
    <w:p w14:paraId="1FFE28F3" w14:textId="224BBB8E" w:rsidR="00416709" w:rsidRDefault="00416709" w:rsidP="00416709">
      <w:pPr>
        <w:pStyle w:val="Box"/>
        <w:shd w:val="clear" w:color="auto" w:fill="003399" w:themeFill="accent3"/>
      </w:pPr>
      <w:r w:rsidRPr="00170985">
        <w:rPr>
          <w:b/>
          <w:bCs/>
        </w:rPr>
        <w:lastRenderedPageBreak/>
        <w:t>C</w:t>
      </w:r>
      <w:r w:rsidR="007E5549">
        <w:rPr>
          <w:b/>
          <w:bCs/>
        </w:rPr>
        <w:t xml:space="preserve">ase study - </w:t>
      </w:r>
      <w:r w:rsidRPr="00170985">
        <w:rPr>
          <w:b/>
          <w:bCs/>
        </w:rPr>
        <w:t>Te Toki Maurere</w:t>
      </w:r>
      <w:r>
        <w:rPr>
          <w:b/>
          <w:bCs/>
        </w:rPr>
        <w:t xml:space="preserve"> – a low emissions design approach </w:t>
      </w:r>
      <w:r w:rsidRPr="00E63990">
        <w:t xml:space="preserve"> </w:t>
      </w:r>
    </w:p>
    <w:p w14:paraId="7475C30D" w14:textId="45A4F1D5" w:rsidR="00416709" w:rsidRPr="00E63990" w:rsidRDefault="00416709" w:rsidP="00416709">
      <w:pPr>
        <w:pStyle w:val="Box"/>
        <w:shd w:val="clear" w:color="auto" w:fill="003399" w:themeFill="accent3"/>
      </w:pPr>
      <w:r>
        <w:t xml:space="preserve">The design for this </w:t>
      </w:r>
      <w:r w:rsidRPr="00E63990">
        <w:t xml:space="preserve">mental health facility </w:t>
      </w:r>
      <w:r>
        <w:t>in the Bay of Plenty</w:t>
      </w:r>
      <w:r w:rsidRPr="00E63990">
        <w:t xml:space="preserve"> </w:t>
      </w:r>
      <w:r>
        <w:t>led to a</w:t>
      </w:r>
      <w:r w:rsidRPr="68B76D8B">
        <w:t xml:space="preserve"> 34% saving </w:t>
      </w:r>
      <w:r w:rsidRPr="57A91296">
        <w:t>in emissions.</w:t>
      </w:r>
      <w:r>
        <w:t xml:space="preserve"> </w:t>
      </w:r>
      <w:r w:rsidRPr="57A91296">
        <w:t>F</w:t>
      </w:r>
      <w:r w:rsidRPr="68B76D8B">
        <w:t xml:space="preserve">urther opportunities were identified at an optioneering workshop, </w:t>
      </w:r>
      <w:r w:rsidRPr="57A91296">
        <w:t xml:space="preserve">resulting in </w:t>
      </w:r>
      <w:r w:rsidRPr="47D8E171">
        <w:t>up</w:t>
      </w:r>
      <w:r w:rsidRPr="68B76D8B">
        <w:t xml:space="preserve"> to a</w:t>
      </w:r>
      <w:r w:rsidRPr="00E63990">
        <w:t xml:space="preserve"> 45</w:t>
      </w:r>
      <w:r w:rsidRPr="00E63990">
        <w:footnoteReference w:id="5"/>
      </w:r>
      <w:r w:rsidRPr="00E63990">
        <w:t xml:space="preserve"> </w:t>
      </w:r>
      <w:r>
        <w:t>t</w:t>
      </w:r>
      <w:r w:rsidRPr="00E63990">
        <w:t>CO</w:t>
      </w:r>
      <w:r w:rsidRPr="0001753C">
        <w:rPr>
          <w:vertAlign w:val="subscript"/>
        </w:rPr>
        <w:t>2</w:t>
      </w:r>
      <w:r w:rsidRPr="00E63990">
        <w:t>e reduction</w:t>
      </w:r>
      <w:r>
        <w:t xml:space="preserve"> (</w:t>
      </w:r>
      <w:r w:rsidRPr="00223CBC">
        <w:t>6% reduction in embodied carbon and 77% reduction in operational carbon</w:t>
      </w:r>
      <w:r>
        <w:t>)</w:t>
      </w:r>
      <w:r w:rsidRPr="00E63990">
        <w:t xml:space="preserve">. These results were found by comparing to business as usual over a service life for the building of 80 years and identified a range of opportunities. </w:t>
      </w:r>
    </w:p>
    <w:p w14:paraId="3A3BE437" w14:textId="6DC446D6" w:rsidR="001B55A6" w:rsidRDefault="00FB22B4" w:rsidP="001B55A6">
      <w:pPr>
        <w:pStyle w:val="Section3heading2"/>
      </w:pPr>
      <w:bookmarkStart w:id="81" w:name="_Toc204940800"/>
      <w:r>
        <w:t>I</w:t>
      </w:r>
      <w:r w:rsidR="00F31680">
        <w:t>nfrastructure a</w:t>
      </w:r>
      <w:r w:rsidR="001B55A6">
        <w:t>ctions</w:t>
      </w:r>
      <w:bookmarkEnd w:id="81"/>
    </w:p>
    <w:p w14:paraId="150B299A" w14:textId="0764A4E6" w:rsidR="001B55A6" w:rsidRPr="001B55A6" w:rsidRDefault="00F31680" w:rsidP="00282661">
      <w:pPr>
        <w:pStyle w:val="Figure"/>
      </w:pPr>
      <w:bookmarkStart w:id="82" w:name="_Toc198286797"/>
      <w:r>
        <w:t xml:space="preserve">Table </w:t>
      </w:r>
      <w:r>
        <w:fldChar w:fldCharType="begin"/>
      </w:r>
      <w:r>
        <w:instrText xml:space="preserve"> SEQ Table \* ARABIC </w:instrText>
      </w:r>
      <w:r>
        <w:fldChar w:fldCharType="separate"/>
      </w:r>
      <w:r w:rsidR="008B20C4">
        <w:rPr>
          <w:noProof/>
        </w:rPr>
        <w:t>15</w:t>
      </w:r>
      <w:r>
        <w:fldChar w:fldCharType="end"/>
      </w:r>
      <w:r>
        <w:t xml:space="preserve"> Infrastructure actions</w:t>
      </w:r>
      <w:bookmarkEnd w:id="82"/>
      <w:r>
        <w:t xml:space="preserve"> </w:t>
      </w:r>
    </w:p>
    <w:tbl>
      <w:tblPr>
        <w:tblStyle w:val="TeWhatuOra"/>
        <w:tblW w:w="5000" w:type="pct"/>
        <w:tblLook w:val="04A0" w:firstRow="1" w:lastRow="0" w:firstColumn="1" w:lastColumn="0" w:noHBand="0" w:noVBand="1"/>
      </w:tblPr>
      <w:tblGrid>
        <w:gridCol w:w="829"/>
        <w:gridCol w:w="2541"/>
        <w:gridCol w:w="3151"/>
        <w:gridCol w:w="1839"/>
        <w:gridCol w:w="1278"/>
      </w:tblGrid>
      <w:tr w:rsidR="00F71258" w14:paraId="306F44FD" w14:textId="77777777" w:rsidTr="006E4205">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838" w:type="dxa"/>
          </w:tcPr>
          <w:p w14:paraId="229F61F8" w14:textId="77777777" w:rsidR="00F71258" w:rsidRPr="00653A18" w:rsidRDefault="00F71258">
            <w:pPr>
              <w:spacing w:before="0" w:after="160" w:line="259" w:lineRule="auto"/>
            </w:pPr>
            <w:r>
              <w:t>Ref</w:t>
            </w:r>
          </w:p>
        </w:tc>
        <w:tc>
          <w:tcPr>
            <w:tcW w:w="2564" w:type="dxa"/>
          </w:tcPr>
          <w:p w14:paraId="577E2DAD" w14:textId="77777777" w:rsidR="00F71258" w:rsidRPr="00653A18" w:rsidRDefault="00F71258">
            <w:pPr>
              <w:spacing w:before="0" w:after="160" w:line="259" w:lineRule="auto"/>
              <w:cnfStyle w:val="100000000000" w:firstRow="1" w:lastRow="0" w:firstColumn="0" w:lastColumn="0" w:oddVBand="0" w:evenVBand="0" w:oddHBand="0" w:evenHBand="0" w:firstRowFirstColumn="0" w:firstRowLastColumn="0" w:lastRowFirstColumn="0" w:lastRowLastColumn="0"/>
            </w:pPr>
            <w:r>
              <w:t>Action</w:t>
            </w:r>
          </w:p>
        </w:tc>
        <w:tc>
          <w:tcPr>
            <w:tcW w:w="3210" w:type="dxa"/>
          </w:tcPr>
          <w:p w14:paraId="1EAB23BC" w14:textId="77777777" w:rsidR="00F71258" w:rsidRPr="00653A18" w:rsidRDefault="00F71258">
            <w:pPr>
              <w:spacing w:before="0" w:after="160" w:line="259" w:lineRule="auto"/>
              <w:cnfStyle w:val="100000000000" w:firstRow="1" w:lastRow="0" w:firstColumn="0" w:lastColumn="0" w:oddVBand="0" w:evenVBand="0" w:oddHBand="0" w:evenHBand="0" w:firstRowFirstColumn="0" w:firstRowLastColumn="0" w:lastRowFirstColumn="0" w:lastRowLastColumn="0"/>
            </w:pPr>
            <w:r>
              <w:t>Objective</w:t>
            </w:r>
          </w:p>
        </w:tc>
        <w:tc>
          <w:tcPr>
            <w:tcW w:w="1840" w:type="dxa"/>
          </w:tcPr>
          <w:p w14:paraId="2686ADA1" w14:textId="77777777" w:rsidR="00F71258" w:rsidRDefault="00F71258">
            <w:pPr>
              <w:spacing w:before="0" w:after="160" w:line="259" w:lineRule="auto"/>
              <w:cnfStyle w:val="100000000000" w:firstRow="1" w:lastRow="0" w:firstColumn="0" w:lastColumn="0" w:oddVBand="0" w:evenVBand="0" w:oddHBand="0" w:evenHBand="0" w:firstRowFirstColumn="0" w:firstRowLastColumn="0" w:lastRowFirstColumn="0" w:lastRowLastColumn="0"/>
            </w:pPr>
            <w:r>
              <w:t>Responsibility</w:t>
            </w:r>
          </w:p>
        </w:tc>
        <w:tc>
          <w:tcPr>
            <w:tcW w:w="1278" w:type="dxa"/>
          </w:tcPr>
          <w:p w14:paraId="17BFB429" w14:textId="77777777" w:rsidR="00F71258" w:rsidRDefault="00F71258">
            <w:pPr>
              <w:spacing w:before="0" w:after="160" w:line="259" w:lineRule="auto"/>
              <w:cnfStyle w:val="100000000000" w:firstRow="1" w:lastRow="0" w:firstColumn="0" w:lastColumn="0" w:oddVBand="0" w:evenVBand="0" w:oddHBand="0" w:evenHBand="0" w:firstRowFirstColumn="0" w:firstRowLastColumn="0" w:lastRowFirstColumn="0" w:lastRowLastColumn="0"/>
            </w:pPr>
            <w:r>
              <w:t>By when</w:t>
            </w:r>
          </w:p>
        </w:tc>
      </w:tr>
      <w:tr w:rsidR="00F71258" w:rsidRPr="00653A18" w14:paraId="11B0D92E" w14:textId="77777777" w:rsidTr="006E4205">
        <w:trPr>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37B66B50" w14:textId="15285B20" w:rsidR="00F71258" w:rsidRPr="003961EB" w:rsidRDefault="00F71258" w:rsidP="00BD66DC">
            <w:pPr>
              <w:spacing w:before="0" w:after="160" w:line="259" w:lineRule="auto"/>
              <w:rPr>
                <w:b w:val="0"/>
                <w:bCs/>
              </w:rPr>
            </w:pPr>
            <w:r>
              <w:rPr>
                <w:b w:val="0"/>
                <w:bCs/>
              </w:rPr>
              <w:t>I1</w:t>
            </w:r>
          </w:p>
        </w:tc>
        <w:tc>
          <w:tcPr>
            <w:tcW w:w="0" w:type="dxa"/>
            <w:vAlign w:val="center"/>
          </w:tcPr>
          <w:p w14:paraId="6C3FA7E3" w14:textId="0C0599C8" w:rsidR="00F71258" w:rsidRPr="003961EB" w:rsidRDefault="00F71258"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Review the E</w:t>
            </w:r>
            <w:r w:rsidR="00CC2DE4">
              <w:rPr>
                <w:bCs/>
              </w:rPr>
              <w:t xml:space="preserve">nvironmentally </w:t>
            </w:r>
            <w:r>
              <w:rPr>
                <w:bCs/>
              </w:rPr>
              <w:t>S</w:t>
            </w:r>
            <w:r w:rsidR="00CC2DE4">
              <w:rPr>
                <w:bCs/>
              </w:rPr>
              <w:t xml:space="preserve">ustainable </w:t>
            </w:r>
            <w:r>
              <w:rPr>
                <w:bCs/>
              </w:rPr>
              <w:t>D</w:t>
            </w:r>
            <w:r w:rsidR="00CC2DE4">
              <w:rPr>
                <w:bCs/>
              </w:rPr>
              <w:t>esign</w:t>
            </w:r>
            <w:r>
              <w:rPr>
                <w:bCs/>
              </w:rPr>
              <w:t xml:space="preserve"> </w:t>
            </w:r>
            <w:r w:rsidR="00596DE5">
              <w:rPr>
                <w:bCs/>
              </w:rPr>
              <w:t>targets</w:t>
            </w:r>
            <w:r w:rsidR="00CC2DE4">
              <w:rPr>
                <w:bCs/>
              </w:rPr>
              <w:t xml:space="preserve"> and requirements</w:t>
            </w:r>
            <w:r>
              <w:rPr>
                <w:bCs/>
              </w:rPr>
              <w:t xml:space="preserve"> of the Design Guidance Note </w:t>
            </w:r>
          </w:p>
        </w:tc>
        <w:tc>
          <w:tcPr>
            <w:tcW w:w="0" w:type="dxa"/>
            <w:vAlign w:val="center"/>
          </w:tcPr>
          <w:p w14:paraId="6118A8C6" w14:textId="3AD2D177" w:rsidR="00F71258" w:rsidRPr="003961EB" w:rsidRDefault="00F71258">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To identify efficiencies and reflect </w:t>
            </w:r>
            <w:r w:rsidR="007F53F7">
              <w:rPr>
                <w:bCs/>
              </w:rPr>
              <w:t xml:space="preserve">improving trends in sustainable and low emissions design. </w:t>
            </w:r>
          </w:p>
        </w:tc>
        <w:tc>
          <w:tcPr>
            <w:tcW w:w="0" w:type="dxa"/>
            <w:vAlign w:val="center"/>
          </w:tcPr>
          <w:p w14:paraId="0A0F90C5" w14:textId="2B5C7F67" w:rsidR="00F71258" w:rsidRPr="00653A18" w:rsidRDefault="007F53F7">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 and Infrastructure Investment Group</w:t>
            </w:r>
          </w:p>
        </w:tc>
        <w:tc>
          <w:tcPr>
            <w:tcW w:w="0" w:type="dxa"/>
            <w:vAlign w:val="center"/>
          </w:tcPr>
          <w:p w14:paraId="12318B11" w14:textId="71AF9F0B" w:rsidR="00F71258" w:rsidRPr="00653A18" w:rsidRDefault="00CA4A9A">
            <w:pPr>
              <w:spacing w:before="0" w:after="160" w:line="259" w:lineRule="auto"/>
              <w:cnfStyle w:val="000000000000" w:firstRow="0" w:lastRow="0" w:firstColumn="0" w:lastColumn="0" w:oddVBand="0" w:evenVBand="0" w:oddHBand="0" w:evenHBand="0" w:firstRowFirstColumn="0" w:firstRowLastColumn="0" w:lastRowFirstColumn="0" w:lastRowLastColumn="0"/>
            </w:pPr>
            <w:r>
              <w:t>December</w:t>
            </w:r>
            <w:r w:rsidR="005A7E37">
              <w:t xml:space="preserve"> 2025</w:t>
            </w:r>
          </w:p>
        </w:tc>
      </w:tr>
      <w:tr w:rsidR="00F71258" w14:paraId="54720D3B" w14:textId="77777777" w:rsidTr="006E4205">
        <w:trPr>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4888708F" w14:textId="35F65454" w:rsidR="00F71258" w:rsidRDefault="00C40A28" w:rsidP="00BD66DC">
            <w:pPr>
              <w:spacing w:before="0" w:after="160" w:line="259" w:lineRule="auto"/>
              <w:rPr>
                <w:b w:val="0"/>
                <w:bCs/>
              </w:rPr>
            </w:pPr>
            <w:r>
              <w:rPr>
                <w:b w:val="0"/>
                <w:bCs/>
              </w:rPr>
              <w:t>I2</w:t>
            </w:r>
          </w:p>
        </w:tc>
        <w:tc>
          <w:tcPr>
            <w:tcW w:w="0" w:type="dxa"/>
            <w:vAlign w:val="center"/>
          </w:tcPr>
          <w:p w14:paraId="3552F64A" w14:textId="08D7E599" w:rsidR="00F71258" w:rsidRDefault="008E03A0"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Emissions a</w:t>
            </w:r>
            <w:r w:rsidR="00465BED">
              <w:rPr>
                <w:bCs/>
              </w:rPr>
              <w:t xml:space="preserve">ssessment </w:t>
            </w:r>
            <w:r>
              <w:rPr>
                <w:bCs/>
              </w:rPr>
              <w:t xml:space="preserve">of </w:t>
            </w:r>
            <w:r w:rsidR="00465BED">
              <w:rPr>
                <w:bCs/>
              </w:rPr>
              <w:t>new build versus refurb</w:t>
            </w:r>
            <w:r>
              <w:rPr>
                <w:bCs/>
              </w:rPr>
              <w:t>ishment projects to inform future decision making</w:t>
            </w:r>
          </w:p>
        </w:tc>
        <w:tc>
          <w:tcPr>
            <w:tcW w:w="0" w:type="dxa"/>
            <w:vAlign w:val="center"/>
          </w:tcPr>
          <w:p w14:paraId="4ABF54A4" w14:textId="1534C757" w:rsidR="00F71258" w:rsidRDefault="008801C6">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 xml:space="preserve">Inform investment decision making </w:t>
            </w:r>
            <w:r w:rsidR="0088159A">
              <w:rPr>
                <w:bCs/>
              </w:rPr>
              <w:t xml:space="preserve">by </w:t>
            </w:r>
            <w:r>
              <w:rPr>
                <w:bCs/>
              </w:rPr>
              <w:t>develop</w:t>
            </w:r>
            <w:r w:rsidR="0088159A">
              <w:rPr>
                <w:bCs/>
              </w:rPr>
              <w:t>ing</w:t>
            </w:r>
            <w:r>
              <w:rPr>
                <w:bCs/>
              </w:rPr>
              <w:t xml:space="preserve"> an assessment or case study that compares the embodied and operational emissions impacts of retrofit versus new build.</w:t>
            </w:r>
          </w:p>
        </w:tc>
        <w:tc>
          <w:tcPr>
            <w:tcW w:w="0" w:type="dxa"/>
            <w:vAlign w:val="center"/>
          </w:tcPr>
          <w:p w14:paraId="291EF6AA" w14:textId="60F97690" w:rsidR="00F71258" w:rsidRDefault="008801C6">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 and Infrastructure Investment Group</w:t>
            </w:r>
          </w:p>
        </w:tc>
        <w:tc>
          <w:tcPr>
            <w:tcW w:w="0" w:type="dxa"/>
            <w:vAlign w:val="center"/>
          </w:tcPr>
          <w:p w14:paraId="23E99E7E" w14:textId="5D7F696E" w:rsidR="00F71258" w:rsidRDefault="00CB04A7">
            <w:pPr>
              <w:spacing w:before="0" w:after="160" w:line="259" w:lineRule="auto"/>
              <w:cnfStyle w:val="000000000000" w:firstRow="0" w:lastRow="0" w:firstColumn="0" w:lastColumn="0" w:oddVBand="0" w:evenVBand="0" w:oddHBand="0" w:evenHBand="0" w:firstRowFirstColumn="0" w:firstRowLastColumn="0" w:lastRowFirstColumn="0" w:lastRowLastColumn="0"/>
            </w:pPr>
            <w:r>
              <w:t>June 2027</w:t>
            </w:r>
          </w:p>
        </w:tc>
      </w:tr>
      <w:tr w:rsidR="00465BED" w14:paraId="3219C617" w14:textId="77777777" w:rsidTr="006E4205">
        <w:trPr>
          <w:trHeight w:val="1169"/>
        </w:trPr>
        <w:tc>
          <w:tcPr>
            <w:cnfStyle w:val="001000000000" w:firstRow="0" w:lastRow="0" w:firstColumn="1" w:lastColumn="0" w:oddVBand="0" w:evenVBand="0" w:oddHBand="0" w:evenHBand="0" w:firstRowFirstColumn="0" w:firstRowLastColumn="0" w:lastRowFirstColumn="0" w:lastRowLastColumn="0"/>
            <w:tcW w:w="0" w:type="dxa"/>
            <w:vAlign w:val="center"/>
          </w:tcPr>
          <w:p w14:paraId="484A8E1F" w14:textId="595265C2" w:rsidR="00465BED" w:rsidRPr="00CE7AE4" w:rsidRDefault="00465BED" w:rsidP="00BD66DC">
            <w:pPr>
              <w:spacing w:before="0" w:after="160" w:line="259" w:lineRule="auto"/>
              <w:rPr>
                <w:b w:val="0"/>
              </w:rPr>
            </w:pPr>
            <w:r w:rsidRPr="00CE7AE4">
              <w:rPr>
                <w:b w:val="0"/>
              </w:rPr>
              <w:t>I3</w:t>
            </w:r>
          </w:p>
        </w:tc>
        <w:tc>
          <w:tcPr>
            <w:tcW w:w="0" w:type="dxa"/>
            <w:vAlign w:val="center"/>
          </w:tcPr>
          <w:p w14:paraId="6F3B1626" w14:textId="6C91116A" w:rsidR="00465BED" w:rsidRDefault="00465BED" w:rsidP="00BD66DC">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Guidelines for n</w:t>
            </w:r>
            <w:r w:rsidR="00FA451C">
              <w:rPr>
                <w:bCs/>
              </w:rPr>
              <w:t>ew birth units Nitrous Oxide</w:t>
            </w:r>
            <w:r w:rsidR="006310F8">
              <w:rPr>
                <w:bCs/>
              </w:rPr>
              <w:t xml:space="preserve"> approaches</w:t>
            </w:r>
          </w:p>
        </w:tc>
        <w:tc>
          <w:tcPr>
            <w:tcW w:w="0" w:type="dxa"/>
            <w:vAlign w:val="center"/>
          </w:tcPr>
          <w:p w14:paraId="48CD964E" w14:textId="22518F79" w:rsidR="00465BED" w:rsidRDefault="008801C6">
            <w:pPr>
              <w:spacing w:before="0" w:after="160" w:line="259" w:lineRule="auto"/>
              <w:cnfStyle w:val="000000000000" w:firstRow="0" w:lastRow="0" w:firstColumn="0" w:lastColumn="0" w:oddVBand="0" w:evenVBand="0" w:oddHBand="0" w:evenHBand="0" w:firstRowFirstColumn="0" w:firstRowLastColumn="0" w:lastRowFirstColumn="0" w:lastRowLastColumn="0"/>
              <w:rPr>
                <w:bCs/>
              </w:rPr>
            </w:pPr>
            <w:r>
              <w:rPr>
                <w:bCs/>
              </w:rPr>
              <w:t>Collaborate to develop best practice guidelines for N</w:t>
            </w:r>
            <w:r w:rsidRPr="00F56B8E">
              <w:rPr>
                <w:bCs/>
                <w:vertAlign w:val="subscript"/>
              </w:rPr>
              <w:t>2</w:t>
            </w:r>
            <w:r>
              <w:rPr>
                <w:bCs/>
              </w:rPr>
              <w:t xml:space="preserve">O </w:t>
            </w:r>
            <w:r w:rsidR="006310F8">
              <w:rPr>
                <w:bCs/>
              </w:rPr>
              <w:t>for new build properties</w:t>
            </w:r>
            <w:r w:rsidR="002C3164">
              <w:rPr>
                <w:bCs/>
              </w:rPr>
              <w:t>.</w:t>
            </w:r>
          </w:p>
        </w:tc>
        <w:tc>
          <w:tcPr>
            <w:tcW w:w="0" w:type="dxa"/>
            <w:vAlign w:val="center"/>
          </w:tcPr>
          <w:p w14:paraId="120C1AC3" w14:textId="3877A1D5" w:rsidR="00465BED" w:rsidRDefault="00725383">
            <w:pPr>
              <w:spacing w:before="0" w:after="160" w:line="259" w:lineRule="auto"/>
              <w:cnfStyle w:val="000000000000" w:firstRow="0" w:lastRow="0" w:firstColumn="0" w:lastColumn="0" w:oddVBand="0" w:evenVBand="0" w:oddHBand="0" w:evenHBand="0" w:firstRowFirstColumn="0" w:firstRowLastColumn="0" w:lastRowFirstColumn="0" w:lastRowLastColumn="0"/>
            </w:pPr>
            <w:r>
              <w:t>Sustainability Function and Infrastructure Investment Group</w:t>
            </w:r>
          </w:p>
        </w:tc>
        <w:tc>
          <w:tcPr>
            <w:tcW w:w="0" w:type="dxa"/>
            <w:vAlign w:val="center"/>
          </w:tcPr>
          <w:p w14:paraId="756B57F2" w14:textId="17077790" w:rsidR="00465BED" w:rsidRDefault="00CB04A7">
            <w:pPr>
              <w:spacing w:before="0" w:after="160" w:line="259" w:lineRule="auto"/>
              <w:cnfStyle w:val="000000000000" w:firstRow="0" w:lastRow="0" w:firstColumn="0" w:lastColumn="0" w:oddVBand="0" w:evenVBand="0" w:oddHBand="0" w:evenHBand="0" w:firstRowFirstColumn="0" w:firstRowLastColumn="0" w:lastRowFirstColumn="0" w:lastRowLastColumn="0"/>
            </w:pPr>
            <w:r>
              <w:t>December 2025</w:t>
            </w:r>
          </w:p>
        </w:tc>
      </w:tr>
    </w:tbl>
    <w:p w14:paraId="480458FE" w14:textId="39BB60A3" w:rsidR="00841B11" w:rsidRPr="00653A18" w:rsidRDefault="00841B11" w:rsidP="00112E92"/>
    <w:p w14:paraId="69D6D7C5" w14:textId="77777777" w:rsidR="008E5E0F" w:rsidRPr="00653A18" w:rsidRDefault="008E5E0F">
      <w:pPr>
        <w:spacing w:before="0" w:after="160" w:line="259" w:lineRule="auto"/>
        <w:rPr>
          <w:color w:val="003399" w:themeColor="accent3"/>
          <w:sz w:val="18"/>
          <w:szCs w:val="18"/>
        </w:rPr>
        <w:sectPr w:rsidR="008E5E0F" w:rsidRPr="00653A18" w:rsidSect="00112E92">
          <w:headerReference w:type="even" r:id="rId43"/>
          <w:headerReference w:type="default" r:id="rId44"/>
          <w:footerReference w:type="default" r:id="rId45"/>
          <w:headerReference w:type="first" r:id="rId46"/>
          <w:footerReference w:type="first" r:id="rId47"/>
          <w:endnotePr>
            <w:numFmt w:val="decimal"/>
          </w:endnotePr>
          <w:pgSz w:w="11906" w:h="16838" w:code="9"/>
          <w:pgMar w:top="1134" w:right="1134" w:bottom="1134" w:left="1134" w:header="1304" w:footer="454" w:gutter="0"/>
          <w:cols w:space="708"/>
          <w:titlePg/>
          <w:docGrid w:linePitch="360"/>
        </w:sectPr>
      </w:pPr>
    </w:p>
    <w:p w14:paraId="672969BB" w14:textId="00F9935A" w:rsidR="008E5E0F" w:rsidRPr="00653A18" w:rsidRDefault="00A6071B" w:rsidP="00C40A28">
      <w:pPr>
        <w:pStyle w:val="Dividerheading"/>
        <w:ind w:left="0"/>
        <w:rPr>
          <w:color w:val="4D2379" w:themeColor="accent4"/>
        </w:rPr>
      </w:pPr>
      <w:r w:rsidRPr="00653A18">
        <w:rPr>
          <w:noProof/>
          <w:color w:val="4D2379" w:themeColor="accent4"/>
          <w14:ligatures w14:val="none"/>
        </w:rPr>
        <w:lastRenderedPageBreak/>
        <w:drawing>
          <wp:anchor distT="0" distB="0" distL="114300" distR="114300" simplePos="0" relativeHeight="251658251" behindDoc="1" locked="0" layoutInCell="1" allowOverlap="1" wp14:anchorId="5F7C565B" wp14:editId="4009C59D">
            <wp:simplePos x="0" y="0"/>
            <wp:positionH relativeFrom="column">
              <wp:posOffset>-720090</wp:posOffset>
            </wp:positionH>
            <wp:positionV relativeFrom="paragraph">
              <wp:posOffset>-1079500</wp:posOffset>
            </wp:positionV>
            <wp:extent cx="7559999" cy="9598548"/>
            <wp:effectExtent l="0" t="0" r="3175" b="3175"/>
            <wp:wrapNone/>
            <wp:docPr id="136723759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4163" name="Picture 6">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7559999" cy="9598548"/>
                    </a:xfrm>
                    <a:prstGeom prst="rect">
                      <a:avLst/>
                    </a:prstGeom>
                  </pic:spPr>
                </pic:pic>
              </a:graphicData>
            </a:graphic>
            <wp14:sizeRelH relativeFrom="page">
              <wp14:pctWidth>0</wp14:pctWidth>
            </wp14:sizeRelH>
            <wp14:sizeRelV relativeFrom="page">
              <wp14:pctHeight>0</wp14:pctHeight>
            </wp14:sizeRelV>
          </wp:anchor>
        </w:drawing>
      </w:r>
      <w:r>
        <w:rPr>
          <w:color w:val="4D2379" w:themeColor="accent4"/>
        </w:rPr>
        <w:t>Appendix</w:t>
      </w:r>
    </w:p>
    <w:p w14:paraId="3ACA1243" w14:textId="77777777" w:rsidR="00127F6D" w:rsidRPr="00653A18" w:rsidRDefault="00127F6D">
      <w:pPr>
        <w:spacing w:before="0" w:after="160" w:line="259" w:lineRule="auto"/>
      </w:pPr>
      <w:r w:rsidRPr="00653A18">
        <w:br w:type="page"/>
      </w:r>
    </w:p>
    <w:p w14:paraId="752B5A52" w14:textId="631F0D83" w:rsidR="00127F6D" w:rsidRPr="00653A18" w:rsidRDefault="00C40A28" w:rsidP="00127F6D">
      <w:pPr>
        <w:pStyle w:val="Section4Heading1"/>
      </w:pPr>
      <w:bookmarkStart w:id="83" w:name="_Toc204940801"/>
      <w:r>
        <w:lastRenderedPageBreak/>
        <w:t>Appendix</w:t>
      </w:r>
      <w:bookmarkEnd w:id="83"/>
      <w:r>
        <w:t xml:space="preserve">  </w:t>
      </w:r>
    </w:p>
    <w:p w14:paraId="3BDCC1E3" w14:textId="034175E6" w:rsidR="00127F6D" w:rsidRDefault="00B77855" w:rsidP="00B77855">
      <w:pPr>
        <w:pStyle w:val="Section4Heading2"/>
      </w:pPr>
      <w:bookmarkStart w:id="84" w:name="_Toc204940802"/>
      <w:r>
        <w:t>Modelling assumptions</w:t>
      </w:r>
      <w:bookmarkEnd w:id="84"/>
    </w:p>
    <w:p w14:paraId="28A65D32" w14:textId="63DF654D" w:rsidR="00981D1F" w:rsidRDefault="000256C4" w:rsidP="00981D1F">
      <w:r>
        <w:t>The following section details the assumptions and any caveats in relation to the emissions pathway modelling.</w:t>
      </w:r>
      <w:r w:rsidR="006A6975">
        <w:t xml:space="preserve"> </w:t>
      </w:r>
      <w:r w:rsidR="00981D1F" w:rsidRPr="00981D1F">
        <w:t>Please be advised that there are rounding errors and minor discrepancies between the emissions inventor</w:t>
      </w:r>
      <w:r w:rsidR="00EE542E">
        <w:t>ies</w:t>
      </w:r>
      <w:r w:rsidR="00981D1F" w:rsidRPr="00981D1F">
        <w:t xml:space="preserve"> and the</w:t>
      </w:r>
      <w:r w:rsidR="00981D1F">
        <w:t xml:space="preserve"> ERP</w:t>
      </w:r>
      <w:r w:rsidR="00981D1F" w:rsidRPr="00981D1F">
        <w:t xml:space="preserve"> modelling. This is due to the necessity of converting certain emissions sources into a format more appropriate for forecasting. The process of forecasting and predicting outcomes over time, such as this modelling, inherently involves margins of error and inaccuracies.</w:t>
      </w:r>
    </w:p>
    <w:p w14:paraId="13D60C0C" w14:textId="1EBF36CF" w:rsidR="000256C4" w:rsidRDefault="000256C4" w:rsidP="000256C4">
      <w:pPr>
        <w:pStyle w:val="Section4Heading3"/>
      </w:pPr>
      <w:bookmarkStart w:id="85" w:name="_Toc204940803"/>
      <w:r>
        <w:t>Growth</w:t>
      </w:r>
      <w:bookmarkEnd w:id="85"/>
    </w:p>
    <w:p w14:paraId="608E2D7B" w14:textId="003592E8" w:rsidR="000256C4" w:rsidRDefault="000256C4" w:rsidP="000256C4">
      <w:r>
        <w:t xml:space="preserve">Each emission source, e.g. electricity or </w:t>
      </w:r>
      <w:r w:rsidR="00EB4631">
        <w:t xml:space="preserve">fleet fuels have been coded to a specific growth </w:t>
      </w:r>
      <w:r w:rsidR="002C3164">
        <w:t>metric,</w:t>
      </w:r>
      <w:r w:rsidR="00F96455">
        <w:t xml:space="preserve"> and these have been applied in a 1:1 ratio</w:t>
      </w:r>
      <w:r w:rsidR="00EB4631">
        <w:t>. The analysis has used the following growth metrics:</w:t>
      </w:r>
    </w:p>
    <w:p w14:paraId="1A12CDDE" w14:textId="14D16D8C" w:rsidR="00EB4631" w:rsidRDefault="00F96455" w:rsidP="006E4205">
      <w:pPr>
        <w:pStyle w:val="Bulletpoint"/>
        <w:spacing w:after="120" w:line="240" w:lineRule="auto"/>
        <w:ind w:left="357" w:hanging="357"/>
      </w:pPr>
      <w:r>
        <w:t xml:space="preserve">Bed days – projections of the number of bed days, this helps project </w:t>
      </w:r>
      <w:r w:rsidR="00C627DE">
        <w:t xml:space="preserve">the </w:t>
      </w:r>
      <w:r w:rsidR="000260A1">
        <w:t>level</w:t>
      </w:r>
      <w:r w:rsidR="00C627DE">
        <w:t xml:space="preserve"> of inpatient </w:t>
      </w:r>
      <w:r w:rsidR="00DD748D">
        <w:t>activity</w:t>
      </w:r>
      <w:r w:rsidR="00C627DE">
        <w:t xml:space="preserve"> and has been used as proxy for </w:t>
      </w:r>
      <w:r w:rsidR="009B1902">
        <w:t>most</w:t>
      </w:r>
      <w:r w:rsidR="00C627DE">
        <w:t xml:space="preserve"> patient </w:t>
      </w:r>
      <w:r w:rsidR="000260A1">
        <w:t>volumes</w:t>
      </w:r>
      <w:r w:rsidR="00FC0782">
        <w:rPr>
          <w:rStyle w:val="EndnoteReference"/>
        </w:rPr>
        <w:endnoteReference w:id="35"/>
      </w:r>
      <w:r w:rsidR="00C627DE">
        <w:t xml:space="preserve">. </w:t>
      </w:r>
      <w:r w:rsidR="009B1902">
        <w:t xml:space="preserve">This has been applied to most emissions sources related to patient activity such as energy usage and </w:t>
      </w:r>
      <w:r w:rsidR="003A7708">
        <w:t xml:space="preserve">medical gases. </w:t>
      </w:r>
      <w:r w:rsidR="009B1902">
        <w:t xml:space="preserve"> </w:t>
      </w:r>
    </w:p>
    <w:p w14:paraId="75CD7E0E" w14:textId="391B08A8" w:rsidR="00C627DE" w:rsidRDefault="009B1902" w:rsidP="006E4205">
      <w:pPr>
        <w:pStyle w:val="Bulletpoint"/>
        <w:spacing w:after="120" w:line="240" w:lineRule="auto"/>
        <w:ind w:left="357" w:hanging="357"/>
      </w:pPr>
      <w:r>
        <w:t xml:space="preserve">Emergency Department (ED) presentations </w:t>
      </w:r>
      <w:r w:rsidR="00603E65">
        <w:t>–</w:t>
      </w:r>
      <w:r>
        <w:t xml:space="preserve"> projections of the number of </w:t>
      </w:r>
      <w:r w:rsidR="002359AF">
        <w:t>presentations</w:t>
      </w:r>
      <w:r>
        <w:t xml:space="preserve"> at </w:t>
      </w:r>
      <w:r w:rsidR="003A7708">
        <w:t>ED</w:t>
      </w:r>
      <w:r w:rsidR="009352D4">
        <w:rPr>
          <w:rStyle w:val="EndnoteReference"/>
        </w:rPr>
        <w:endnoteReference w:id="36"/>
      </w:r>
      <w:r w:rsidR="77013DC4" w:rsidRPr="00FC0782">
        <w:rPr>
          <w:rStyle w:val="FootnoteReference"/>
          <w:vertAlign w:val="subscript"/>
        </w:rPr>
        <w:t>.</w:t>
      </w:r>
      <w:r w:rsidR="003A7708" w:rsidRPr="00FC0782">
        <w:rPr>
          <w:vertAlign w:val="subscript"/>
        </w:rPr>
        <w:t xml:space="preserve"> </w:t>
      </w:r>
      <w:r w:rsidR="003A7708">
        <w:t xml:space="preserve">This has been applied to </w:t>
      </w:r>
      <w:r w:rsidR="001F795F">
        <w:t xml:space="preserve">funded patient travel via ambulance. </w:t>
      </w:r>
    </w:p>
    <w:p w14:paraId="5A997335" w14:textId="145607B2" w:rsidR="001F795F" w:rsidRDefault="001F795F" w:rsidP="006E4205">
      <w:pPr>
        <w:pStyle w:val="Bulletpoint"/>
        <w:spacing w:after="120" w:line="240" w:lineRule="auto"/>
        <w:ind w:left="357" w:hanging="357"/>
      </w:pPr>
      <w:r>
        <w:t xml:space="preserve">Staff full time equivalents (FTE) – projections for </w:t>
      </w:r>
      <w:r w:rsidR="004B50B7">
        <w:t xml:space="preserve">clinical, specialist and </w:t>
      </w:r>
      <w:r w:rsidR="00972AE1">
        <w:t xml:space="preserve">assumed </w:t>
      </w:r>
      <w:r w:rsidR="003121FC">
        <w:t>overall,</w:t>
      </w:r>
      <w:r w:rsidR="004B50B7">
        <w:t xml:space="preserve"> </w:t>
      </w:r>
      <w:r>
        <w:t>Health NZ FTE</w:t>
      </w:r>
      <w:r w:rsidR="00972AE1">
        <w:t xml:space="preserve"> changes over time</w:t>
      </w:r>
      <w:r w:rsidR="009352D4">
        <w:rPr>
          <w:rStyle w:val="EndnoteReference"/>
        </w:rPr>
        <w:endnoteReference w:id="37"/>
      </w:r>
      <w:r w:rsidR="00572CE4">
        <w:t xml:space="preserve">. This has been applied to emissions sources related to staff such as business travel. </w:t>
      </w:r>
    </w:p>
    <w:p w14:paraId="7100975C" w14:textId="0EE86191" w:rsidR="00842DA8" w:rsidRDefault="0068350A" w:rsidP="006E4205">
      <w:pPr>
        <w:pStyle w:val="Bulletpoint"/>
        <w:spacing w:after="120" w:line="240" w:lineRule="auto"/>
        <w:ind w:left="357" w:hanging="357"/>
      </w:pPr>
      <w:r>
        <w:t>National Travel Assistance (NTA) claims – the team responsible for NTA policy settings has modell</w:t>
      </w:r>
      <w:r w:rsidR="00082585">
        <w:t>ed</w:t>
      </w:r>
      <w:r>
        <w:t xml:space="preserve"> th</w:t>
      </w:r>
      <w:r w:rsidR="00944256">
        <w:t>e</w:t>
      </w:r>
      <w:r>
        <w:t xml:space="preserve"> estimated increase </w:t>
      </w:r>
      <w:r w:rsidR="00B03CA2">
        <w:t xml:space="preserve">in </w:t>
      </w:r>
      <w:r>
        <w:t xml:space="preserve">spend and volume on NTA claims. This has been applied only to emissions related to NTA </w:t>
      </w:r>
      <w:r w:rsidR="00842DA8">
        <w:t>transport and accommodation.</w:t>
      </w:r>
    </w:p>
    <w:p w14:paraId="651B93AD" w14:textId="77777777" w:rsidR="00842DA8" w:rsidRDefault="00842DA8" w:rsidP="00842DA8">
      <w:pPr>
        <w:pStyle w:val="Section4Heading3"/>
      </w:pPr>
      <w:bookmarkStart w:id="86" w:name="_Toc204940804"/>
      <w:r>
        <w:t>Actions</w:t>
      </w:r>
      <w:bookmarkEnd w:id="86"/>
      <w:r>
        <w:t xml:space="preserve"> </w:t>
      </w:r>
    </w:p>
    <w:p w14:paraId="46B25D66" w14:textId="565BA199" w:rsidR="00157C31" w:rsidRDefault="002E7C64" w:rsidP="002E7C64">
      <w:pPr>
        <w:sectPr w:rsidR="00157C31" w:rsidSect="001F3843">
          <w:headerReference w:type="even" r:id="rId49"/>
          <w:headerReference w:type="default" r:id="rId50"/>
          <w:footerReference w:type="default" r:id="rId51"/>
          <w:headerReference w:type="first" r:id="rId52"/>
          <w:footerReference w:type="first" r:id="rId53"/>
          <w:endnotePr>
            <w:numFmt w:val="decimal"/>
          </w:endnotePr>
          <w:pgSz w:w="11906" w:h="16838" w:code="9"/>
          <w:pgMar w:top="1134" w:right="1134" w:bottom="1134" w:left="1134" w:header="1304" w:footer="454" w:gutter="0"/>
          <w:cols w:space="708"/>
          <w:titlePg/>
          <w:docGrid w:linePitch="360"/>
        </w:sectPr>
      </w:pPr>
      <w:r>
        <w:t>Th</w:t>
      </w:r>
      <w:r w:rsidR="00C37A48">
        <w:t>e below</w:t>
      </w:r>
      <w:r>
        <w:t xml:space="preserve"> table </w:t>
      </w:r>
      <w:r w:rsidR="00C37A48" w:rsidRPr="004C4943">
        <w:t>(</w:t>
      </w:r>
      <w:r w:rsidR="008B72D1">
        <w:t>T</w:t>
      </w:r>
      <w:r w:rsidR="00C37A48" w:rsidRPr="004C4943">
        <w:t xml:space="preserve">able </w:t>
      </w:r>
      <w:r w:rsidR="003D361F" w:rsidRPr="004C4943">
        <w:t>1</w:t>
      </w:r>
      <w:r w:rsidR="003D361F">
        <w:t>6</w:t>
      </w:r>
      <w:r w:rsidR="00C37A48" w:rsidRPr="004C4943">
        <w:t>)</w:t>
      </w:r>
      <w:r w:rsidR="00C37A48">
        <w:t xml:space="preserve"> </w:t>
      </w:r>
      <w:r>
        <w:t xml:space="preserve">details the modelled actions, the reference number in the action tables and shows the total annual emissions saving </w:t>
      </w:r>
      <w:r w:rsidR="00C37A48">
        <w:t xml:space="preserve">at the end of FY26/27. The </w:t>
      </w:r>
      <w:r w:rsidR="00944256">
        <w:t xml:space="preserve">table also details any assumptions and highlights if achieving the outcome is reliant on </w:t>
      </w:r>
      <w:r w:rsidR="009B76A6">
        <w:t>continue</w:t>
      </w:r>
      <w:r w:rsidR="00454004">
        <w:t>d</w:t>
      </w:r>
      <w:r w:rsidR="009B76A6">
        <w:t xml:space="preserve"> behaviour change. </w:t>
      </w:r>
      <w:r w:rsidR="006D5154">
        <w:t>T</w:t>
      </w:r>
      <w:r w:rsidR="00802EF8">
        <w:t xml:space="preserve">o communicate </w:t>
      </w:r>
      <w:r w:rsidR="006D5154">
        <w:t>the</w:t>
      </w:r>
      <w:r w:rsidR="00802EF8">
        <w:t xml:space="preserve"> </w:t>
      </w:r>
      <w:r w:rsidR="005A58F8">
        <w:t>uncertainty</w:t>
      </w:r>
      <w:r w:rsidR="00802EF8">
        <w:t xml:space="preserve"> a score out of 25 has been </w:t>
      </w:r>
      <w:r w:rsidR="005A58F8">
        <w:t xml:space="preserve">provided for </w:t>
      </w:r>
      <w:r w:rsidR="00802EF8">
        <w:t xml:space="preserve"> each action, the higher the score the more confidence there is in </w:t>
      </w:r>
      <w:r w:rsidR="005A58F8">
        <w:t xml:space="preserve">achieving the total emissions outcome. </w:t>
      </w:r>
      <w:r w:rsidR="006A6975" w:rsidRPr="006A6975">
        <w:t>The score is based on a 1-5 scale for certainty of implementation (likely lower for behaviour change actions than for spend-to-save actions) and a 1-5 scale for accuracy of the emissions calculation (higher with an approved business case).</w:t>
      </w:r>
    </w:p>
    <w:p w14:paraId="6FD6A984" w14:textId="6BA9E4A9" w:rsidR="00334BD4" w:rsidRDefault="00F31680" w:rsidP="00F1585B">
      <w:pPr>
        <w:pStyle w:val="Figure"/>
      </w:pPr>
      <w:bookmarkStart w:id="87" w:name="_Toc198286798"/>
      <w:r>
        <w:lastRenderedPageBreak/>
        <w:t xml:space="preserve">Table </w:t>
      </w:r>
      <w:r>
        <w:fldChar w:fldCharType="begin"/>
      </w:r>
      <w:r>
        <w:instrText xml:space="preserve"> SEQ Table \* ARABIC </w:instrText>
      </w:r>
      <w:r>
        <w:fldChar w:fldCharType="separate"/>
      </w:r>
      <w:r w:rsidR="008B20C4">
        <w:rPr>
          <w:noProof/>
        </w:rPr>
        <w:t>16</w:t>
      </w:r>
      <w:r>
        <w:fldChar w:fldCharType="end"/>
      </w:r>
      <w:r w:rsidR="00283CC5">
        <w:t xml:space="preserve"> A</w:t>
      </w:r>
      <w:r>
        <w:t>ssumptions for modelled reduction actions</w:t>
      </w:r>
      <w:bookmarkEnd w:id="87"/>
    </w:p>
    <w:tbl>
      <w:tblPr>
        <w:tblW w:w="5000" w:type="pct"/>
        <w:tblLook w:val="04A0" w:firstRow="1" w:lastRow="0" w:firstColumn="1" w:lastColumn="0" w:noHBand="0" w:noVBand="1"/>
      </w:tblPr>
      <w:tblGrid>
        <w:gridCol w:w="1500"/>
        <w:gridCol w:w="2914"/>
        <w:gridCol w:w="1792"/>
        <w:gridCol w:w="3847"/>
        <w:gridCol w:w="1443"/>
        <w:gridCol w:w="935"/>
        <w:gridCol w:w="2129"/>
      </w:tblGrid>
      <w:tr w:rsidR="00002966" w:rsidRPr="00956EE4" w14:paraId="60A0D579" w14:textId="77777777" w:rsidTr="00F1585B">
        <w:trPr>
          <w:trHeight w:val="1274"/>
          <w:tblHeader/>
        </w:trPr>
        <w:tc>
          <w:tcPr>
            <w:tcW w:w="1451" w:type="dxa"/>
            <w:tcBorders>
              <w:top w:val="single" w:sz="12" w:space="0" w:color="003399"/>
              <w:left w:val="nil"/>
              <w:bottom w:val="single" w:sz="12" w:space="0" w:color="003399"/>
              <w:right w:val="single" w:sz="8" w:space="0" w:color="BFBFBF"/>
            </w:tcBorders>
            <w:shd w:val="clear" w:color="000000" w:fill="F6F4EC"/>
            <w:vAlign w:val="center"/>
            <w:hideMark/>
          </w:tcPr>
          <w:p w14:paraId="57265670" w14:textId="77777777" w:rsidR="00956EE4" w:rsidRPr="00956EE4" w:rsidRDefault="00956EE4" w:rsidP="00956EE4">
            <w:pPr>
              <w:spacing w:before="0" w:after="0" w:line="240" w:lineRule="auto"/>
              <w:rPr>
                <w:rFonts w:ascii="Arial" w:eastAsia="Times New Roman" w:hAnsi="Arial" w:cs="Arial"/>
                <w:b/>
                <w:bCs/>
                <w:color w:val="000000"/>
                <w:szCs w:val="24"/>
                <w:lang w:eastAsia="en-NZ"/>
              </w:rPr>
            </w:pPr>
            <w:r w:rsidRPr="00956EE4">
              <w:rPr>
                <w:rFonts w:ascii="Arial" w:eastAsia="Times New Roman" w:hAnsi="Arial" w:cs="Arial"/>
                <w:b/>
                <w:bCs/>
                <w:color w:val="000000"/>
                <w:szCs w:val="24"/>
                <w:lang w:eastAsia="en-NZ"/>
              </w:rPr>
              <w:t>Emissions group</w:t>
            </w:r>
          </w:p>
        </w:tc>
        <w:tc>
          <w:tcPr>
            <w:tcW w:w="2820" w:type="dxa"/>
            <w:tcBorders>
              <w:top w:val="single" w:sz="12" w:space="0" w:color="003399"/>
              <w:left w:val="nil"/>
              <w:bottom w:val="single" w:sz="12" w:space="0" w:color="003399"/>
              <w:right w:val="single" w:sz="8" w:space="0" w:color="BFBFBF"/>
            </w:tcBorders>
            <w:shd w:val="clear" w:color="000000" w:fill="F6F4EC"/>
            <w:vAlign w:val="center"/>
            <w:hideMark/>
          </w:tcPr>
          <w:p w14:paraId="74CEDB0E" w14:textId="77777777" w:rsidR="00956EE4" w:rsidRPr="00956EE4" w:rsidRDefault="00956EE4" w:rsidP="00956EE4">
            <w:pPr>
              <w:spacing w:before="0" w:after="0" w:line="240" w:lineRule="auto"/>
              <w:rPr>
                <w:rFonts w:ascii="Arial" w:eastAsia="Times New Roman" w:hAnsi="Arial" w:cs="Arial"/>
                <w:b/>
                <w:bCs/>
                <w:color w:val="000000"/>
                <w:szCs w:val="24"/>
                <w:lang w:eastAsia="en-NZ"/>
              </w:rPr>
            </w:pPr>
            <w:r w:rsidRPr="00956EE4">
              <w:rPr>
                <w:rFonts w:ascii="Arial" w:eastAsia="Times New Roman" w:hAnsi="Arial" w:cs="Arial"/>
                <w:b/>
                <w:bCs/>
                <w:color w:val="000000"/>
                <w:szCs w:val="24"/>
                <w:lang w:eastAsia="en-NZ"/>
              </w:rPr>
              <w:t>Basic name (in chart)</w:t>
            </w:r>
          </w:p>
        </w:tc>
        <w:tc>
          <w:tcPr>
            <w:tcW w:w="1734" w:type="dxa"/>
            <w:tcBorders>
              <w:top w:val="single" w:sz="12" w:space="0" w:color="003399"/>
              <w:left w:val="nil"/>
              <w:bottom w:val="single" w:sz="12" w:space="0" w:color="003399"/>
              <w:right w:val="single" w:sz="8" w:space="0" w:color="BFBFBF"/>
            </w:tcBorders>
            <w:shd w:val="clear" w:color="000000" w:fill="F6F4EC"/>
            <w:vAlign w:val="center"/>
            <w:hideMark/>
          </w:tcPr>
          <w:p w14:paraId="3EB69628" w14:textId="77777777" w:rsidR="00956EE4" w:rsidRPr="00956EE4" w:rsidRDefault="00956EE4" w:rsidP="00956EE4">
            <w:pPr>
              <w:spacing w:before="0" w:after="0" w:line="240" w:lineRule="auto"/>
              <w:rPr>
                <w:rFonts w:ascii="Arial" w:eastAsia="Times New Roman" w:hAnsi="Arial" w:cs="Arial"/>
                <w:b/>
                <w:bCs/>
                <w:color w:val="000000"/>
                <w:szCs w:val="24"/>
                <w:lang w:eastAsia="en-NZ"/>
              </w:rPr>
            </w:pPr>
            <w:r w:rsidRPr="00956EE4">
              <w:rPr>
                <w:rFonts w:ascii="Arial" w:eastAsia="Times New Roman" w:hAnsi="Arial" w:cs="Arial"/>
                <w:b/>
                <w:bCs/>
                <w:color w:val="000000"/>
                <w:szCs w:val="24"/>
                <w:lang w:eastAsia="en-NZ"/>
              </w:rPr>
              <w:t>Action ref</w:t>
            </w:r>
          </w:p>
        </w:tc>
        <w:tc>
          <w:tcPr>
            <w:tcW w:w="3723" w:type="dxa"/>
            <w:tcBorders>
              <w:top w:val="single" w:sz="12" w:space="0" w:color="003399"/>
              <w:left w:val="nil"/>
              <w:bottom w:val="single" w:sz="12" w:space="0" w:color="003399"/>
              <w:right w:val="single" w:sz="8" w:space="0" w:color="BFBFBF"/>
            </w:tcBorders>
            <w:shd w:val="clear" w:color="000000" w:fill="F6F4EC"/>
            <w:vAlign w:val="center"/>
            <w:hideMark/>
          </w:tcPr>
          <w:p w14:paraId="7DAB4FEC" w14:textId="3DBC38D2" w:rsidR="00956EE4" w:rsidRPr="00956EE4" w:rsidRDefault="00956EE4" w:rsidP="00956EE4">
            <w:pPr>
              <w:spacing w:before="0" w:after="0" w:line="240" w:lineRule="auto"/>
              <w:rPr>
                <w:rFonts w:ascii="Arial" w:eastAsia="Times New Roman" w:hAnsi="Arial" w:cs="Arial"/>
                <w:b/>
                <w:bCs/>
                <w:color w:val="000000"/>
                <w:szCs w:val="24"/>
                <w:lang w:eastAsia="en-NZ"/>
              </w:rPr>
            </w:pPr>
            <w:r w:rsidRPr="00956EE4">
              <w:rPr>
                <w:rFonts w:ascii="Arial" w:eastAsia="Times New Roman" w:hAnsi="Arial" w:cs="Arial"/>
                <w:b/>
                <w:bCs/>
                <w:color w:val="000000"/>
                <w:szCs w:val="24"/>
                <w:lang w:eastAsia="en-NZ"/>
              </w:rPr>
              <w:t xml:space="preserve">Description / </w:t>
            </w:r>
            <w:r w:rsidR="00EC17BF">
              <w:rPr>
                <w:rFonts w:ascii="Arial" w:eastAsia="Times New Roman" w:hAnsi="Arial" w:cs="Arial"/>
                <w:b/>
                <w:bCs/>
                <w:color w:val="000000"/>
                <w:szCs w:val="24"/>
                <w:lang w:eastAsia="en-NZ"/>
              </w:rPr>
              <w:t>a</w:t>
            </w:r>
            <w:r w:rsidRPr="00956EE4">
              <w:rPr>
                <w:rFonts w:ascii="Arial" w:eastAsia="Times New Roman" w:hAnsi="Arial" w:cs="Arial"/>
                <w:b/>
                <w:bCs/>
                <w:color w:val="000000"/>
                <w:szCs w:val="24"/>
                <w:lang w:eastAsia="en-NZ"/>
              </w:rPr>
              <w:t>ssumptions</w:t>
            </w:r>
          </w:p>
        </w:tc>
        <w:tc>
          <w:tcPr>
            <w:tcW w:w="1396" w:type="dxa"/>
            <w:tcBorders>
              <w:top w:val="single" w:sz="12" w:space="0" w:color="003399"/>
              <w:left w:val="nil"/>
              <w:bottom w:val="single" w:sz="12" w:space="0" w:color="003399"/>
              <w:right w:val="single" w:sz="8" w:space="0" w:color="BFBFBF"/>
            </w:tcBorders>
            <w:shd w:val="clear" w:color="000000" w:fill="F6F4EC"/>
            <w:vAlign w:val="center"/>
            <w:hideMark/>
          </w:tcPr>
          <w:p w14:paraId="3026174F" w14:textId="77777777" w:rsidR="00956EE4" w:rsidRPr="00956EE4" w:rsidRDefault="00956EE4" w:rsidP="00956EE4">
            <w:pPr>
              <w:spacing w:before="0" w:after="0" w:line="240" w:lineRule="auto"/>
              <w:rPr>
                <w:rFonts w:ascii="Arial" w:eastAsia="Times New Roman" w:hAnsi="Arial" w:cs="Arial"/>
                <w:b/>
                <w:bCs/>
                <w:color w:val="000000"/>
                <w:szCs w:val="24"/>
                <w:lang w:eastAsia="en-NZ"/>
              </w:rPr>
            </w:pPr>
            <w:r w:rsidRPr="00956EE4">
              <w:rPr>
                <w:rFonts w:ascii="Arial" w:eastAsia="Times New Roman" w:hAnsi="Arial" w:cs="Arial"/>
                <w:b/>
                <w:bCs/>
                <w:color w:val="000000"/>
                <w:szCs w:val="24"/>
                <w:lang w:eastAsia="en-NZ"/>
              </w:rPr>
              <w:t xml:space="preserve">Reliant on continued behaviour change? </w:t>
            </w:r>
          </w:p>
        </w:tc>
        <w:tc>
          <w:tcPr>
            <w:tcW w:w="905" w:type="dxa"/>
            <w:tcBorders>
              <w:top w:val="single" w:sz="12" w:space="0" w:color="003399"/>
              <w:left w:val="nil"/>
              <w:bottom w:val="single" w:sz="12" w:space="0" w:color="003399"/>
              <w:right w:val="single" w:sz="8" w:space="0" w:color="BFBFBF"/>
            </w:tcBorders>
            <w:shd w:val="clear" w:color="000000" w:fill="F6F4EC"/>
            <w:vAlign w:val="center"/>
            <w:hideMark/>
          </w:tcPr>
          <w:p w14:paraId="4058EDDE" w14:textId="77777777" w:rsidR="00956EE4" w:rsidRPr="00956EE4" w:rsidRDefault="00956EE4" w:rsidP="00956EE4">
            <w:pPr>
              <w:spacing w:before="0" w:after="0" w:line="240" w:lineRule="auto"/>
              <w:rPr>
                <w:rFonts w:ascii="Arial" w:eastAsia="Times New Roman" w:hAnsi="Arial" w:cs="Arial"/>
                <w:b/>
                <w:bCs/>
                <w:color w:val="000000"/>
                <w:szCs w:val="24"/>
                <w:lang w:eastAsia="en-NZ"/>
              </w:rPr>
            </w:pPr>
            <w:r w:rsidRPr="00956EE4">
              <w:rPr>
                <w:rFonts w:ascii="Arial" w:eastAsia="Times New Roman" w:hAnsi="Arial" w:cs="Arial"/>
                <w:b/>
                <w:bCs/>
                <w:color w:val="000000"/>
                <w:szCs w:val="24"/>
                <w:lang w:eastAsia="en-NZ"/>
              </w:rPr>
              <w:t>Score</w:t>
            </w:r>
          </w:p>
        </w:tc>
        <w:tc>
          <w:tcPr>
            <w:tcW w:w="2060" w:type="dxa"/>
            <w:tcBorders>
              <w:top w:val="single" w:sz="12" w:space="0" w:color="003399"/>
              <w:left w:val="nil"/>
              <w:bottom w:val="single" w:sz="12" w:space="0" w:color="003399"/>
              <w:right w:val="single" w:sz="8" w:space="0" w:color="BFBFBF"/>
            </w:tcBorders>
            <w:shd w:val="clear" w:color="000000" w:fill="F6F4EC"/>
            <w:vAlign w:val="center"/>
            <w:hideMark/>
          </w:tcPr>
          <w:p w14:paraId="2EAA3205" w14:textId="77777777" w:rsidR="00956EE4" w:rsidRPr="00956EE4" w:rsidRDefault="00956EE4" w:rsidP="00956EE4">
            <w:pPr>
              <w:spacing w:before="0" w:after="0" w:line="240" w:lineRule="auto"/>
              <w:rPr>
                <w:rFonts w:ascii="Arial" w:eastAsia="Times New Roman" w:hAnsi="Arial" w:cs="Arial"/>
                <w:b/>
                <w:bCs/>
                <w:color w:val="000000"/>
                <w:szCs w:val="24"/>
                <w:lang w:eastAsia="en-NZ"/>
              </w:rPr>
            </w:pPr>
            <w:r w:rsidRPr="00956EE4">
              <w:rPr>
                <w:rFonts w:ascii="Arial" w:eastAsia="Times New Roman" w:hAnsi="Arial" w:cs="Arial"/>
                <w:b/>
                <w:bCs/>
                <w:color w:val="000000"/>
                <w:szCs w:val="24"/>
                <w:lang w:eastAsia="en-NZ"/>
              </w:rPr>
              <w:t>Estimated annual emissions reduction in FY26/27 (tCO</w:t>
            </w:r>
            <w:r w:rsidRPr="00170985">
              <w:rPr>
                <w:rFonts w:ascii="Arial" w:eastAsia="Times New Roman" w:hAnsi="Arial" w:cs="Arial"/>
                <w:b/>
                <w:bCs/>
                <w:color w:val="000000"/>
                <w:szCs w:val="24"/>
                <w:vertAlign w:val="subscript"/>
                <w:lang w:eastAsia="en-NZ"/>
              </w:rPr>
              <w:t>2</w:t>
            </w:r>
            <w:r w:rsidRPr="00956EE4">
              <w:rPr>
                <w:rFonts w:ascii="Arial" w:eastAsia="Times New Roman" w:hAnsi="Arial" w:cs="Arial"/>
                <w:b/>
                <w:bCs/>
                <w:color w:val="000000"/>
                <w:szCs w:val="24"/>
                <w:lang w:eastAsia="en-NZ"/>
              </w:rPr>
              <w:t>e)</w:t>
            </w:r>
          </w:p>
        </w:tc>
      </w:tr>
      <w:tr w:rsidR="00002966" w:rsidRPr="00956EE4" w14:paraId="4C70BF72" w14:textId="77777777" w:rsidTr="00F1585B">
        <w:trPr>
          <w:trHeight w:val="960"/>
        </w:trPr>
        <w:tc>
          <w:tcPr>
            <w:tcW w:w="1451" w:type="dxa"/>
            <w:vMerge w:val="restart"/>
            <w:tcBorders>
              <w:top w:val="nil"/>
              <w:left w:val="nil"/>
              <w:right w:val="single" w:sz="8" w:space="0" w:color="BFBFBF"/>
            </w:tcBorders>
            <w:vAlign w:val="center"/>
            <w:hideMark/>
          </w:tcPr>
          <w:p w14:paraId="0A023A0C"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Energy, water and waste</w:t>
            </w:r>
          </w:p>
          <w:p w14:paraId="12798A32"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5BB75D9B"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248EDB0D"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1776501A"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30EBA8C6"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5BB677AA"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09A03501" w14:textId="02199665"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2820" w:type="dxa"/>
            <w:tcBorders>
              <w:top w:val="nil"/>
              <w:left w:val="nil"/>
              <w:bottom w:val="single" w:sz="8" w:space="0" w:color="BFBFBF"/>
              <w:right w:val="single" w:sz="8" w:space="0" w:color="BFBFBF"/>
            </w:tcBorders>
            <w:vAlign w:val="center"/>
            <w:hideMark/>
          </w:tcPr>
          <w:p w14:paraId="621E1A3D"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ETP Stage 1 - to be complete</w:t>
            </w:r>
          </w:p>
        </w:tc>
        <w:tc>
          <w:tcPr>
            <w:tcW w:w="1734" w:type="dxa"/>
            <w:tcBorders>
              <w:top w:val="nil"/>
              <w:left w:val="nil"/>
              <w:bottom w:val="single" w:sz="8" w:space="0" w:color="BFBFBF"/>
              <w:right w:val="single" w:sz="8" w:space="0" w:color="BFBFBF"/>
            </w:tcBorders>
            <w:vAlign w:val="center"/>
            <w:hideMark/>
          </w:tcPr>
          <w:p w14:paraId="37E17CD0"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E1</w:t>
            </w:r>
          </w:p>
        </w:tc>
        <w:tc>
          <w:tcPr>
            <w:tcW w:w="3723" w:type="dxa"/>
            <w:tcBorders>
              <w:top w:val="nil"/>
              <w:left w:val="nil"/>
              <w:bottom w:val="single" w:sz="8" w:space="0" w:color="BFBFBF"/>
              <w:right w:val="single" w:sz="8" w:space="0" w:color="BFBFBF"/>
            </w:tcBorders>
            <w:vAlign w:val="center"/>
            <w:hideMark/>
          </w:tcPr>
          <w:p w14:paraId="607E0B8E"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Based on energy efficiency gains from projects that have been approved but not completed.</w:t>
            </w:r>
          </w:p>
        </w:tc>
        <w:tc>
          <w:tcPr>
            <w:tcW w:w="1396" w:type="dxa"/>
            <w:tcBorders>
              <w:top w:val="nil"/>
              <w:left w:val="nil"/>
              <w:bottom w:val="single" w:sz="8" w:space="0" w:color="BFBFBF"/>
              <w:right w:val="single" w:sz="8" w:space="0" w:color="BFBFBF"/>
            </w:tcBorders>
            <w:vAlign w:val="center"/>
            <w:hideMark/>
          </w:tcPr>
          <w:p w14:paraId="5E8E382D"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110DFE47"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12</w:t>
            </w:r>
          </w:p>
        </w:tc>
        <w:tc>
          <w:tcPr>
            <w:tcW w:w="2060" w:type="dxa"/>
            <w:tcBorders>
              <w:top w:val="nil"/>
              <w:left w:val="nil"/>
              <w:bottom w:val="single" w:sz="8" w:space="0" w:color="BFBFBF"/>
              <w:right w:val="single" w:sz="8" w:space="0" w:color="BFBFBF"/>
            </w:tcBorders>
            <w:vAlign w:val="center"/>
            <w:hideMark/>
          </w:tcPr>
          <w:p w14:paraId="60E09ACB"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-10,900</w:t>
            </w:r>
          </w:p>
        </w:tc>
      </w:tr>
      <w:tr w:rsidR="00002966" w:rsidRPr="00956EE4" w14:paraId="2F3D00AA" w14:textId="77777777" w:rsidTr="00F1585B">
        <w:trPr>
          <w:trHeight w:val="950"/>
        </w:trPr>
        <w:tc>
          <w:tcPr>
            <w:tcW w:w="1451" w:type="dxa"/>
            <w:vMerge/>
            <w:tcBorders>
              <w:left w:val="nil"/>
              <w:right w:val="single" w:sz="8" w:space="0" w:color="BFBFBF"/>
            </w:tcBorders>
            <w:vAlign w:val="center"/>
            <w:hideMark/>
          </w:tcPr>
          <w:p w14:paraId="32B352A9" w14:textId="190E508C"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2476DF42"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ETP Stage 1 - complete</w:t>
            </w:r>
          </w:p>
        </w:tc>
        <w:tc>
          <w:tcPr>
            <w:tcW w:w="1734" w:type="dxa"/>
            <w:tcBorders>
              <w:top w:val="nil"/>
              <w:left w:val="nil"/>
              <w:bottom w:val="single" w:sz="8" w:space="0" w:color="BFBFBF"/>
              <w:right w:val="single" w:sz="8" w:space="0" w:color="BFBFBF"/>
            </w:tcBorders>
            <w:vAlign w:val="center"/>
            <w:hideMark/>
          </w:tcPr>
          <w:p w14:paraId="7F5FB3D9"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E1</w:t>
            </w:r>
          </w:p>
        </w:tc>
        <w:tc>
          <w:tcPr>
            <w:tcW w:w="3723" w:type="dxa"/>
            <w:tcBorders>
              <w:top w:val="nil"/>
              <w:left w:val="nil"/>
              <w:bottom w:val="single" w:sz="8" w:space="0" w:color="BFBFBF"/>
              <w:right w:val="single" w:sz="8" w:space="0" w:color="BFBFBF"/>
            </w:tcBorders>
            <w:vAlign w:val="center"/>
            <w:hideMark/>
          </w:tcPr>
          <w:p w14:paraId="158399F9" w14:textId="42054FDF"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Projects that are complete</w:t>
            </w:r>
            <w:r w:rsidR="004B3570">
              <w:rPr>
                <w:rFonts w:ascii="Arial" w:eastAsia="Times New Roman" w:hAnsi="Arial" w:cs="Arial"/>
                <w:color w:val="000000"/>
                <w:szCs w:val="24"/>
                <w:lang w:eastAsia="en-NZ"/>
              </w:rPr>
              <w:t xml:space="preserve"> (as of December 2024)</w:t>
            </w:r>
            <w:r w:rsidRPr="00956EE4">
              <w:rPr>
                <w:rFonts w:ascii="Arial" w:eastAsia="Times New Roman" w:hAnsi="Arial" w:cs="Arial"/>
                <w:color w:val="000000"/>
                <w:szCs w:val="24"/>
                <w:lang w:eastAsia="en-NZ"/>
              </w:rPr>
              <w:t xml:space="preserve">, but annual emissions savings are projections only. </w:t>
            </w:r>
          </w:p>
        </w:tc>
        <w:tc>
          <w:tcPr>
            <w:tcW w:w="1396" w:type="dxa"/>
            <w:tcBorders>
              <w:top w:val="nil"/>
              <w:left w:val="nil"/>
              <w:bottom w:val="single" w:sz="8" w:space="0" w:color="BFBFBF"/>
              <w:right w:val="single" w:sz="8" w:space="0" w:color="BFBFBF"/>
            </w:tcBorders>
            <w:vAlign w:val="center"/>
            <w:hideMark/>
          </w:tcPr>
          <w:p w14:paraId="74B6AEF5"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1F62F47A"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20</w:t>
            </w:r>
          </w:p>
        </w:tc>
        <w:tc>
          <w:tcPr>
            <w:tcW w:w="2060" w:type="dxa"/>
            <w:tcBorders>
              <w:top w:val="nil"/>
              <w:left w:val="nil"/>
              <w:bottom w:val="single" w:sz="8" w:space="0" w:color="BFBFBF"/>
              <w:right w:val="single" w:sz="8" w:space="0" w:color="BFBFBF"/>
            </w:tcBorders>
            <w:vAlign w:val="center"/>
            <w:hideMark/>
          </w:tcPr>
          <w:p w14:paraId="3249AF62"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-110</w:t>
            </w:r>
          </w:p>
        </w:tc>
      </w:tr>
      <w:tr w:rsidR="00002966" w:rsidRPr="00956EE4" w14:paraId="105CEEC4" w14:textId="77777777" w:rsidTr="00F1585B">
        <w:trPr>
          <w:trHeight w:val="950"/>
        </w:trPr>
        <w:tc>
          <w:tcPr>
            <w:tcW w:w="1451" w:type="dxa"/>
            <w:vMerge/>
            <w:tcBorders>
              <w:left w:val="nil"/>
              <w:right w:val="single" w:sz="8" w:space="0" w:color="BFBFBF"/>
            </w:tcBorders>
            <w:vAlign w:val="center"/>
            <w:hideMark/>
          </w:tcPr>
          <w:p w14:paraId="7B06A94D" w14:textId="34777115"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4999E4C2"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Coal Boiler Programme</w:t>
            </w:r>
          </w:p>
        </w:tc>
        <w:tc>
          <w:tcPr>
            <w:tcW w:w="1734" w:type="dxa"/>
            <w:tcBorders>
              <w:top w:val="nil"/>
              <w:left w:val="nil"/>
              <w:bottom w:val="single" w:sz="8" w:space="0" w:color="BFBFBF"/>
              <w:right w:val="single" w:sz="8" w:space="0" w:color="BFBFBF"/>
            </w:tcBorders>
            <w:vAlign w:val="center"/>
            <w:hideMark/>
          </w:tcPr>
          <w:p w14:paraId="2FE9D4FF"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E3</w:t>
            </w:r>
          </w:p>
        </w:tc>
        <w:tc>
          <w:tcPr>
            <w:tcW w:w="3723" w:type="dxa"/>
            <w:tcBorders>
              <w:top w:val="nil"/>
              <w:left w:val="nil"/>
              <w:bottom w:val="single" w:sz="8" w:space="0" w:color="BFBFBF"/>
              <w:right w:val="single" w:sz="8" w:space="0" w:color="BFBFBF"/>
            </w:tcBorders>
            <w:vAlign w:val="center"/>
            <w:hideMark/>
          </w:tcPr>
          <w:p w14:paraId="389D1168" w14:textId="5BCBEB6D"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Removal </w:t>
            </w:r>
            <w:r w:rsidR="008D6395">
              <w:rPr>
                <w:rFonts w:ascii="Arial" w:eastAsia="Times New Roman" w:hAnsi="Arial" w:cs="Arial"/>
                <w:color w:val="000000"/>
                <w:szCs w:val="24"/>
                <w:lang w:eastAsia="en-NZ"/>
              </w:rPr>
              <w:t xml:space="preserve">or conversion </w:t>
            </w:r>
            <w:r w:rsidRPr="00956EE4">
              <w:rPr>
                <w:rFonts w:ascii="Arial" w:eastAsia="Times New Roman" w:hAnsi="Arial" w:cs="Arial"/>
                <w:color w:val="000000"/>
                <w:szCs w:val="24"/>
                <w:lang w:eastAsia="en-NZ"/>
              </w:rPr>
              <w:t xml:space="preserve">of all </w:t>
            </w:r>
            <w:r w:rsidR="003A635A">
              <w:rPr>
                <w:rFonts w:ascii="Arial" w:eastAsia="Times New Roman" w:hAnsi="Arial" w:cs="Arial"/>
                <w:color w:val="000000"/>
                <w:szCs w:val="24"/>
                <w:lang w:eastAsia="en-NZ"/>
              </w:rPr>
              <w:t xml:space="preserve">Health NZ owned </w:t>
            </w:r>
            <w:r w:rsidRPr="00956EE4">
              <w:rPr>
                <w:rFonts w:ascii="Arial" w:eastAsia="Times New Roman" w:hAnsi="Arial" w:cs="Arial"/>
                <w:color w:val="000000"/>
                <w:szCs w:val="24"/>
                <w:lang w:eastAsia="en-NZ"/>
              </w:rPr>
              <w:t>Coal Boilers by end of FY25/26, 50% removed or converted in FY24/25</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7CB1834B"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4106BD25"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20</w:t>
            </w:r>
          </w:p>
        </w:tc>
        <w:tc>
          <w:tcPr>
            <w:tcW w:w="2060" w:type="dxa"/>
            <w:tcBorders>
              <w:top w:val="nil"/>
              <w:left w:val="nil"/>
              <w:bottom w:val="single" w:sz="8" w:space="0" w:color="BFBFBF"/>
              <w:right w:val="single" w:sz="8" w:space="0" w:color="BFBFBF"/>
            </w:tcBorders>
            <w:vAlign w:val="center"/>
            <w:hideMark/>
          </w:tcPr>
          <w:p w14:paraId="3A9319AC" w14:textId="7C0577AB"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w:t>
            </w:r>
            <w:r w:rsidR="002E2EC0">
              <w:rPr>
                <w:rFonts w:ascii="Arial" w:eastAsia="Times New Roman" w:hAnsi="Arial" w:cs="Arial"/>
                <w:color w:val="000000"/>
                <w:szCs w:val="24"/>
                <w:lang w:eastAsia="en-NZ"/>
              </w:rPr>
              <w:t>7,0</w:t>
            </w:r>
            <w:r w:rsidRPr="00956EE4">
              <w:rPr>
                <w:rFonts w:ascii="Arial" w:eastAsia="Times New Roman" w:hAnsi="Arial" w:cs="Arial"/>
                <w:color w:val="000000"/>
                <w:szCs w:val="24"/>
                <w:lang w:eastAsia="en-NZ"/>
              </w:rPr>
              <w:t>00</w:t>
            </w:r>
          </w:p>
        </w:tc>
      </w:tr>
      <w:tr w:rsidR="00002966" w:rsidRPr="00956EE4" w14:paraId="20FBC04C" w14:textId="77777777" w:rsidTr="00F1585B">
        <w:trPr>
          <w:trHeight w:val="1264"/>
        </w:trPr>
        <w:tc>
          <w:tcPr>
            <w:tcW w:w="1451" w:type="dxa"/>
            <w:vMerge/>
            <w:tcBorders>
              <w:left w:val="nil"/>
              <w:right w:val="single" w:sz="8" w:space="0" w:color="BFBFBF"/>
            </w:tcBorders>
            <w:vAlign w:val="center"/>
            <w:hideMark/>
          </w:tcPr>
          <w:p w14:paraId="6E5CCAC9" w14:textId="5081991C"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78DC61D3"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ETP Stage 2 - potential†</w:t>
            </w:r>
          </w:p>
        </w:tc>
        <w:tc>
          <w:tcPr>
            <w:tcW w:w="1734" w:type="dxa"/>
            <w:tcBorders>
              <w:top w:val="nil"/>
              <w:left w:val="nil"/>
              <w:bottom w:val="single" w:sz="8" w:space="0" w:color="BFBFBF"/>
              <w:right w:val="single" w:sz="8" w:space="0" w:color="BFBFBF"/>
            </w:tcBorders>
            <w:vAlign w:val="center"/>
            <w:hideMark/>
          </w:tcPr>
          <w:p w14:paraId="39A1CF91"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E2</w:t>
            </w:r>
          </w:p>
        </w:tc>
        <w:tc>
          <w:tcPr>
            <w:tcW w:w="3723" w:type="dxa"/>
            <w:tcBorders>
              <w:top w:val="nil"/>
              <w:left w:val="nil"/>
              <w:bottom w:val="single" w:sz="8" w:space="0" w:color="BFBFBF"/>
              <w:right w:val="single" w:sz="8" w:space="0" w:color="BFBFBF"/>
            </w:tcBorders>
            <w:vAlign w:val="center"/>
            <w:hideMark/>
          </w:tcPr>
          <w:p w14:paraId="0FA4C785"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Based on estimates of projects in interim application phase only and are subject to business case and funding approvals. </w:t>
            </w:r>
          </w:p>
        </w:tc>
        <w:tc>
          <w:tcPr>
            <w:tcW w:w="1396" w:type="dxa"/>
            <w:tcBorders>
              <w:top w:val="nil"/>
              <w:left w:val="nil"/>
              <w:bottom w:val="single" w:sz="8" w:space="0" w:color="BFBFBF"/>
              <w:right w:val="single" w:sz="8" w:space="0" w:color="BFBFBF"/>
            </w:tcBorders>
            <w:vAlign w:val="center"/>
            <w:hideMark/>
          </w:tcPr>
          <w:p w14:paraId="3F86E4A0"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34FDA784"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6</w:t>
            </w:r>
          </w:p>
        </w:tc>
        <w:tc>
          <w:tcPr>
            <w:tcW w:w="2060" w:type="dxa"/>
            <w:tcBorders>
              <w:top w:val="nil"/>
              <w:left w:val="nil"/>
              <w:bottom w:val="single" w:sz="8" w:space="0" w:color="BFBFBF"/>
              <w:right w:val="single" w:sz="8" w:space="0" w:color="BFBFBF"/>
            </w:tcBorders>
            <w:vAlign w:val="center"/>
            <w:hideMark/>
          </w:tcPr>
          <w:p w14:paraId="0210412F"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-4,000</w:t>
            </w:r>
          </w:p>
        </w:tc>
      </w:tr>
      <w:tr w:rsidR="00002966" w:rsidRPr="00956EE4" w14:paraId="1C886105" w14:textId="77777777" w:rsidTr="00F1585B">
        <w:trPr>
          <w:trHeight w:val="2519"/>
        </w:trPr>
        <w:tc>
          <w:tcPr>
            <w:tcW w:w="1451" w:type="dxa"/>
            <w:vMerge/>
            <w:tcBorders>
              <w:left w:val="nil"/>
              <w:right w:val="single" w:sz="8" w:space="0" w:color="BFBFBF"/>
            </w:tcBorders>
            <w:vAlign w:val="center"/>
            <w:hideMark/>
          </w:tcPr>
          <w:p w14:paraId="7B259A35" w14:textId="029D9291"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6C99DB23" w14:textId="42979AB1"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Building </w:t>
            </w:r>
            <w:r w:rsidR="00092E8C">
              <w:rPr>
                <w:rFonts w:ascii="Arial" w:eastAsia="Times New Roman" w:hAnsi="Arial" w:cs="Arial"/>
                <w:color w:val="000000"/>
                <w:szCs w:val="24"/>
                <w:lang w:eastAsia="en-NZ"/>
              </w:rPr>
              <w:t>energy o</w:t>
            </w:r>
            <w:r w:rsidRPr="00956EE4">
              <w:rPr>
                <w:rFonts w:ascii="Arial" w:eastAsia="Times New Roman" w:hAnsi="Arial" w:cs="Arial"/>
                <w:color w:val="000000"/>
                <w:szCs w:val="24"/>
                <w:lang w:eastAsia="en-NZ"/>
              </w:rPr>
              <w:t xml:space="preserve">ptimisation </w:t>
            </w:r>
          </w:p>
        </w:tc>
        <w:tc>
          <w:tcPr>
            <w:tcW w:w="1734" w:type="dxa"/>
            <w:tcBorders>
              <w:top w:val="nil"/>
              <w:left w:val="nil"/>
              <w:bottom w:val="single" w:sz="8" w:space="0" w:color="BFBFBF"/>
              <w:right w:val="single" w:sz="8" w:space="0" w:color="BFBFBF"/>
            </w:tcBorders>
            <w:vAlign w:val="center"/>
            <w:hideMark/>
          </w:tcPr>
          <w:p w14:paraId="6578BF87" w14:textId="18D2CF2C"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w:t>
            </w:r>
            <w:r w:rsidR="00092E8C">
              <w:rPr>
                <w:rFonts w:ascii="Arial" w:eastAsia="Times New Roman" w:hAnsi="Arial" w:cs="Arial"/>
                <w:color w:val="000000"/>
                <w:szCs w:val="24"/>
                <w:lang w:eastAsia="en-NZ"/>
              </w:rPr>
              <w:t>6</w:t>
            </w:r>
          </w:p>
        </w:tc>
        <w:tc>
          <w:tcPr>
            <w:tcW w:w="3723" w:type="dxa"/>
            <w:tcBorders>
              <w:top w:val="nil"/>
              <w:left w:val="nil"/>
              <w:bottom w:val="single" w:sz="8" w:space="0" w:color="BFBFBF"/>
              <w:right w:val="single" w:sz="8" w:space="0" w:color="BFBFBF"/>
            </w:tcBorders>
            <w:vAlign w:val="center"/>
            <w:hideMark/>
          </w:tcPr>
          <w:p w14:paraId="64589AF2" w14:textId="6D844801" w:rsidR="00002966" w:rsidRPr="00956EE4" w:rsidRDefault="003D361F" w:rsidP="00956EE4">
            <w:pPr>
              <w:spacing w:before="0" w:after="0" w:line="240" w:lineRule="auto"/>
              <w:rPr>
                <w:rFonts w:ascii="Arial" w:eastAsia="Times New Roman" w:hAnsi="Arial" w:cs="Arial"/>
                <w:color w:val="000000"/>
                <w:szCs w:val="24"/>
                <w:lang w:eastAsia="en-NZ"/>
              </w:rPr>
            </w:pPr>
            <w:r>
              <w:rPr>
                <w:rFonts w:ascii="Arial" w:eastAsia="Times New Roman" w:hAnsi="Arial" w:cs="Arial"/>
                <w:color w:val="000000"/>
                <w:szCs w:val="24"/>
                <w:lang w:eastAsia="en-NZ"/>
              </w:rPr>
              <w:t>O</w:t>
            </w:r>
            <w:r w:rsidR="00B819DA" w:rsidRPr="00956EE4">
              <w:rPr>
                <w:rFonts w:ascii="Arial" w:eastAsia="Times New Roman" w:hAnsi="Arial" w:cs="Arial"/>
                <w:color w:val="000000"/>
                <w:szCs w:val="24"/>
                <w:lang w:eastAsia="en-NZ"/>
              </w:rPr>
              <w:t>ptimisation</w:t>
            </w:r>
            <w:r w:rsidR="00002966" w:rsidRPr="00956EE4">
              <w:rPr>
                <w:rFonts w:ascii="Arial" w:eastAsia="Times New Roman" w:hAnsi="Arial" w:cs="Arial"/>
                <w:color w:val="000000"/>
                <w:szCs w:val="24"/>
                <w:lang w:eastAsia="en-NZ"/>
              </w:rPr>
              <w:t xml:space="preserve"> </w:t>
            </w:r>
            <w:r w:rsidR="00B819DA" w:rsidRPr="00956EE4">
              <w:rPr>
                <w:rFonts w:ascii="Arial" w:eastAsia="Times New Roman" w:hAnsi="Arial" w:cs="Arial"/>
                <w:color w:val="000000"/>
                <w:szCs w:val="24"/>
                <w:lang w:eastAsia="en-NZ"/>
              </w:rPr>
              <w:t>of</w:t>
            </w:r>
            <w:r w:rsidR="00002966" w:rsidRPr="00956EE4">
              <w:rPr>
                <w:rFonts w:ascii="Arial" w:eastAsia="Times New Roman" w:hAnsi="Arial" w:cs="Arial"/>
                <w:color w:val="000000"/>
                <w:szCs w:val="24"/>
                <w:lang w:eastAsia="en-NZ"/>
              </w:rPr>
              <w:t xml:space="preserve"> air changes</w:t>
            </w:r>
            <w:r w:rsidR="00B819DA">
              <w:rPr>
                <w:rFonts w:ascii="Arial" w:eastAsia="Times New Roman" w:hAnsi="Arial" w:cs="Arial"/>
                <w:color w:val="000000"/>
                <w:szCs w:val="24"/>
                <w:lang w:eastAsia="en-NZ"/>
              </w:rPr>
              <w:t xml:space="preserve"> </w:t>
            </w:r>
            <w:r w:rsidR="00002966" w:rsidRPr="00956EE4">
              <w:rPr>
                <w:rFonts w:ascii="Arial" w:eastAsia="Times New Roman" w:hAnsi="Arial" w:cs="Arial"/>
                <w:color w:val="000000"/>
                <w:szCs w:val="24"/>
                <w:lang w:eastAsia="en-NZ"/>
              </w:rPr>
              <w:t xml:space="preserve">per hour on air </w:t>
            </w:r>
            <w:r w:rsidR="00B819DA" w:rsidRPr="00956EE4">
              <w:rPr>
                <w:rFonts w:ascii="Arial" w:eastAsia="Times New Roman" w:hAnsi="Arial" w:cs="Arial"/>
                <w:color w:val="000000"/>
                <w:szCs w:val="24"/>
                <w:lang w:eastAsia="en-NZ"/>
              </w:rPr>
              <w:t>handling</w:t>
            </w:r>
            <w:r w:rsidR="00002966" w:rsidRPr="00956EE4">
              <w:rPr>
                <w:rFonts w:ascii="Arial" w:eastAsia="Times New Roman" w:hAnsi="Arial" w:cs="Arial"/>
                <w:color w:val="000000"/>
                <w:szCs w:val="24"/>
                <w:lang w:eastAsia="en-NZ"/>
              </w:rPr>
              <w:t xml:space="preserve"> units and improved set point controls on temperatures. Savings based on pilot projects at Middlemore and Christchurch</w:t>
            </w:r>
            <w:r>
              <w:rPr>
                <w:rFonts w:ascii="Arial" w:eastAsia="Times New Roman" w:hAnsi="Arial" w:cs="Arial"/>
                <w:color w:val="000000"/>
                <w:szCs w:val="24"/>
                <w:lang w:eastAsia="en-NZ"/>
              </w:rPr>
              <w:t>. P</w:t>
            </w:r>
            <w:r w:rsidR="00002966" w:rsidRPr="00956EE4">
              <w:rPr>
                <w:rFonts w:ascii="Arial" w:eastAsia="Times New Roman" w:hAnsi="Arial" w:cs="Arial"/>
                <w:color w:val="000000"/>
                <w:szCs w:val="24"/>
                <w:lang w:eastAsia="en-NZ"/>
              </w:rPr>
              <w:t xml:space="preserve">artially </w:t>
            </w:r>
            <w:r>
              <w:rPr>
                <w:rFonts w:ascii="Arial" w:eastAsia="Times New Roman" w:hAnsi="Arial" w:cs="Arial"/>
                <w:color w:val="000000"/>
                <w:szCs w:val="24"/>
                <w:lang w:eastAsia="en-NZ"/>
              </w:rPr>
              <w:t>rolled out in</w:t>
            </w:r>
            <w:r w:rsidR="00002966" w:rsidRPr="00956EE4">
              <w:rPr>
                <w:rFonts w:ascii="Arial" w:eastAsia="Times New Roman" w:hAnsi="Arial" w:cs="Arial"/>
                <w:color w:val="000000"/>
                <w:szCs w:val="24"/>
                <w:lang w:eastAsia="en-NZ"/>
              </w:rPr>
              <w:t xml:space="preserve"> FY24/25 and fully </w:t>
            </w:r>
            <w:r>
              <w:rPr>
                <w:rFonts w:ascii="Arial" w:eastAsia="Times New Roman" w:hAnsi="Arial" w:cs="Arial"/>
                <w:color w:val="000000"/>
                <w:szCs w:val="24"/>
                <w:lang w:eastAsia="en-NZ"/>
              </w:rPr>
              <w:t>implemented</w:t>
            </w:r>
            <w:r w:rsidR="00002966" w:rsidRPr="00956EE4">
              <w:rPr>
                <w:rFonts w:ascii="Arial" w:eastAsia="Times New Roman" w:hAnsi="Arial" w:cs="Arial"/>
                <w:color w:val="000000"/>
                <w:szCs w:val="24"/>
                <w:lang w:eastAsia="en-NZ"/>
              </w:rPr>
              <w:t xml:space="preserve"> </w:t>
            </w:r>
            <w:r w:rsidR="00F054C6">
              <w:rPr>
                <w:rFonts w:ascii="Arial" w:eastAsia="Times New Roman" w:hAnsi="Arial" w:cs="Arial"/>
                <w:color w:val="000000"/>
                <w:szCs w:val="24"/>
                <w:lang w:eastAsia="en-NZ"/>
              </w:rPr>
              <w:t>in</w:t>
            </w:r>
            <w:r w:rsidR="00002966" w:rsidRPr="00956EE4">
              <w:rPr>
                <w:rFonts w:ascii="Arial" w:eastAsia="Times New Roman" w:hAnsi="Arial" w:cs="Arial"/>
                <w:color w:val="000000"/>
                <w:szCs w:val="24"/>
                <w:lang w:eastAsia="en-NZ"/>
              </w:rPr>
              <w:t xml:space="preserve"> FY25/26</w:t>
            </w:r>
            <w:r>
              <w:rPr>
                <w:rFonts w:ascii="Arial" w:eastAsia="Times New Roman" w:hAnsi="Arial" w:cs="Arial"/>
                <w:color w:val="000000"/>
                <w:szCs w:val="24"/>
                <w:lang w:eastAsia="en-NZ"/>
              </w:rPr>
              <w:t xml:space="preserve">. </w:t>
            </w:r>
            <w:r w:rsidR="00002966" w:rsidRPr="00956EE4">
              <w:rPr>
                <w:rFonts w:ascii="Arial" w:eastAsia="Times New Roman" w:hAnsi="Arial" w:cs="Arial"/>
                <w:color w:val="000000"/>
                <w:szCs w:val="24"/>
                <w:lang w:eastAsia="en-NZ"/>
              </w:rPr>
              <w:t xml:space="preserve"> </w:t>
            </w:r>
          </w:p>
        </w:tc>
        <w:tc>
          <w:tcPr>
            <w:tcW w:w="1396" w:type="dxa"/>
            <w:tcBorders>
              <w:top w:val="nil"/>
              <w:left w:val="nil"/>
              <w:bottom w:val="single" w:sz="8" w:space="0" w:color="BFBFBF"/>
              <w:right w:val="single" w:sz="8" w:space="0" w:color="BFBFBF"/>
            </w:tcBorders>
            <w:vAlign w:val="center"/>
            <w:hideMark/>
          </w:tcPr>
          <w:p w14:paraId="363D2E40"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64241C26"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15</w:t>
            </w:r>
          </w:p>
        </w:tc>
        <w:tc>
          <w:tcPr>
            <w:tcW w:w="2060" w:type="dxa"/>
            <w:tcBorders>
              <w:top w:val="nil"/>
              <w:left w:val="nil"/>
              <w:bottom w:val="single" w:sz="8" w:space="0" w:color="BFBFBF"/>
              <w:right w:val="single" w:sz="8" w:space="0" w:color="BFBFBF"/>
            </w:tcBorders>
            <w:vAlign w:val="center"/>
            <w:hideMark/>
          </w:tcPr>
          <w:p w14:paraId="5858C1E8"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-2,400</w:t>
            </w:r>
          </w:p>
        </w:tc>
      </w:tr>
      <w:tr w:rsidR="00002966" w:rsidRPr="00956EE4" w14:paraId="7ED91CBD" w14:textId="77777777" w:rsidTr="00F1585B">
        <w:trPr>
          <w:trHeight w:val="1264"/>
        </w:trPr>
        <w:tc>
          <w:tcPr>
            <w:tcW w:w="1451" w:type="dxa"/>
            <w:vMerge/>
            <w:tcBorders>
              <w:left w:val="nil"/>
              <w:right w:val="single" w:sz="8" w:space="0" w:color="BFBFBF"/>
            </w:tcBorders>
            <w:vAlign w:val="center"/>
            <w:hideMark/>
          </w:tcPr>
          <w:p w14:paraId="73DB3971" w14:textId="674AD2DC"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3C37A59A"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Other energy efficiency projects</w:t>
            </w:r>
          </w:p>
        </w:tc>
        <w:tc>
          <w:tcPr>
            <w:tcW w:w="1734" w:type="dxa"/>
            <w:tcBorders>
              <w:top w:val="nil"/>
              <w:left w:val="nil"/>
              <w:bottom w:val="single" w:sz="8" w:space="0" w:color="BFBFBF"/>
              <w:right w:val="single" w:sz="8" w:space="0" w:color="BFBFBF"/>
            </w:tcBorders>
            <w:vAlign w:val="center"/>
            <w:hideMark/>
          </w:tcPr>
          <w:p w14:paraId="3DD8E108"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E4</w:t>
            </w:r>
          </w:p>
        </w:tc>
        <w:tc>
          <w:tcPr>
            <w:tcW w:w="3723" w:type="dxa"/>
            <w:tcBorders>
              <w:top w:val="nil"/>
              <w:left w:val="nil"/>
              <w:bottom w:val="single" w:sz="8" w:space="0" w:color="BFBFBF"/>
              <w:right w:val="single" w:sz="8" w:space="0" w:color="BFBFBF"/>
            </w:tcBorders>
            <w:vAlign w:val="center"/>
            <w:hideMark/>
          </w:tcPr>
          <w:p w14:paraId="443DD2D0" w14:textId="39138D8A"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Middlemore Hospital Chiller heat recovery and heat pump integration and Whangarei hospital gas to heat pump transition</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12CD466A"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6813039B"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16</w:t>
            </w:r>
          </w:p>
        </w:tc>
        <w:tc>
          <w:tcPr>
            <w:tcW w:w="2060" w:type="dxa"/>
            <w:tcBorders>
              <w:top w:val="nil"/>
              <w:left w:val="nil"/>
              <w:bottom w:val="single" w:sz="8" w:space="0" w:color="BFBFBF"/>
              <w:right w:val="single" w:sz="8" w:space="0" w:color="BFBFBF"/>
            </w:tcBorders>
            <w:vAlign w:val="center"/>
            <w:hideMark/>
          </w:tcPr>
          <w:p w14:paraId="3C7E4CDE"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-2,000</w:t>
            </w:r>
          </w:p>
        </w:tc>
      </w:tr>
      <w:tr w:rsidR="00002966" w:rsidRPr="00956EE4" w14:paraId="59CC676A" w14:textId="77777777" w:rsidTr="00F1585B">
        <w:trPr>
          <w:trHeight w:val="950"/>
        </w:trPr>
        <w:tc>
          <w:tcPr>
            <w:tcW w:w="1451" w:type="dxa"/>
            <w:vMerge/>
            <w:tcBorders>
              <w:left w:val="nil"/>
              <w:right w:val="single" w:sz="8" w:space="0" w:color="BFBFBF"/>
            </w:tcBorders>
            <w:vAlign w:val="center"/>
            <w:hideMark/>
          </w:tcPr>
          <w:p w14:paraId="41DF9E82" w14:textId="059B994B"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3AD0BE96"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Waste segregation</w:t>
            </w:r>
          </w:p>
        </w:tc>
        <w:tc>
          <w:tcPr>
            <w:tcW w:w="1734" w:type="dxa"/>
            <w:tcBorders>
              <w:top w:val="nil"/>
              <w:left w:val="nil"/>
              <w:bottom w:val="single" w:sz="8" w:space="0" w:color="BFBFBF"/>
              <w:right w:val="single" w:sz="8" w:space="0" w:color="BFBFBF"/>
            </w:tcBorders>
            <w:vAlign w:val="center"/>
            <w:hideMark/>
          </w:tcPr>
          <w:p w14:paraId="752C66C4"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Was1,2,3 and 4, + behaviour change (Com1)</w:t>
            </w:r>
          </w:p>
        </w:tc>
        <w:tc>
          <w:tcPr>
            <w:tcW w:w="3723" w:type="dxa"/>
            <w:tcBorders>
              <w:top w:val="nil"/>
              <w:left w:val="nil"/>
              <w:bottom w:val="single" w:sz="8" w:space="0" w:color="BFBFBF"/>
              <w:right w:val="single" w:sz="8" w:space="0" w:color="BFBFBF"/>
            </w:tcBorders>
            <w:vAlign w:val="center"/>
            <w:hideMark/>
          </w:tcPr>
          <w:p w14:paraId="436F6B15" w14:textId="0EABD632"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5% of all waste streams</w:t>
            </w:r>
            <w:r w:rsidR="00F55F0A">
              <w:rPr>
                <w:rFonts w:ascii="Arial" w:eastAsia="Times New Roman" w:hAnsi="Arial" w:cs="Arial"/>
                <w:color w:val="000000"/>
                <w:szCs w:val="24"/>
                <w:lang w:eastAsia="en-NZ"/>
              </w:rPr>
              <w:t xml:space="preserve"> avoiding landfill, either </w:t>
            </w:r>
            <w:r w:rsidRPr="00956EE4">
              <w:rPr>
                <w:rFonts w:ascii="Arial" w:eastAsia="Times New Roman" w:hAnsi="Arial" w:cs="Arial"/>
                <w:color w:val="000000"/>
                <w:szCs w:val="24"/>
                <w:lang w:eastAsia="en-NZ"/>
              </w:rPr>
              <w:t>recycl</w:t>
            </w:r>
            <w:r w:rsidR="00F55F0A">
              <w:rPr>
                <w:rFonts w:ascii="Arial" w:eastAsia="Times New Roman" w:hAnsi="Arial" w:cs="Arial"/>
                <w:color w:val="000000"/>
                <w:szCs w:val="24"/>
                <w:lang w:eastAsia="en-NZ"/>
              </w:rPr>
              <w:t>ed</w:t>
            </w:r>
            <w:r w:rsidRPr="00956EE4">
              <w:rPr>
                <w:rFonts w:ascii="Arial" w:eastAsia="Times New Roman" w:hAnsi="Arial" w:cs="Arial"/>
                <w:color w:val="000000"/>
                <w:szCs w:val="24"/>
                <w:lang w:eastAsia="en-NZ"/>
              </w:rPr>
              <w:t xml:space="preserve"> or reprocess</w:t>
            </w:r>
            <w:r w:rsidR="00F55F0A">
              <w:rPr>
                <w:rFonts w:ascii="Arial" w:eastAsia="Times New Roman" w:hAnsi="Arial" w:cs="Arial"/>
                <w:color w:val="000000"/>
                <w:szCs w:val="24"/>
                <w:lang w:eastAsia="en-NZ"/>
              </w:rPr>
              <w:t xml:space="preserve">ed. </w:t>
            </w:r>
          </w:p>
        </w:tc>
        <w:tc>
          <w:tcPr>
            <w:tcW w:w="1396" w:type="dxa"/>
            <w:tcBorders>
              <w:top w:val="nil"/>
              <w:left w:val="nil"/>
              <w:bottom w:val="single" w:sz="8" w:space="0" w:color="BFBFBF"/>
              <w:right w:val="single" w:sz="8" w:space="0" w:color="BFBFBF"/>
            </w:tcBorders>
            <w:vAlign w:val="center"/>
            <w:hideMark/>
          </w:tcPr>
          <w:p w14:paraId="246BE477"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Yes</w:t>
            </w:r>
          </w:p>
        </w:tc>
        <w:tc>
          <w:tcPr>
            <w:tcW w:w="905" w:type="dxa"/>
            <w:tcBorders>
              <w:top w:val="nil"/>
              <w:left w:val="nil"/>
              <w:bottom w:val="single" w:sz="8" w:space="0" w:color="BFBFBF"/>
              <w:right w:val="single" w:sz="8" w:space="0" w:color="BFBFBF"/>
            </w:tcBorders>
            <w:vAlign w:val="center"/>
            <w:hideMark/>
          </w:tcPr>
          <w:p w14:paraId="5A2868EB"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8</w:t>
            </w:r>
          </w:p>
        </w:tc>
        <w:tc>
          <w:tcPr>
            <w:tcW w:w="2060" w:type="dxa"/>
            <w:tcBorders>
              <w:top w:val="nil"/>
              <w:left w:val="nil"/>
              <w:bottom w:val="single" w:sz="8" w:space="0" w:color="BFBFBF"/>
              <w:right w:val="single" w:sz="8" w:space="0" w:color="BFBFBF"/>
            </w:tcBorders>
            <w:vAlign w:val="center"/>
            <w:hideMark/>
          </w:tcPr>
          <w:p w14:paraId="5B4DE858"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-340</w:t>
            </w:r>
          </w:p>
        </w:tc>
      </w:tr>
      <w:tr w:rsidR="00002966" w:rsidRPr="00956EE4" w14:paraId="47431F9A" w14:textId="77777777" w:rsidTr="00F1585B">
        <w:trPr>
          <w:trHeight w:val="950"/>
        </w:trPr>
        <w:tc>
          <w:tcPr>
            <w:tcW w:w="1451" w:type="dxa"/>
            <w:vMerge/>
            <w:tcBorders>
              <w:left w:val="nil"/>
              <w:bottom w:val="single" w:sz="8" w:space="0" w:color="BFBFBF"/>
              <w:right w:val="single" w:sz="8" w:space="0" w:color="BFBFBF"/>
            </w:tcBorders>
            <w:vAlign w:val="center"/>
            <w:hideMark/>
          </w:tcPr>
          <w:p w14:paraId="202A8430" w14:textId="0793C8D2"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1A1DF29E"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Water efficiency</w:t>
            </w:r>
          </w:p>
        </w:tc>
        <w:tc>
          <w:tcPr>
            <w:tcW w:w="1734" w:type="dxa"/>
            <w:tcBorders>
              <w:top w:val="nil"/>
              <w:left w:val="nil"/>
              <w:bottom w:val="single" w:sz="8" w:space="0" w:color="BFBFBF"/>
              <w:right w:val="single" w:sz="8" w:space="0" w:color="BFBFBF"/>
            </w:tcBorders>
            <w:vAlign w:val="center"/>
            <w:hideMark/>
          </w:tcPr>
          <w:p w14:paraId="09F14E53"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Wat1 + behaviour change (Com1)</w:t>
            </w:r>
          </w:p>
        </w:tc>
        <w:tc>
          <w:tcPr>
            <w:tcW w:w="3723" w:type="dxa"/>
            <w:tcBorders>
              <w:top w:val="nil"/>
              <w:left w:val="nil"/>
              <w:bottom w:val="single" w:sz="8" w:space="0" w:color="BFBFBF"/>
              <w:right w:val="single" w:sz="8" w:space="0" w:color="BFBFBF"/>
            </w:tcBorders>
            <w:vAlign w:val="center"/>
            <w:hideMark/>
          </w:tcPr>
          <w:p w14:paraId="09567F1A" w14:textId="3E29B1E9"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5% water efficiency achieved</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5656BDB8"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Yes</w:t>
            </w:r>
          </w:p>
        </w:tc>
        <w:tc>
          <w:tcPr>
            <w:tcW w:w="905" w:type="dxa"/>
            <w:tcBorders>
              <w:top w:val="nil"/>
              <w:left w:val="nil"/>
              <w:bottom w:val="single" w:sz="8" w:space="0" w:color="BFBFBF"/>
              <w:right w:val="single" w:sz="8" w:space="0" w:color="BFBFBF"/>
            </w:tcBorders>
            <w:vAlign w:val="center"/>
            <w:hideMark/>
          </w:tcPr>
          <w:p w14:paraId="58B91B4D"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8</w:t>
            </w:r>
          </w:p>
        </w:tc>
        <w:tc>
          <w:tcPr>
            <w:tcW w:w="2060" w:type="dxa"/>
            <w:tcBorders>
              <w:top w:val="nil"/>
              <w:left w:val="nil"/>
              <w:bottom w:val="single" w:sz="8" w:space="0" w:color="BFBFBF"/>
              <w:right w:val="single" w:sz="8" w:space="0" w:color="BFBFBF"/>
            </w:tcBorders>
            <w:vAlign w:val="center"/>
            <w:hideMark/>
          </w:tcPr>
          <w:p w14:paraId="5059428C"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-160</w:t>
            </w:r>
          </w:p>
        </w:tc>
      </w:tr>
      <w:tr w:rsidR="00002966" w:rsidRPr="00956EE4" w14:paraId="38A139A1" w14:textId="77777777" w:rsidTr="00F1585B">
        <w:trPr>
          <w:trHeight w:val="1264"/>
        </w:trPr>
        <w:tc>
          <w:tcPr>
            <w:tcW w:w="1451" w:type="dxa"/>
            <w:vMerge w:val="restart"/>
            <w:tcBorders>
              <w:top w:val="nil"/>
              <w:left w:val="nil"/>
              <w:right w:val="single" w:sz="8" w:space="0" w:color="BFBFBF"/>
            </w:tcBorders>
            <w:vAlign w:val="center"/>
            <w:hideMark/>
          </w:tcPr>
          <w:p w14:paraId="68B3AAD0"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Funded patient transport, fleet and </w:t>
            </w:r>
            <w:r w:rsidRPr="00956EE4">
              <w:rPr>
                <w:rFonts w:ascii="Arial" w:eastAsia="Times New Roman" w:hAnsi="Arial" w:cs="Arial"/>
                <w:color w:val="000000"/>
                <w:szCs w:val="24"/>
                <w:lang w:eastAsia="en-NZ"/>
              </w:rPr>
              <w:lastRenderedPageBreak/>
              <w:t>business travel</w:t>
            </w:r>
          </w:p>
          <w:p w14:paraId="4FACCA53"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32DAA70C"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0947497C"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0EDAD086"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p w14:paraId="3553DF3A" w14:textId="7B7E5A2D"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2820" w:type="dxa"/>
            <w:tcBorders>
              <w:top w:val="nil"/>
              <w:left w:val="nil"/>
              <w:bottom w:val="single" w:sz="8" w:space="0" w:color="BFBFBF"/>
              <w:right w:val="single" w:sz="8" w:space="0" w:color="BFBFBF"/>
            </w:tcBorders>
            <w:vAlign w:val="center"/>
            <w:hideMark/>
          </w:tcPr>
          <w:p w14:paraId="6DA7843E"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lastRenderedPageBreak/>
              <w:t>CME - economy class only</w:t>
            </w:r>
          </w:p>
        </w:tc>
        <w:tc>
          <w:tcPr>
            <w:tcW w:w="1734" w:type="dxa"/>
            <w:tcBorders>
              <w:top w:val="nil"/>
              <w:left w:val="nil"/>
              <w:bottom w:val="single" w:sz="8" w:space="0" w:color="BFBFBF"/>
              <w:right w:val="single" w:sz="8" w:space="0" w:color="BFBFBF"/>
            </w:tcBorders>
            <w:vAlign w:val="center"/>
            <w:hideMark/>
          </w:tcPr>
          <w:p w14:paraId="4E892600"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BT1, BT2 to enable behaviour change </w:t>
            </w:r>
          </w:p>
        </w:tc>
        <w:tc>
          <w:tcPr>
            <w:tcW w:w="3723" w:type="dxa"/>
            <w:tcBorders>
              <w:top w:val="nil"/>
              <w:left w:val="nil"/>
              <w:bottom w:val="single" w:sz="8" w:space="0" w:color="BFBFBF"/>
              <w:right w:val="single" w:sz="8" w:space="0" w:color="BFBFBF"/>
            </w:tcBorders>
            <w:vAlign w:val="center"/>
            <w:hideMark/>
          </w:tcPr>
          <w:p w14:paraId="7E83A1FE" w14:textId="609B1C1F"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From FY25/26 All CME flights are </w:t>
            </w:r>
            <w:r w:rsidR="00F054C6">
              <w:rPr>
                <w:rFonts w:ascii="Arial" w:eastAsia="Times New Roman" w:hAnsi="Arial" w:cs="Arial"/>
                <w:color w:val="000000"/>
                <w:szCs w:val="24"/>
                <w:lang w:eastAsia="en-NZ"/>
              </w:rPr>
              <w:t>e</w:t>
            </w:r>
            <w:r w:rsidRPr="00956EE4">
              <w:rPr>
                <w:rFonts w:ascii="Arial" w:eastAsia="Times New Roman" w:hAnsi="Arial" w:cs="Arial"/>
                <w:color w:val="000000"/>
                <w:szCs w:val="24"/>
                <w:lang w:eastAsia="en-NZ"/>
              </w:rPr>
              <w:t>conomy class only</w:t>
            </w:r>
            <w:r w:rsidR="00FE0A31">
              <w:rPr>
                <w:rFonts w:ascii="Arial" w:eastAsia="Times New Roman" w:hAnsi="Arial" w:cs="Arial"/>
                <w:color w:val="000000"/>
                <w:szCs w:val="24"/>
                <w:lang w:eastAsia="en-NZ"/>
              </w:rPr>
              <w:t xml:space="preserve">, higher class flights per passenger </w:t>
            </w:r>
            <w:r w:rsidR="00E75B41">
              <w:rPr>
                <w:rFonts w:ascii="Arial" w:eastAsia="Times New Roman" w:hAnsi="Arial" w:cs="Arial"/>
                <w:color w:val="000000"/>
                <w:szCs w:val="24"/>
                <w:lang w:eastAsia="en-NZ"/>
              </w:rPr>
              <w:t>kilometre</w:t>
            </w:r>
            <w:r w:rsidR="00FE0A31">
              <w:rPr>
                <w:rFonts w:ascii="Arial" w:eastAsia="Times New Roman" w:hAnsi="Arial" w:cs="Arial"/>
                <w:color w:val="000000"/>
                <w:szCs w:val="24"/>
                <w:lang w:eastAsia="en-NZ"/>
              </w:rPr>
              <w:t xml:space="preserve"> are more emissions </w:t>
            </w:r>
            <w:r w:rsidR="00C24A7F">
              <w:rPr>
                <w:rFonts w:ascii="Arial" w:eastAsia="Times New Roman" w:hAnsi="Arial" w:cs="Arial"/>
                <w:color w:val="000000"/>
                <w:szCs w:val="24"/>
                <w:lang w:eastAsia="en-NZ"/>
              </w:rPr>
              <w:t>intensive</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1AEA7EDE"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Yes</w:t>
            </w:r>
          </w:p>
        </w:tc>
        <w:tc>
          <w:tcPr>
            <w:tcW w:w="905" w:type="dxa"/>
            <w:tcBorders>
              <w:top w:val="nil"/>
              <w:left w:val="nil"/>
              <w:bottom w:val="single" w:sz="8" w:space="0" w:color="BFBFBF"/>
              <w:right w:val="single" w:sz="8" w:space="0" w:color="BFBFBF"/>
            </w:tcBorders>
            <w:vAlign w:val="center"/>
            <w:hideMark/>
          </w:tcPr>
          <w:p w14:paraId="3111CC36"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8</w:t>
            </w:r>
          </w:p>
        </w:tc>
        <w:tc>
          <w:tcPr>
            <w:tcW w:w="2060" w:type="dxa"/>
            <w:tcBorders>
              <w:top w:val="nil"/>
              <w:left w:val="nil"/>
              <w:bottom w:val="single" w:sz="8" w:space="0" w:color="BFBFBF"/>
              <w:right w:val="single" w:sz="8" w:space="0" w:color="BFBFBF"/>
            </w:tcBorders>
            <w:vAlign w:val="center"/>
            <w:hideMark/>
          </w:tcPr>
          <w:p w14:paraId="12D40AFD"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-8,500</w:t>
            </w:r>
          </w:p>
        </w:tc>
      </w:tr>
      <w:tr w:rsidR="00002966" w:rsidRPr="00956EE4" w14:paraId="16A010EC" w14:textId="77777777" w:rsidTr="00F1585B">
        <w:trPr>
          <w:trHeight w:val="950"/>
        </w:trPr>
        <w:tc>
          <w:tcPr>
            <w:tcW w:w="1451" w:type="dxa"/>
            <w:vMerge/>
            <w:tcBorders>
              <w:left w:val="nil"/>
              <w:right w:val="single" w:sz="8" w:space="0" w:color="BFBFBF"/>
            </w:tcBorders>
            <w:vAlign w:val="center"/>
            <w:hideMark/>
          </w:tcPr>
          <w:p w14:paraId="4879D858" w14:textId="11A98EFF"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056D9033"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Staff business travel reduction </w:t>
            </w:r>
          </w:p>
        </w:tc>
        <w:tc>
          <w:tcPr>
            <w:tcW w:w="1734" w:type="dxa"/>
            <w:tcBorders>
              <w:top w:val="nil"/>
              <w:left w:val="nil"/>
              <w:bottom w:val="single" w:sz="8" w:space="0" w:color="BFBFBF"/>
              <w:right w:val="single" w:sz="8" w:space="0" w:color="BFBFBF"/>
            </w:tcBorders>
            <w:vAlign w:val="center"/>
            <w:hideMark/>
          </w:tcPr>
          <w:p w14:paraId="57419B0A" w14:textId="67CC50AE"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Policy and </w:t>
            </w:r>
            <w:r w:rsidR="00F55F0A">
              <w:rPr>
                <w:rFonts w:ascii="Arial" w:eastAsia="Times New Roman" w:hAnsi="Arial" w:cs="Arial"/>
                <w:color w:val="000000"/>
                <w:szCs w:val="24"/>
                <w:lang w:eastAsia="en-NZ"/>
              </w:rPr>
              <w:t xml:space="preserve">approval </w:t>
            </w:r>
            <w:r w:rsidRPr="00956EE4">
              <w:rPr>
                <w:rFonts w:ascii="Arial" w:eastAsia="Times New Roman" w:hAnsi="Arial" w:cs="Arial"/>
                <w:color w:val="000000"/>
                <w:szCs w:val="24"/>
                <w:lang w:eastAsia="en-NZ"/>
              </w:rPr>
              <w:t xml:space="preserve">controls in place </w:t>
            </w:r>
          </w:p>
        </w:tc>
        <w:tc>
          <w:tcPr>
            <w:tcW w:w="3723" w:type="dxa"/>
            <w:tcBorders>
              <w:top w:val="nil"/>
              <w:left w:val="nil"/>
              <w:bottom w:val="single" w:sz="8" w:space="0" w:color="BFBFBF"/>
              <w:right w:val="single" w:sz="8" w:space="0" w:color="BFBFBF"/>
            </w:tcBorders>
            <w:vAlign w:val="center"/>
            <w:hideMark/>
          </w:tcPr>
          <w:p w14:paraId="0AE5B669" w14:textId="3992C15B"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Circa 30% reduction in all </w:t>
            </w:r>
            <w:r w:rsidR="00F55F0A">
              <w:rPr>
                <w:rFonts w:ascii="Arial" w:eastAsia="Times New Roman" w:hAnsi="Arial" w:cs="Arial"/>
                <w:color w:val="000000"/>
                <w:szCs w:val="24"/>
                <w:lang w:eastAsia="en-NZ"/>
              </w:rPr>
              <w:t xml:space="preserve">staff </w:t>
            </w:r>
            <w:r w:rsidRPr="00956EE4">
              <w:rPr>
                <w:rFonts w:ascii="Arial" w:eastAsia="Times New Roman" w:hAnsi="Arial" w:cs="Arial"/>
                <w:color w:val="000000"/>
                <w:szCs w:val="24"/>
                <w:lang w:eastAsia="en-NZ"/>
              </w:rPr>
              <w:t>business travel</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2993A393"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1FF7188B"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15</w:t>
            </w:r>
          </w:p>
        </w:tc>
        <w:tc>
          <w:tcPr>
            <w:tcW w:w="2060" w:type="dxa"/>
            <w:tcBorders>
              <w:top w:val="nil"/>
              <w:left w:val="nil"/>
              <w:bottom w:val="single" w:sz="8" w:space="0" w:color="BFBFBF"/>
              <w:right w:val="single" w:sz="8" w:space="0" w:color="BFBFBF"/>
            </w:tcBorders>
            <w:vAlign w:val="center"/>
            <w:hideMark/>
          </w:tcPr>
          <w:p w14:paraId="657553AD"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-6,800</w:t>
            </w:r>
          </w:p>
        </w:tc>
      </w:tr>
      <w:tr w:rsidR="00002966" w:rsidRPr="00956EE4" w14:paraId="2FFAB733" w14:textId="77777777" w:rsidTr="00F1585B">
        <w:trPr>
          <w:trHeight w:val="1264"/>
        </w:trPr>
        <w:tc>
          <w:tcPr>
            <w:tcW w:w="1451" w:type="dxa"/>
            <w:vMerge/>
            <w:tcBorders>
              <w:left w:val="nil"/>
              <w:right w:val="single" w:sz="8" w:space="0" w:color="BFBFBF"/>
            </w:tcBorders>
            <w:vAlign w:val="center"/>
            <w:hideMark/>
          </w:tcPr>
          <w:p w14:paraId="713C659F" w14:textId="2B867E73"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351368CB"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Fleet Optimisation</w:t>
            </w:r>
          </w:p>
        </w:tc>
        <w:tc>
          <w:tcPr>
            <w:tcW w:w="1734" w:type="dxa"/>
            <w:tcBorders>
              <w:top w:val="nil"/>
              <w:left w:val="nil"/>
              <w:bottom w:val="single" w:sz="8" w:space="0" w:color="BFBFBF"/>
              <w:right w:val="single" w:sz="8" w:space="0" w:color="BFBFBF"/>
            </w:tcBorders>
            <w:vAlign w:val="center"/>
            <w:hideMark/>
          </w:tcPr>
          <w:p w14:paraId="44A7FA1B"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F2</w:t>
            </w:r>
          </w:p>
        </w:tc>
        <w:tc>
          <w:tcPr>
            <w:tcW w:w="3723" w:type="dxa"/>
            <w:tcBorders>
              <w:top w:val="nil"/>
              <w:left w:val="nil"/>
              <w:bottom w:val="single" w:sz="8" w:space="0" w:color="BFBFBF"/>
              <w:right w:val="single" w:sz="8" w:space="0" w:color="BFBFBF"/>
            </w:tcBorders>
            <w:vAlign w:val="center"/>
            <w:hideMark/>
          </w:tcPr>
          <w:p w14:paraId="7B32A6C9" w14:textId="34C35198"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Fleet optimisation reduced total distance travelled by 5% by FY26/27 against FY23/24 levels (inclusive of growth)</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61356A13"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59333AE2"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8</w:t>
            </w:r>
          </w:p>
        </w:tc>
        <w:tc>
          <w:tcPr>
            <w:tcW w:w="2060" w:type="dxa"/>
            <w:tcBorders>
              <w:top w:val="nil"/>
              <w:left w:val="nil"/>
              <w:bottom w:val="single" w:sz="8" w:space="0" w:color="BFBFBF"/>
              <w:right w:val="single" w:sz="8" w:space="0" w:color="BFBFBF"/>
            </w:tcBorders>
            <w:vAlign w:val="center"/>
            <w:hideMark/>
          </w:tcPr>
          <w:p w14:paraId="1D66E418"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-400</w:t>
            </w:r>
          </w:p>
        </w:tc>
      </w:tr>
      <w:tr w:rsidR="00002966" w:rsidRPr="00956EE4" w14:paraId="43EB75F4" w14:textId="77777777" w:rsidTr="00F1585B">
        <w:trPr>
          <w:trHeight w:val="1264"/>
        </w:trPr>
        <w:tc>
          <w:tcPr>
            <w:tcW w:w="1451" w:type="dxa"/>
            <w:vMerge/>
            <w:tcBorders>
              <w:left w:val="nil"/>
              <w:right w:val="single" w:sz="8" w:space="0" w:color="BFBFBF"/>
            </w:tcBorders>
            <w:vAlign w:val="center"/>
            <w:hideMark/>
          </w:tcPr>
          <w:p w14:paraId="046D63F1" w14:textId="30546B84"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739FCC12"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Fleet BEV Transition</w:t>
            </w:r>
          </w:p>
        </w:tc>
        <w:tc>
          <w:tcPr>
            <w:tcW w:w="1734" w:type="dxa"/>
            <w:tcBorders>
              <w:top w:val="nil"/>
              <w:left w:val="nil"/>
              <w:bottom w:val="single" w:sz="8" w:space="0" w:color="BFBFBF"/>
              <w:right w:val="single" w:sz="8" w:space="0" w:color="BFBFBF"/>
            </w:tcBorders>
            <w:vAlign w:val="center"/>
            <w:hideMark/>
          </w:tcPr>
          <w:p w14:paraId="5464BF3B"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Funded</w:t>
            </w:r>
          </w:p>
        </w:tc>
        <w:tc>
          <w:tcPr>
            <w:tcW w:w="3723" w:type="dxa"/>
            <w:tcBorders>
              <w:top w:val="nil"/>
              <w:left w:val="nil"/>
              <w:bottom w:val="single" w:sz="8" w:space="0" w:color="BFBFBF"/>
              <w:right w:val="single" w:sz="8" w:space="0" w:color="BFBFBF"/>
            </w:tcBorders>
            <w:vAlign w:val="center"/>
            <w:hideMark/>
          </w:tcPr>
          <w:p w14:paraId="38091B77" w14:textId="441DF329"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Replace 50 </w:t>
            </w:r>
            <w:r w:rsidR="008834F6">
              <w:rPr>
                <w:rFonts w:ascii="Arial" w:eastAsia="Times New Roman" w:hAnsi="Arial" w:cs="Arial"/>
                <w:color w:val="000000"/>
                <w:szCs w:val="24"/>
                <w:lang w:eastAsia="en-NZ"/>
              </w:rPr>
              <w:t>ICE</w:t>
            </w:r>
            <w:r w:rsidRPr="00956EE4">
              <w:rPr>
                <w:rFonts w:ascii="Arial" w:eastAsia="Times New Roman" w:hAnsi="Arial" w:cs="Arial"/>
                <w:color w:val="000000"/>
                <w:szCs w:val="24"/>
                <w:lang w:eastAsia="en-NZ"/>
              </w:rPr>
              <w:t xml:space="preserve"> vehicles with BEVs in FY24/25</w:t>
            </w:r>
            <w:r w:rsidR="008834F6">
              <w:rPr>
                <w:rFonts w:ascii="Arial" w:eastAsia="Times New Roman" w:hAnsi="Arial" w:cs="Arial"/>
                <w:color w:val="000000"/>
                <w:szCs w:val="24"/>
                <w:lang w:eastAsia="en-NZ"/>
              </w:rPr>
              <w:t>;</w:t>
            </w:r>
            <w:r w:rsidRPr="00956EE4">
              <w:rPr>
                <w:rFonts w:ascii="Arial" w:eastAsia="Times New Roman" w:hAnsi="Arial" w:cs="Arial"/>
                <w:color w:val="000000"/>
                <w:szCs w:val="24"/>
                <w:lang w:eastAsia="en-NZ"/>
              </w:rPr>
              <w:t xml:space="preserve"> these vehicles have been confirmed to join the fleet</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506F86B0"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618EDB56"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16</w:t>
            </w:r>
          </w:p>
        </w:tc>
        <w:tc>
          <w:tcPr>
            <w:tcW w:w="2060" w:type="dxa"/>
            <w:tcBorders>
              <w:top w:val="nil"/>
              <w:left w:val="nil"/>
              <w:bottom w:val="single" w:sz="8" w:space="0" w:color="BFBFBF"/>
              <w:right w:val="single" w:sz="8" w:space="0" w:color="BFBFBF"/>
            </w:tcBorders>
            <w:vAlign w:val="center"/>
            <w:hideMark/>
          </w:tcPr>
          <w:p w14:paraId="4081646F"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-80</w:t>
            </w:r>
          </w:p>
        </w:tc>
      </w:tr>
      <w:tr w:rsidR="00002966" w:rsidRPr="00956EE4" w14:paraId="3540E7CF" w14:textId="77777777" w:rsidTr="00F1585B">
        <w:trPr>
          <w:trHeight w:val="1264"/>
        </w:trPr>
        <w:tc>
          <w:tcPr>
            <w:tcW w:w="1451" w:type="dxa"/>
            <w:vMerge/>
            <w:tcBorders>
              <w:left w:val="nil"/>
              <w:right w:val="single" w:sz="8" w:space="0" w:color="BFBFBF"/>
            </w:tcBorders>
            <w:vAlign w:val="center"/>
            <w:hideMark/>
          </w:tcPr>
          <w:p w14:paraId="1C9438D5" w14:textId="4F8FAE5E"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7D54F1E8"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Fleet ICE to Hybrid†</w:t>
            </w:r>
          </w:p>
        </w:tc>
        <w:tc>
          <w:tcPr>
            <w:tcW w:w="1734" w:type="dxa"/>
            <w:tcBorders>
              <w:top w:val="nil"/>
              <w:left w:val="nil"/>
              <w:bottom w:val="single" w:sz="8" w:space="0" w:color="BFBFBF"/>
              <w:right w:val="single" w:sz="8" w:space="0" w:color="BFBFBF"/>
            </w:tcBorders>
            <w:vAlign w:val="center"/>
            <w:hideMark/>
          </w:tcPr>
          <w:p w14:paraId="3ED149C4"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3723" w:type="dxa"/>
            <w:tcBorders>
              <w:top w:val="nil"/>
              <w:left w:val="nil"/>
              <w:bottom w:val="single" w:sz="8" w:space="0" w:color="BFBFBF"/>
              <w:right w:val="single" w:sz="8" w:space="0" w:color="BFBFBF"/>
            </w:tcBorders>
            <w:vAlign w:val="center"/>
            <w:hideMark/>
          </w:tcPr>
          <w:p w14:paraId="7E07C109"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Transitioning 140 ICE vehicles to hybrids in FY25/26, this is subject to regional budget approvals for vehicle lifecycle replacement. </w:t>
            </w:r>
          </w:p>
        </w:tc>
        <w:tc>
          <w:tcPr>
            <w:tcW w:w="1396" w:type="dxa"/>
            <w:tcBorders>
              <w:top w:val="nil"/>
              <w:left w:val="nil"/>
              <w:bottom w:val="single" w:sz="8" w:space="0" w:color="BFBFBF"/>
              <w:right w:val="single" w:sz="8" w:space="0" w:color="BFBFBF"/>
            </w:tcBorders>
            <w:vAlign w:val="center"/>
            <w:hideMark/>
          </w:tcPr>
          <w:p w14:paraId="0A857880"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3D6C6E4A"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12</w:t>
            </w:r>
          </w:p>
        </w:tc>
        <w:tc>
          <w:tcPr>
            <w:tcW w:w="2060" w:type="dxa"/>
            <w:tcBorders>
              <w:top w:val="nil"/>
              <w:left w:val="nil"/>
              <w:bottom w:val="single" w:sz="8" w:space="0" w:color="BFBFBF"/>
              <w:right w:val="single" w:sz="8" w:space="0" w:color="BFBFBF"/>
            </w:tcBorders>
            <w:vAlign w:val="center"/>
            <w:hideMark/>
          </w:tcPr>
          <w:p w14:paraId="03CFD1AC"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-50</w:t>
            </w:r>
          </w:p>
        </w:tc>
      </w:tr>
      <w:tr w:rsidR="00002966" w:rsidRPr="00956EE4" w14:paraId="150C2812" w14:textId="77777777" w:rsidTr="00F1585B">
        <w:trPr>
          <w:trHeight w:val="1578"/>
        </w:trPr>
        <w:tc>
          <w:tcPr>
            <w:tcW w:w="1451" w:type="dxa"/>
            <w:vMerge/>
            <w:tcBorders>
              <w:left w:val="nil"/>
              <w:bottom w:val="single" w:sz="8" w:space="0" w:color="BFBFBF"/>
              <w:right w:val="single" w:sz="8" w:space="0" w:color="BFBFBF"/>
            </w:tcBorders>
            <w:vAlign w:val="center"/>
            <w:hideMark/>
          </w:tcPr>
          <w:p w14:paraId="07240DDB" w14:textId="5FC438D9"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0D343C3D" w14:textId="776F57CC"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Further Fleet from ICE to </w:t>
            </w:r>
            <w:r w:rsidR="008C2DCC">
              <w:rPr>
                <w:rFonts w:ascii="Arial" w:eastAsia="Times New Roman" w:hAnsi="Arial" w:cs="Arial"/>
                <w:color w:val="000000"/>
                <w:szCs w:val="24"/>
                <w:lang w:eastAsia="en-NZ"/>
              </w:rPr>
              <w:t>H</w:t>
            </w:r>
            <w:r w:rsidR="008C2DCC" w:rsidRPr="00956EE4">
              <w:rPr>
                <w:rFonts w:ascii="Arial" w:eastAsia="Times New Roman" w:hAnsi="Arial" w:cs="Arial"/>
                <w:color w:val="000000"/>
                <w:szCs w:val="24"/>
                <w:lang w:eastAsia="en-NZ"/>
              </w:rPr>
              <w:t>ybrid</w:t>
            </w:r>
            <w:r w:rsidRPr="00956EE4">
              <w:rPr>
                <w:rFonts w:ascii="Arial" w:eastAsia="Times New Roman" w:hAnsi="Arial" w:cs="Arial"/>
                <w:color w:val="000000"/>
                <w:szCs w:val="24"/>
                <w:lang w:eastAsia="en-NZ"/>
              </w:rPr>
              <w:t>†</w:t>
            </w:r>
          </w:p>
        </w:tc>
        <w:tc>
          <w:tcPr>
            <w:tcW w:w="1734" w:type="dxa"/>
            <w:tcBorders>
              <w:top w:val="nil"/>
              <w:left w:val="nil"/>
              <w:bottom w:val="single" w:sz="8" w:space="0" w:color="BFBFBF"/>
              <w:right w:val="single" w:sz="8" w:space="0" w:color="BFBFBF"/>
            </w:tcBorders>
            <w:vAlign w:val="center"/>
            <w:hideMark/>
          </w:tcPr>
          <w:p w14:paraId="27F7B40C"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3723" w:type="dxa"/>
            <w:tcBorders>
              <w:top w:val="nil"/>
              <w:left w:val="nil"/>
              <w:bottom w:val="single" w:sz="8" w:space="0" w:color="BFBFBF"/>
              <w:right w:val="single" w:sz="8" w:space="0" w:color="BFBFBF"/>
            </w:tcBorders>
            <w:vAlign w:val="center"/>
            <w:hideMark/>
          </w:tcPr>
          <w:p w14:paraId="64C2F990"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Transitioning a further 140 ICE vehicles to hybrids in FY26/27, this is subject to regional budget approvals for vehicle lifecycle replacement. </w:t>
            </w:r>
          </w:p>
        </w:tc>
        <w:tc>
          <w:tcPr>
            <w:tcW w:w="1396" w:type="dxa"/>
            <w:tcBorders>
              <w:top w:val="nil"/>
              <w:left w:val="nil"/>
              <w:bottom w:val="single" w:sz="8" w:space="0" w:color="BFBFBF"/>
              <w:right w:val="single" w:sz="8" w:space="0" w:color="BFBFBF"/>
            </w:tcBorders>
            <w:vAlign w:val="center"/>
            <w:hideMark/>
          </w:tcPr>
          <w:p w14:paraId="26ECF4E9"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6B7C6230"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6</w:t>
            </w:r>
          </w:p>
        </w:tc>
        <w:tc>
          <w:tcPr>
            <w:tcW w:w="2060" w:type="dxa"/>
            <w:tcBorders>
              <w:top w:val="nil"/>
              <w:left w:val="nil"/>
              <w:bottom w:val="single" w:sz="8" w:space="0" w:color="BFBFBF"/>
              <w:right w:val="single" w:sz="8" w:space="0" w:color="BFBFBF"/>
            </w:tcBorders>
            <w:vAlign w:val="center"/>
            <w:hideMark/>
          </w:tcPr>
          <w:p w14:paraId="1DCFB996"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-50</w:t>
            </w:r>
          </w:p>
        </w:tc>
      </w:tr>
      <w:tr w:rsidR="00002966" w:rsidRPr="00956EE4" w14:paraId="07FA90FA" w14:textId="77777777" w:rsidTr="00F1585B">
        <w:trPr>
          <w:trHeight w:val="1264"/>
        </w:trPr>
        <w:tc>
          <w:tcPr>
            <w:tcW w:w="1451" w:type="dxa"/>
            <w:vMerge w:val="restart"/>
            <w:tcBorders>
              <w:top w:val="nil"/>
              <w:left w:val="nil"/>
              <w:right w:val="single" w:sz="8" w:space="0" w:color="BFBFBF"/>
            </w:tcBorders>
            <w:vAlign w:val="center"/>
            <w:hideMark/>
          </w:tcPr>
          <w:p w14:paraId="6B628131"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lastRenderedPageBreak/>
              <w:t>Medical gases and vapours</w:t>
            </w:r>
          </w:p>
          <w:p w14:paraId="7A6B94BA" w14:textId="3D032EDC"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2820" w:type="dxa"/>
            <w:tcBorders>
              <w:top w:val="nil"/>
              <w:left w:val="nil"/>
              <w:bottom w:val="single" w:sz="8" w:space="0" w:color="BFBFBF"/>
              <w:right w:val="single" w:sz="8" w:space="0" w:color="BFBFBF"/>
            </w:tcBorders>
            <w:vAlign w:val="center"/>
            <w:hideMark/>
          </w:tcPr>
          <w:p w14:paraId="0C35A8B9"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Nitrous Oxide leak remediation†</w:t>
            </w:r>
          </w:p>
        </w:tc>
        <w:tc>
          <w:tcPr>
            <w:tcW w:w="1734" w:type="dxa"/>
            <w:tcBorders>
              <w:top w:val="nil"/>
              <w:left w:val="nil"/>
              <w:bottom w:val="single" w:sz="8" w:space="0" w:color="BFBFBF"/>
              <w:right w:val="single" w:sz="8" w:space="0" w:color="BFBFBF"/>
            </w:tcBorders>
            <w:vAlign w:val="center"/>
            <w:hideMark/>
          </w:tcPr>
          <w:p w14:paraId="01966C25" w14:textId="34E6214B"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M2, </w:t>
            </w:r>
            <w:r w:rsidR="003E7E00">
              <w:rPr>
                <w:rFonts w:ascii="Arial" w:eastAsia="Times New Roman" w:hAnsi="Arial" w:cs="Arial"/>
                <w:color w:val="000000"/>
                <w:szCs w:val="24"/>
                <w:lang w:eastAsia="en-NZ"/>
              </w:rPr>
              <w:t xml:space="preserve">and </w:t>
            </w:r>
            <w:r w:rsidRPr="00956EE4">
              <w:rPr>
                <w:rFonts w:ascii="Arial" w:eastAsia="Times New Roman" w:hAnsi="Arial" w:cs="Arial"/>
                <w:color w:val="000000"/>
                <w:szCs w:val="24"/>
                <w:lang w:eastAsia="en-NZ"/>
              </w:rPr>
              <w:t xml:space="preserve">M4&amp;5 which </w:t>
            </w:r>
            <w:r w:rsidR="003E7E00">
              <w:rPr>
                <w:rFonts w:ascii="Arial" w:eastAsia="Times New Roman" w:hAnsi="Arial" w:cs="Arial"/>
                <w:color w:val="000000"/>
                <w:szCs w:val="24"/>
                <w:lang w:eastAsia="en-NZ"/>
              </w:rPr>
              <w:t>are</w:t>
            </w:r>
            <w:r w:rsidRPr="00956EE4">
              <w:rPr>
                <w:rFonts w:ascii="Arial" w:eastAsia="Times New Roman" w:hAnsi="Arial" w:cs="Arial"/>
                <w:color w:val="000000"/>
                <w:szCs w:val="24"/>
                <w:lang w:eastAsia="en-NZ"/>
              </w:rPr>
              <w:t xml:space="preserve"> subject to business case</w:t>
            </w:r>
          </w:p>
        </w:tc>
        <w:tc>
          <w:tcPr>
            <w:tcW w:w="3723" w:type="dxa"/>
            <w:tcBorders>
              <w:top w:val="nil"/>
              <w:left w:val="nil"/>
              <w:bottom w:val="single" w:sz="8" w:space="0" w:color="BFBFBF"/>
              <w:right w:val="single" w:sz="8" w:space="0" w:color="BFBFBF"/>
            </w:tcBorders>
            <w:vAlign w:val="center"/>
            <w:hideMark/>
          </w:tcPr>
          <w:p w14:paraId="02BF7DFE" w14:textId="4C06358C"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xml:space="preserve">Leak maintenance </w:t>
            </w:r>
            <w:r w:rsidR="008C2DCC">
              <w:rPr>
                <w:rFonts w:ascii="Arial" w:eastAsia="Times New Roman" w:hAnsi="Arial" w:cs="Arial"/>
                <w:color w:val="000000"/>
                <w:szCs w:val="24"/>
                <w:lang w:eastAsia="en-NZ"/>
              </w:rPr>
              <w:t xml:space="preserve">or dereticulation </w:t>
            </w:r>
            <w:r w:rsidRPr="00956EE4">
              <w:rPr>
                <w:rFonts w:ascii="Arial" w:eastAsia="Times New Roman" w:hAnsi="Arial" w:cs="Arial"/>
                <w:color w:val="000000"/>
                <w:szCs w:val="24"/>
                <w:lang w:eastAsia="en-NZ"/>
              </w:rPr>
              <w:t>reduces 20% leakage rate</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075135BF"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 </w:t>
            </w:r>
          </w:p>
        </w:tc>
        <w:tc>
          <w:tcPr>
            <w:tcW w:w="905" w:type="dxa"/>
            <w:tcBorders>
              <w:top w:val="nil"/>
              <w:left w:val="nil"/>
              <w:bottom w:val="single" w:sz="8" w:space="0" w:color="BFBFBF"/>
              <w:right w:val="single" w:sz="8" w:space="0" w:color="BFBFBF"/>
            </w:tcBorders>
            <w:vAlign w:val="center"/>
            <w:hideMark/>
          </w:tcPr>
          <w:p w14:paraId="51878F67"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9</w:t>
            </w:r>
          </w:p>
        </w:tc>
        <w:tc>
          <w:tcPr>
            <w:tcW w:w="2060" w:type="dxa"/>
            <w:tcBorders>
              <w:top w:val="nil"/>
              <w:left w:val="nil"/>
              <w:bottom w:val="single" w:sz="8" w:space="0" w:color="BFBFBF"/>
              <w:right w:val="single" w:sz="8" w:space="0" w:color="BFBFBF"/>
            </w:tcBorders>
            <w:vAlign w:val="center"/>
            <w:hideMark/>
          </w:tcPr>
          <w:p w14:paraId="589537A8"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-3,890</w:t>
            </w:r>
          </w:p>
        </w:tc>
      </w:tr>
      <w:tr w:rsidR="00002966" w:rsidRPr="00956EE4" w14:paraId="59BD3C2F" w14:textId="77777777" w:rsidTr="00F1585B">
        <w:trPr>
          <w:trHeight w:val="950"/>
        </w:trPr>
        <w:tc>
          <w:tcPr>
            <w:tcW w:w="1451" w:type="dxa"/>
            <w:vMerge/>
            <w:tcBorders>
              <w:left w:val="nil"/>
              <w:bottom w:val="single" w:sz="8" w:space="0" w:color="BFBFBF"/>
              <w:right w:val="single" w:sz="8" w:space="0" w:color="BFBFBF"/>
            </w:tcBorders>
            <w:vAlign w:val="center"/>
            <w:hideMark/>
          </w:tcPr>
          <w:p w14:paraId="5F9997AB" w14:textId="6ECED698" w:rsidR="00002966" w:rsidRPr="00956EE4" w:rsidRDefault="00002966" w:rsidP="00956EE4">
            <w:pPr>
              <w:spacing w:before="0" w:after="0" w:line="240" w:lineRule="auto"/>
              <w:rPr>
                <w:rFonts w:ascii="Arial" w:eastAsia="Times New Roman" w:hAnsi="Arial" w:cs="Arial"/>
                <w:color w:val="000000"/>
                <w:szCs w:val="24"/>
                <w:lang w:eastAsia="en-NZ"/>
              </w:rPr>
            </w:pPr>
          </w:p>
        </w:tc>
        <w:tc>
          <w:tcPr>
            <w:tcW w:w="2820" w:type="dxa"/>
            <w:tcBorders>
              <w:top w:val="nil"/>
              <w:left w:val="nil"/>
              <w:bottom w:val="single" w:sz="8" w:space="0" w:color="BFBFBF"/>
              <w:right w:val="single" w:sz="8" w:space="0" w:color="BFBFBF"/>
            </w:tcBorders>
            <w:vAlign w:val="center"/>
            <w:hideMark/>
          </w:tcPr>
          <w:p w14:paraId="225C7149"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low global warming potential anaesthetics</w:t>
            </w:r>
          </w:p>
        </w:tc>
        <w:tc>
          <w:tcPr>
            <w:tcW w:w="1734" w:type="dxa"/>
            <w:tcBorders>
              <w:top w:val="nil"/>
              <w:left w:val="nil"/>
              <w:bottom w:val="single" w:sz="8" w:space="0" w:color="BFBFBF"/>
              <w:right w:val="single" w:sz="8" w:space="0" w:color="BFBFBF"/>
            </w:tcBorders>
            <w:vAlign w:val="center"/>
            <w:hideMark/>
          </w:tcPr>
          <w:p w14:paraId="4F72C227"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V1</w:t>
            </w:r>
          </w:p>
        </w:tc>
        <w:tc>
          <w:tcPr>
            <w:tcW w:w="3723" w:type="dxa"/>
            <w:tcBorders>
              <w:top w:val="nil"/>
              <w:left w:val="nil"/>
              <w:bottom w:val="single" w:sz="8" w:space="0" w:color="BFBFBF"/>
              <w:right w:val="single" w:sz="8" w:space="0" w:color="BFBFBF"/>
            </w:tcBorders>
            <w:vAlign w:val="center"/>
            <w:hideMark/>
          </w:tcPr>
          <w:p w14:paraId="008F3AB2" w14:textId="5017C119"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Up to 20% transition from all anaesthetic vapours to propofol or lower GWP anaesthetics</w:t>
            </w:r>
            <w:r w:rsidR="000352C3">
              <w:rPr>
                <w:rFonts w:ascii="Arial" w:eastAsia="Times New Roman" w:hAnsi="Arial" w:cs="Arial"/>
                <w:color w:val="000000"/>
                <w:szCs w:val="24"/>
                <w:lang w:eastAsia="en-NZ"/>
              </w:rPr>
              <w:t>.</w:t>
            </w:r>
          </w:p>
        </w:tc>
        <w:tc>
          <w:tcPr>
            <w:tcW w:w="1396" w:type="dxa"/>
            <w:tcBorders>
              <w:top w:val="nil"/>
              <w:left w:val="nil"/>
              <w:bottom w:val="single" w:sz="8" w:space="0" w:color="BFBFBF"/>
              <w:right w:val="single" w:sz="8" w:space="0" w:color="BFBFBF"/>
            </w:tcBorders>
            <w:vAlign w:val="center"/>
            <w:hideMark/>
          </w:tcPr>
          <w:p w14:paraId="11CB810E" w14:textId="77777777" w:rsidR="00002966" w:rsidRPr="00956EE4" w:rsidRDefault="00002966" w:rsidP="00956EE4">
            <w:pPr>
              <w:spacing w:before="0" w:after="0" w:line="240" w:lineRule="auto"/>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Yes</w:t>
            </w:r>
          </w:p>
        </w:tc>
        <w:tc>
          <w:tcPr>
            <w:tcW w:w="905" w:type="dxa"/>
            <w:tcBorders>
              <w:top w:val="nil"/>
              <w:left w:val="nil"/>
              <w:bottom w:val="single" w:sz="8" w:space="0" w:color="BFBFBF"/>
              <w:right w:val="single" w:sz="8" w:space="0" w:color="BFBFBF"/>
            </w:tcBorders>
            <w:vAlign w:val="center"/>
            <w:hideMark/>
          </w:tcPr>
          <w:p w14:paraId="4722A704"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8</w:t>
            </w:r>
          </w:p>
        </w:tc>
        <w:tc>
          <w:tcPr>
            <w:tcW w:w="2060" w:type="dxa"/>
            <w:tcBorders>
              <w:top w:val="nil"/>
              <w:left w:val="nil"/>
              <w:bottom w:val="single" w:sz="8" w:space="0" w:color="BFBFBF"/>
              <w:right w:val="single" w:sz="8" w:space="0" w:color="BFBFBF"/>
            </w:tcBorders>
            <w:vAlign w:val="center"/>
            <w:hideMark/>
          </w:tcPr>
          <w:p w14:paraId="176E1AE3" w14:textId="77777777" w:rsidR="00002966" w:rsidRPr="00956EE4" w:rsidRDefault="00002966" w:rsidP="00956EE4">
            <w:pPr>
              <w:spacing w:before="0" w:after="0" w:line="240" w:lineRule="auto"/>
              <w:jc w:val="right"/>
              <w:rPr>
                <w:rFonts w:ascii="Arial" w:eastAsia="Times New Roman" w:hAnsi="Arial" w:cs="Arial"/>
                <w:color w:val="000000"/>
                <w:szCs w:val="24"/>
                <w:lang w:eastAsia="en-NZ"/>
              </w:rPr>
            </w:pPr>
            <w:r w:rsidRPr="00956EE4">
              <w:rPr>
                <w:rFonts w:ascii="Arial" w:eastAsia="Times New Roman" w:hAnsi="Arial" w:cs="Arial"/>
                <w:color w:val="000000"/>
                <w:szCs w:val="24"/>
                <w:lang w:eastAsia="en-NZ"/>
              </w:rPr>
              <w:t>-40</w:t>
            </w:r>
          </w:p>
        </w:tc>
      </w:tr>
    </w:tbl>
    <w:p w14:paraId="4155FFEC" w14:textId="77777777" w:rsidR="00956EE4" w:rsidRDefault="00956EE4" w:rsidP="0005692C">
      <w:pPr>
        <w:rPr>
          <w:lang w:val="en-US"/>
        </w:rPr>
      </w:pPr>
    </w:p>
    <w:p w14:paraId="66C2E900" w14:textId="5BFE59AF" w:rsidR="00157C31" w:rsidRDefault="00157C31">
      <w:pPr>
        <w:spacing w:before="0" w:after="160" w:line="259" w:lineRule="auto"/>
        <w:sectPr w:rsidR="00157C31" w:rsidSect="00F56B8E">
          <w:pgSz w:w="16838" w:h="11906" w:orient="landscape" w:code="9"/>
          <w:pgMar w:top="1134" w:right="1134" w:bottom="1134" w:left="1134" w:header="1304" w:footer="454" w:gutter="0"/>
          <w:cols w:space="708"/>
          <w:titlePg/>
          <w:docGrid w:linePitch="360"/>
        </w:sectPr>
      </w:pPr>
    </w:p>
    <w:p w14:paraId="6505F85B" w14:textId="3C8B43CC" w:rsidR="003852DA" w:rsidRPr="00653A18" w:rsidRDefault="00567427" w:rsidP="00EA67C1">
      <w:pPr>
        <w:pStyle w:val="Section4Heading1"/>
      </w:pPr>
      <w:bookmarkStart w:id="88" w:name="_Toc204940805"/>
      <w:r>
        <w:lastRenderedPageBreak/>
        <w:t>References</w:t>
      </w:r>
      <w:bookmarkEnd w:id="88"/>
    </w:p>
    <w:sectPr w:rsidR="003852DA" w:rsidRPr="00653A18" w:rsidSect="001F3843">
      <w:headerReference w:type="even" r:id="rId54"/>
      <w:headerReference w:type="default" r:id="rId55"/>
      <w:footerReference w:type="default" r:id="rId56"/>
      <w:headerReference w:type="first" r:id="rId57"/>
      <w:footerReference w:type="first" r:id="rId58"/>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CD1E8" w14:textId="77777777" w:rsidR="0086014F" w:rsidRDefault="0086014F" w:rsidP="00817A32">
      <w:pPr>
        <w:spacing w:before="0" w:after="0" w:line="240" w:lineRule="auto"/>
      </w:pPr>
      <w:r>
        <w:separator/>
      </w:r>
    </w:p>
  </w:endnote>
  <w:endnote w:type="continuationSeparator" w:id="0">
    <w:p w14:paraId="721D2FED" w14:textId="77777777" w:rsidR="0086014F" w:rsidRDefault="0086014F" w:rsidP="00817A32">
      <w:pPr>
        <w:spacing w:before="0" w:after="0" w:line="240" w:lineRule="auto"/>
      </w:pPr>
      <w:r>
        <w:continuationSeparator/>
      </w:r>
    </w:p>
  </w:endnote>
  <w:endnote w:type="continuationNotice" w:id="1">
    <w:p w14:paraId="62861265" w14:textId="77777777" w:rsidR="0086014F" w:rsidRDefault="0086014F">
      <w:pPr>
        <w:spacing w:before="0" w:after="0" w:line="240" w:lineRule="auto"/>
      </w:pPr>
    </w:p>
  </w:endnote>
  <w:endnote w:id="2">
    <w:p w14:paraId="0B91A04C" w14:textId="2AE99B9D" w:rsidR="00F95AF7" w:rsidRPr="000A45C0" w:rsidRDefault="00F95AF7" w:rsidP="00715ED4">
      <w:r>
        <w:rPr>
          <w:rStyle w:val="EndnoteReference"/>
        </w:rPr>
        <w:endnoteRef/>
      </w:r>
      <w:r>
        <w:t xml:space="preserve"> </w:t>
      </w:r>
      <w:r w:rsidR="00EA67C1" w:rsidRPr="000A45C0">
        <w:t xml:space="preserve">Royal Society of New Zealand. 2017. </w:t>
      </w:r>
      <w:r w:rsidR="00EA67C1" w:rsidRPr="000A45C0">
        <w:rPr>
          <w:i/>
          <w:iCs/>
        </w:rPr>
        <w:t>Human Health Impacts of Climate Change for New Zealand</w:t>
      </w:r>
      <w:r w:rsidR="00EA67C1" w:rsidRPr="000A45C0">
        <w:t xml:space="preserve">. Wellington: Royal Society of New Zealand </w:t>
      </w:r>
      <w:r w:rsidR="00A22765">
        <w:t>|</w:t>
      </w:r>
      <w:r w:rsidR="00EA67C1" w:rsidRPr="000A45C0">
        <w:t xml:space="preserve"> Te Apārangi.  </w:t>
      </w:r>
    </w:p>
  </w:endnote>
  <w:endnote w:id="3">
    <w:p w14:paraId="5E2F3B2E" w14:textId="4FB35333" w:rsidR="00140DA5" w:rsidRPr="00170985" w:rsidRDefault="00140DA5" w:rsidP="00715ED4">
      <w:r>
        <w:rPr>
          <w:rStyle w:val="EndnoteReference"/>
        </w:rPr>
        <w:endnoteRef/>
      </w:r>
      <w:r>
        <w:t xml:space="preserve"> </w:t>
      </w:r>
      <w:r w:rsidR="00F00AF5" w:rsidRPr="000A45C0">
        <w:t xml:space="preserve">Health Care Without Harm and Arup. 2019. </w:t>
      </w:r>
      <w:r w:rsidR="00F00AF5" w:rsidRPr="000A45C0">
        <w:rPr>
          <w:i/>
          <w:iCs/>
        </w:rPr>
        <w:t>Health Care’s Climate Footprint</w:t>
      </w:r>
      <w:r w:rsidR="00F00AF5" w:rsidRPr="000A45C0">
        <w:t xml:space="preserve">. Virginia: Health Care Without Harm. </w:t>
      </w:r>
    </w:p>
  </w:endnote>
  <w:endnote w:id="4">
    <w:p w14:paraId="5C99C292" w14:textId="27B081E4" w:rsidR="0033209B" w:rsidRPr="000A45C0" w:rsidRDefault="0033209B" w:rsidP="00715ED4">
      <w:r w:rsidRPr="000A45C0">
        <w:rPr>
          <w:rStyle w:val="EndnoteReference"/>
        </w:rPr>
        <w:endnoteRef/>
      </w:r>
      <w:r w:rsidRPr="000A45C0">
        <w:t xml:space="preserve"> </w:t>
      </w:r>
      <w:r w:rsidR="00157C31" w:rsidRPr="000A45C0">
        <w:t>H</w:t>
      </w:r>
      <w:r w:rsidR="00664742" w:rsidRPr="000A45C0">
        <w:t xml:space="preserve">ealth </w:t>
      </w:r>
      <w:r w:rsidR="00157C31" w:rsidRPr="000A45C0">
        <w:t>N</w:t>
      </w:r>
      <w:r w:rsidR="00A22765">
        <w:t xml:space="preserve">ew </w:t>
      </w:r>
      <w:r w:rsidR="00157C31" w:rsidRPr="000A45C0">
        <w:t>Z</w:t>
      </w:r>
      <w:r w:rsidR="00A22765">
        <w:t>ealand</w:t>
      </w:r>
      <w:r w:rsidR="00BE5BFB" w:rsidRPr="000A45C0">
        <w:t xml:space="preserve">. </w:t>
      </w:r>
      <w:r w:rsidR="00A129C5">
        <w:t>2022.</w:t>
      </w:r>
      <w:r w:rsidRPr="000A45C0">
        <w:t xml:space="preserve"> </w:t>
      </w:r>
      <w:r w:rsidRPr="006634A3">
        <w:rPr>
          <w:i/>
          <w:iCs/>
        </w:rPr>
        <w:t>Emissions framework</w:t>
      </w:r>
      <w:r w:rsidR="00DC4738" w:rsidRPr="000A45C0">
        <w:t xml:space="preserve"> (internal document)</w:t>
      </w:r>
      <w:r w:rsidR="004F6C53" w:rsidRPr="000A45C0">
        <w:t xml:space="preserve">. Wellington: Health </w:t>
      </w:r>
      <w:r w:rsidR="00A22765" w:rsidRPr="000A45C0">
        <w:t>N</w:t>
      </w:r>
      <w:r w:rsidR="00A22765">
        <w:t xml:space="preserve">ew </w:t>
      </w:r>
      <w:r w:rsidR="00A22765" w:rsidRPr="000A45C0">
        <w:t>Z</w:t>
      </w:r>
      <w:r w:rsidR="00A22765">
        <w:t>ealand</w:t>
      </w:r>
      <w:r w:rsidR="00A22765" w:rsidRPr="000A45C0" w:rsidDel="00A22765">
        <w:t xml:space="preserve"> </w:t>
      </w:r>
      <w:r w:rsidR="00A22765">
        <w:t>|</w:t>
      </w:r>
      <w:r w:rsidR="004F6C53" w:rsidRPr="000A45C0">
        <w:t xml:space="preserve"> Te Whatu Ora.</w:t>
      </w:r>
    </w:p>
  </w:endnote>
  <w:endnote w:id="5">
    <w:p w14:paraId="1A978EB7" w14:textId="77777777" w:rsidR="00D613C0" w:rsidRPr="00E15C6B" w:rsidRDefault="00D613C0" w:rsidP="00715ED4">
      <w:r>
        <w:rPr>
          <w:rStyle w:val="EndnoteReference"/>
        </w:rPr>
        <w:endnoteRef/>
      </w:r>
      <w:r>
        <w:t xml:space="preserve"> </w:t>
      </w:r>
      <w:r w:rsidRPr="00732737">
        <w:t xml:space="preserve">Ministry for the Environment. 2023. </w:t>
      </w:r>
      <w:r w:rsidRPr="006634A3">
        <w:rPr>
          <w:i/>
          <w:iCs/>
        </w:rPr>
        <w:t>Carbon Neutral Government Programme: A guide to managing your greenhouse gas emissions – measuring, reporting, target-setting and reduction planning</w:t>
      </w:r>
      <w:r w:rsidRPr="00732737">
        <w:t>. Wellington: Ministry for the Environment.</w:t>
      </w:r>
      <w:r>
        <w:t xml:space="preserve"> </w:t>
      </w:r>
      <w:hyperlink r:id="rId1" w:history="1">
        <w:r w:rsidRPr="006634A3">
          <w:rPr>
            <w:rStyle w:val="Hyperlink"/>
            <w:b w:val="0"/>
          </w:rPr>
          <w:t>https://environment.govt.nz/assets/publications/climate-change/Carbon-Neutral-Government-Programme-A-guide-to-managing-your-greenhouse-gas-emissions.pdf</w:t>
        </w:r>
      </w:hyperlink>
      <w:r w:rsidRPr="00E15C6B">
        <w:t xml:space="preserve"> </w:t>
      </w:r>
    </w:p>
  </w:endnote>
  <w:endnote w:id="6">
    <w:p w14:paraId="5857C988" w14:textId="13C3AE19" w:rsidR="004946BA" w:rsidRPr="00E15C6B" w:rsidRDefault="004946BA" w:rsidP="00715ED4">
      <w:r w:rsidRPr="00E15C6B">
        <w:rPr>
          <w:rStyle w:val="EndnoteReference"/>
        </w:rPr>
        <w:endnoteRef/>
      </w:r>
      <w:r w:rsidRPr="00E15C6B">
        <w:t xml:space="preserve"> </w:t>
      </w:r>
      <w:r w:rsidR="00B36EFC" w:rsidRPr="000A45C0">
        <w:t xml:space="preserve">Health </w:t>
      </w:r>
      <w:r w:rsidR="00A22765" w:rsidRPr="000A45C0">
        <w:t>N</w:t>
      </w:r>
      <w:r w:rsidR="00A22765">
        <w:t xml:space="preserve">ew </w:t>
      </w:r>
      <w:r w:rsidR="00A22765" w:rsidRPr="000A45C0">
        <w:t>Z</w:t>
      </w:r>
      <w:r w:rsidR="00A22765">
        <w:t>ealand</w:t>
      </w:r>
      <w:r w:rsidR="005C39D7" w:rsidRPr="00E15C6B">
        <w:t xml:space="preserve">. </w:t>
      </w:r>
      <w:r w:rsidR="00743702" w:rsidRPr="00E15C6B">
        <w:t>2023</w:t>
      </w:r>
      <w:r w:rsidR="005C39D7" w:rsidRPr="00E15C6B">
        <w:t xml:space="preserve">. </w:t>
      </w:r>
      <w:r w:rsidR="005C39D7" w:rsidRPr="006634A3">
        <w:rPr>
          <w:i/>
          <w:iCs/>
        </w:rPr>
        <w:t>Greenhouse Gas Emissions Inventory Report – FY 2022/23</w:t>
      </w:r>
      <w:r w:rsidR="00CA42D5" w:rsidRPr="00E15C6B">
        <w:t xml:space="preserve">. </w:t>
      </w:r>
      <w:r w:rsidR="00A22765" w:rsidRPr="000A45C0">
        <w:t>Health N</w:t>
      </w:r>
      <w:r w:rsidR="00A22765">
        <w:t xml:space="preserve">ew </w:t>
      </w:r>
      <w:r w:rsidR="00A22765" w:rsidRPr="000A45C0">
        <w:t>Z</w:t>
      </w:r>
      <w:r w:rsidR="00A22765">
        <w:t>ealand</w:t>
      </w:r>
      <w:r w:rsidR="00A22765" w:rsidRPr="00E15C6B" w:rsidDel="00A22765">
        <w:t xml:space="preserve"> </w:t>
      </w:r>
      <w:r w:rsidR="00A22765">
        <w:t>|</w:t>
      </w:r>
      <w:r w:rsidR="00CA42D5" w:rsidRPr="00E15C6B">
        <w:t xml:space="preserve"> Te Whatu Ora.</w:t>
      </w:r>
    </w:p>
  </w:endnote>
  <w:endnote w:id="7">
    <w:p w14:paraId="623038C5" w14:textId="1DE86FE4" w:rsidR="005F5903" w:rsidRPr="00E15C6B" w:rsidRDefault="005F5903" w:rsidP="00715ED4">
      <w:r w:rsidRPr="00E15C6B">
        <w:rPr>
          <w:rStyle w:val="EndnoteReference"/>
        </w:rPr>
        <w:endnoteRef/>
      </w:r>
      <w:r w:rsidR="00E45CD5" w:rsidRPr="00E15C6B">
        <w:t xml:space="preserve"> </w:t>
      </w:r>
      <w:r w:rsidR="00E45CD5" w:rsidRPr="000A45C0">
        <w:t xml:space="preserve">Health </w:t>
      </w:r>
      <w:r w:rsidR="00A22765" w:rsidRPr="000A45C0">
        <w:t>N</w:t>
      </w:r>
      <w:r w:rsidR="00A22765">
        <w:t xml:space="preserve">ew </w:t>
      </w:r>
      <w:r w:rsidR="00A22765" w:rsidRPr="000A45C0">
        <w:t>Z</w:t>
      </w:r>
      <w:r w:rsidR="00A22765">
        <w:t>ealand</w:t>
      </w:r>
      <w:r w:rsidR="00E45CD5" w:rsidRPr="00E15C6B">
        <w:t xml:space="preserve">. 2024. </w:t>
      </w:r>
      <w:r w:rsidR="00E45CD5" w:rsidRPr="006634A3">
        <w:rPr>
          <w:i/>
          <w:iCs/>
        </w:rPr>
        <w:t>Greenhouse Gas Emissions Inventory Report – FY 2023/24</w:t>
      </w:r>
      <w:r w:rsidR="00E45CD5" w:rsidRPr="00E15C6B">
        <w:t xml:space="preserve">. </w:t>
      </w:r>
      <w:r w:rsidR="00A22765" w:rsidRPr="000A45C0">
        <w:t>Health N</w:t>
      </w:r>
      <w:r w:rsidR="00A22765">
        <w:t xml:space="preserve">ew </w:t>
      </w:r>
      <w:r w:rsidR="00A22765" w:rsidRPr="000A45C0">
        <w:t>Z</w:t>
      </w:r>
      <w:r w:rsidR="00A22765">
        <w:t>ealand</w:t>
      </w:r>
      <w:r w:rsidR="00E45CD5" w:rsidRPr="00E15C6B">
        <w:t xml:space="preserve"> </w:t>
      </w:r>
      <w:r w:rsidR="00A22765">
        <w:t>|</w:t>
      </w:r>
      <w:r w:rsidR="00E45CD5" w:rsidRPr="00E15C6B">
        <w:t xml:space="preserve"> Te Whatu Ora.</w:t>
      </w:r>
    </w:p>
  </w:endnote>
  <w:endnote w:id="8">
    <w:p w14:paraId="12ED8E1D" w14:textId="531409A6" w:rsidR="00003E00" w:rsidRPr="00E15C6B" w:rsidRDefault="00003E00" w:rsidP="00715ED4">
      <w:r w:rsidRPr="00E15C6B">
        <w:rPr>
          <w:rStyle w:val="EndnoteReference"/>
        </w:rPr>
        <w:endnoteRef/>
      </w:r>
      <w:r w:rsidR="005C2404" w:rsidRPr="00E15C6B">
        <w:t xml:space="preserve"> </w:t>
      </w:r>
      <w:r w:rsidRPr="00E15C6B">
        <w:t xml:space="preserve"> </w:t>
      </w:r>
      <w:r w:rsidR="00153032" w:rsidRPr="00E15C6B">
        <w:rPr>
          <w:rFonts w:eastAsia="Arial"/>
        </w:rPr>
        <w:t>Watts, Nick et al.</w:t>
      </w:r>
      <w:r w:rsidR="00884C50" w:rsidRPr="00E15C6B">
        <w:rPr>
          <w:rFonts w:eastAsia="Arial"/>
        </w:rPr>
        <w:t xml:space="preserve"> </w:t>
      </w:r>
      <w:r w:rsidR="004A593C" w:rsidRPr="00E15C6B">
        <w:rPr>
          <w:rFonts w:eastAsia="Arial"/>
        </w:rPr>
        <w:t>2015.</w:t>
      </w:r>
      <w:r w:rsidRPr="00E15C6B">
        <w:t xml:space="preserve"> </w:t>
      </w:r>
      <w:r w:rsidRPr="006634A3">
        <w:rPr>
          <w:rFonts w:eastAsia="Arial"/>
          <w:i/>
          <w:iCs/>
        </w:rPr>
        <w:t>Health and climate change: policy responses to protect public health</w:t>
      </w:r>
      <w:r w:rsidR="00A14788" w:rsidRPr="00E15C6B">
        <w:rPr>
          <w:i/>
          <w:iCs/>
        </w:rPr>
        <w:t>.</w:t>
      </w:r>
      <w:r w:rsidRPr="00E15C6B">
        <w:t xml:space="preserve"> </w:t>
      </w:r>
      <w:r w:rsidRPr="00E15C6B">
        <w:rPr>
          <w:rFonts w:eastAsia="Arial"/>
        </w:rPr>
        <w:t xml:space="preserve">The Lancet, Volume 386, Issue 10006, 1861 </w:t>
      </w:r>
      <w:r w:rsidR="005062E4" w:rsidRPr="00E15C6B">
        <w:rPr>
          <w:rFonts w:eastAsia="Arial"/>
        </w:rPr>
        <w:t>–</w:t>
      </w:r>
      <w:r w:rsidRPr="00E15C6B">
        <w:rPr>
          <w:rFonts w:eastAsia="Arial"/>
        </w:rPr>
        <w:t xml:space="preserve"> 1914</w:t>
      </w:r>
      <w:r w:rsidR="005062E4" w:rsidRPr="00E15C6B">
        <w:rPr>
          <w:rFonts w:eastAsia="Arial"/>
        </w:rPr>
        <w:t>.</w:t>
      </w:r>
    </w:p>
  </w:endnote>
  <w:endnote w:id="9">
    <w:p w14:paraId="2B57FC9F" w14:textId="2F664D85" w:rsidR="0001217F" w:rsidRPr="00E15C6B" w:rsidRDefault="0001217F" w:rsidP="00715ED4">
      <w:r w:rsidRPr="00E15C6B">
        <w:rPr>
          <w:rStyle w:val="EndnoteReference"/>
        </w:rPr>
        <w:endnoteRef/>
      </w:r>
      <w:r w:rsidRPr="00E15C6B">
        <w:t xml:space="preserve"> </w:t>
      </w:r>
      <w:r w:rsidR="00A735F3" w:rsidRPr="00E15C6B">
        <w:t>Parliamentary Co</w:t>
      </w:r>
      <w:r w:rsidR="005F16B5" w:rsidRPr="00E15C6B">
        <w:t>u</w:t>
      </w:r>
      <w:r w:rsidR="00A735F3" w:rsidRPr="00E15C6B">
        <w:t>nsel Office</w:t>
      </w:r>
      <w:r w:rsidR="00D11CCB" w:rsidRPr="00E15C6B">
        <w:t xml:space="preserve">. 2022. </w:t>
      </w:r>
      <w:r w:rsidR="00412C5B" w:rsidRPr="00E15C6B">
        <w:t>Pae Ora (Health</w:t>
      </w:r>
      <w:r w:rsidR="00BC320A" w:rsidRPr="00E15C6B">
        <w:t>y</w:t>
      </w:r>
      <w:r w:rsidR="00412C5B" w:rsidRPr="00E15C6B">
        <w:t xml:space="preserve"> Futures) Act</w:t>
      </w:r>
      <w:r w:rsidR="00BC320A" w:rsidRPr="00E15C6B">
        <w:t xml:space="preserve"> 2022. </w:t>
      </w:r>
      <w:r w:rsidR="00CA08D7" w:rsidRPr="00E15C6B">
        <w:t>Wellington: Parliamentary Counsel Office</w:t>
      </w:r>
    </w:p>
  </w:endnote>
  <w:endnote w:id="10">
    <w:p w14:paraId="7C4217BA" w14:textId="6D96C5F2" w:rsidR="0001217F" w:rsidRPr="00E15C6B" w:rsidRDefault="0001217F" w:rsidP="00715ED4">
      <w:r w:rsidRPr="00E15C6B">
        <w:rPr>
          <w:rStyle w:val="EndnoteReference"/>
        </w:rPr>
        <w:endnoteRef/>
      </w:r>
      <w:r w:rsidR="004F2F82" w:rsidRPr="00E15C6B">
        <w:t xml:space="preserve"> </w:t>
      </w:r>
      <w:r w:rsidR="003A0D06" w:rsidRPr="00E15C6B">
        <w:t>Ministry of Health</w:t>
      </w:r>
      <w:r w:rsidR="00FC6024" w:rsidRPr="00E15C6B">
        <w:t xml:space="preserve">. </w:t>
      </w:r>
      <w:r w:rsidR="00E755CF" w:rsidRPr="00E15C6B">
        <w:t xml:space="preserve">2024. </w:t>
      </w:r>
      <w:r w:rsidR="009816B2" w:rsidRPr="006634A3">
        <w:rPr>
          <w:i/>
          <w:iCs/>
        </w:rPr>
        <w:t>Government Policy Statement on Health</w:t>
      </w:r>
      <w:r w:rsidR="009816B2" w:rsidRPr="00E15C6B">
        <w:t>. Wellington: Ministry of Health</w:t>
      </w:r>
      <w:r w:rsidR="00161E5A">
        <w:t xml:space="preserve"> |</w:t>
      </w:r>
      <w:r w:rsidR="00BD6958">
        <w:t xml:space="preserve"> </w:t>
      </w:r>
      <w:r w:rsidR="00BD6958" w:rsidRPr="00BD6958">
        <w:t>Manatū Hauora</w:t>
      </w:r>
      <w:r w:rsidR="009816B2" w:rsidRPr="00E15C6B">
        <w:t>.</w:t>
      </w:r>
    </w:p>
  </w:endnote>
  <w:endnote w:id="11">
    <w:p w14:paraId="2F5DD397" w14:textId="64B52DAE" w:rsidR="008C097D" w:rsidRPr="00E15C6B" w:rsidRDefault="008C097D" w:rsidP="00715ED4">
      <w:r w:rsidRPr="00E15C6B">
        <w:rPr>
          <w:rStyle w:val="EndnoteReference"/>
        </w:rPr>
        <w:endnoteRef/>
      </w:r>
      <w:r w:rsidRPr="00E15C6B">
        <w:t xml:space="preserve"> </w:t>
      </w:r>
      <w:r w:rsidR="008C330D" w:rsidRPr="00E15C6B">
        <w:t>Dr David Pencheon</w:t>
      </w:r>
      <w:r w:rsidR="00CC3CC5" w:rsidRPr="00E15C6B">
        <w:t xml:space="preserve">, University of Exeter, UK, 2021, </w:t>
      </w:r>
      <w:hyperlink r:id="rId2" w:tgtFrame="_blank" w:history="1">
        <w:r w:rsidR="00CC3CC5" w:rsidRPr="00E15C6B">
          <w:rPr>
            <w:rStyle w:val="Hyperlink"/>
            <w:b w:val="0"/>
          </w:rPr>
          <w:t>Creating a low carbon and sustainable health system: our duty of care</w:t>
        </w:r>
      </w:hyperlink>
    </w:p>
  </w:endnote>
  <w:endnote w:id="12">
    <w:p w14:paraId="40BCB7C1" w14:textId="17AD9FEE" w:rsidR="00A468C2" w:rsidRPr="00E15C6B" w:rsidRDefault="00A468C2" w:rsidP="00715ED4">
      <w:r w:rsidRPr="00E15C6B">
        <w:rPr>
          <w:rStyle w:val="EndnoteReference"/>
        </w:rPr>
        <w:endnoteRef/>
      </w:r>
      <w:r w:rsidR="00236803" w:rsidRPr="00E15C6B">
        <w:t xml:space="preserve"> </w:t>
      </w:r>
      <w:r w:rsidR="00A8138F" w:rsidRPr="00E15C6B">
        <w:t>Haywood, A et al</w:t>
      </w:r>
      <w:r w:rsidR="00F23CE3" w:rsidRPr="00E15C6B">
        <w:t xml:space="preserve"> </w:t>
      </w:r>
      <w:r w:rsidR="00D1555B" w:rsidRPr="00E15C6B">
        <w:t xml:space="preserve">2024. </w:t>
      </w:r>
      <w:r w:rsidR="00D1555B" w:rsidRPr="00E15C6B">
        <w:rPr>
          <w:i/>
          <w:iCs/>
        </w:rPr>
        <w:t>National Evaluation of the Preventing and Tackling Mental Ill Health through Green Social Prescribing Project</w:t>
      </w:r>
      <w:r w:rsidR="006C1891" w:rsidRPr="00E15C6B">
        <w:t xml:space="preserve">. </w:t>
      </w:r>
      <w:r w:rsidR="009B2ACE" w:rsidRPr="00E15C6B">
        <w:t xml:space="preserve">London: Department for Environment, Food and Rural Affairs. </w:t>
      </w:r>
    </w:p>
  </w:endnote>
  <w:endnote w:id="13">
    <w:p w14:paraId="6D7D37D4" w14:textId="21B29A96" w:rsidR="00546B9F" w:rsidRPr="00E15C6B" w:rsidRDefault="00546B9F" w:rsidP="00715ED4">
      <w:r w:rsidRPr="00E15C6B">
        <w:rPr>
          <w:rStyle w:val="EndnoteReference"/>
        </w:rPr>
        <w:endnoteRef/>
      </w:r>
      <w:r w:rsidRPr="00E15C6B">
        <w:t xml:space="preserve"> </w:t>
      </w:r>
      <w:r w:rsidR="009B2ACE" w:rsidRPr="00E15C6B">
        <w:t xml:space="preserve">Ministry for the Environment. 2024. </w:t>
      </w:r>
      <w:r w:rsidRPr="00E15C6B">
        <w:rPr>
          <w:i/>
          <w:iCs/>
        </w:rPr>
        <w:t>Responding to a changing climate</w:t>
      </w:r>
      <w:r w:rsidR="009B2ACE" w:rsidRPr="00E15C6B">
        <w:rPr>
          <w:i/>
          <w:iCs/>
        </w:rPr>
        <w:t>:</w:t>
      </w:r>
      <w:r w:rsidRPr="00E15C6B">
        <w:rPr>
          <w:i/>
          <w:iCs/>
        </w:rPr>
        <w:t xml:space="preserve"> The Government’s climate strategy</w:t>
      </w:r>
      <w:r w:rsidR="009B2ACE" w:rsidRPr="00E15C6B">
        <w:t xml:space="preserve">. Wellington: </w:t>
      </w:r>
      <w:r w:rsidRPr="00E15C6B">
        <w:t>Ministry for the Environment</w:t>
      </w:r>
      <w:r w:rsidR="009B2ACE" w:rsidRPr="00E15C6B">
        <w:t>.</w:t>
      </w:r>
    </w:p>
  </w:endnote>
  <w:endnote w:id="14">
    <w:p w14:paraId="282B00FE" w14:textId="52D6904E" w:rsidR="00260FD0" w:rsidRPr="00DF511F" w:rsidRDefault="00525B80" w:rsidP="00715ED4">
      <w:pPr>
        <w:rPr>
          <w:highlight w:val="yellow"/>
        </w:rPr>
      </w:pPr>
      <w:r>
        <w:rPr>
          <w:rStyle w:val="EndnoteReference"/>
        </w:rPr>
        <w:endnoteRef/>
      </w:r>
      <w:r>
        <w:t xml:space="preserve"> </w:t>
      </w:r>
      <w:r w:rsidR="00A22765" w:rsidRPr="000A45C0">
        <w:t>Health N</w:t>
      </w:r>
      <w:r w:rsidR="00A22765">
        <w:t xml:space="preserve">ew </w:t>
      </w:r>
      <w:r w:rsidR="00A22765" w:rsidRPr="000A45C0">
        <w:t>Z</w:t>
      </w:r>
      <w:r w:rsidR="00A22765">
        <w:t>ealand</w:t>
      </w:r>
      <w:r w:rsidR="00260FD0">
        <w:t>.</w:t>
      </w:r>
      <w:r w:rsidR="00EC3C58">
        <w:t xml:space="preserve"> 2025</w:t>
      </w:r>
      <w:r w:rsidR="00260FD0">
        <w:t>.</w:t>
      </w:r>
      <w:r w:rsidR="00EC3C58">
        <w:t xml:space="preserve"> </w:t>
      </w:r>
      <w:r w:rsidR="00EC3C58" w:rsidRPr="00E12AE4">
        <w:rPr>
          <w:i/>
          <w:iCs/>
        </w:rPr>
        <w:t>Health New Zealand</w:t>
      </w:r>
      <w:r w:rsidR="00B032AD" w:rsidRPr="00E12AE4">
        <w:rPr>
          <w:i/>
          <w:iCs/>
        </w:rPr>
        <w:t xml:space="preserve"> Delivery Plan</w:t>
      </w:r>
      <w:r w:rsidR="00260FD0">
        <w:t xml:space="preserve">. </w:t>
      </w:r>
      <w:r w:rsidR="00260FD0" w:rsidRPr="006634A3">
        <w:t xml:space="preserve">Wellington: </w:t>
      </w:r>
      <w:r w:rsidR="00A22765" w:rsidRPr="000A45C0">
        <w:t>Health N</w:t>
      </w:r>
      <w:r w:rsidR="00A22765">
        <w:t xml:space="preserve">ew </w:t>
      </w:r>
      <w:r w:rsidR="00A22765" w:rsidRPr="000A45C0">
        <w:t>Z</w:t>
      </w:r>
      <w:r w:rsidR="00A22765">
        <w:t xml:space="preserve">ealand </w:t>
      </w:r>
      <w:r w:rsidR="00260FD0">
        <w:t>|</w:t>
      </w:r>
      <w:r w:rsidR="00260FD0" w:rsidRPr="006634A3">
        <w:t xml:space="preserve"> Te Whatu Ora.</w:t>
      </w:r>
    </w:p>
    <w:p w14:paraId="078283E7" w14:textId="14D1E88B" w:rsidR="00525B80" w:rsidRPr="00E12AE4" w:rsidRDefault="00EC3C58" w:rsidP="00715ED4">
      <w:r w:rsidRPr="00EC3C58">
        <w:t>https://www.tewhatuora.govt.nz/assets/Uploads/Health-New-Zealand-Delivery-Plan-v2.pdf</w:t>
      </w:r>
    </w:p>
  </w:endnote>
  <w:endnote w:id="15">
    <w:p w14:paraId="525CA6CC" w14:textId="0B56F37B" w:rsidR="00E63DCD" w:rsidRPr="00193CC3" w:rsidRDefault="00E63DCD" w:rsidP="00715ED4">
      <w:pPr>
        <w:rPr>
          <w:highlight w:val="yellow"/>
        </w:rPr>
      </w:pPr>
      <w:r w:rsidRPr="00E15C6B">
        <w:rPr>
          <w:rStyle w:val="EndnoteReference"/>
        </w:rPr>
        <w:endnoteRef/>
      </w:r>
      <w:r w:rsidRPr="00E15C6B">
        <w:t xml:space="preserve"> </w:t>
      </w:r>
      <w:r w:rsidR="001F350D" w:rsidRPr="00E15C6B">
        <w:t xml:space="preserve">RANZCO (2022) </w:t>
      </w:r>
      <w:hyperlink r:id="rId3" w:history="1">
        <w:r w:rsidR="00C66A85" w:rsidRPr="006634A3">
          <w:rPr>
            <w:rStyle w:val="Hyperlink"/>
            <w:b w:val="0"/>
            <w:i/>
            <w:iCs/>
          </w:rPr>
          <w:t>RANZCO Position Statement on Diabetic Retinopathy and Diabetic Retinal Screening in New Zealand</w:t>
        </w:r>
        <w:r w:rsidR="00C66A85" w:rsidRPr="006634A3">
          <w:rPr>
            <w:rStyle w:val="Hyperlink"/>
            <w:b w:val="0"/>
          </w:rPr>
          <w:t xml:space="preserve"> </w:t>
        </w:r>
      </w:hyperlink>
      <w:r w:rsidR="001F350D" w:rsidRPr="00E15C6B" w:rsidDel="00BF2845">
        <w:t xml:space="preserve"> </w:t>
      </w:r>
    </w:p>
  </w:endnote>
  <w:endnote w:id="16">
    <w:p w14:paraId="7C173901" w14:textId="432D09FB" w:rsidR="00E90888" w:rsidRPr="00E90888" w:rsidRDefault="00E90888" w:rsidP="00715ED4">
      <w:r w:rsidRPr="003E4115">
        <w:rPr>
          <w:rStyle w:val="EndnoteReference"/>
        </w:rPr>
        <w:endnoteRef/>
      </w:r>
      <w:r w:rsidRPr="003E4115">
        <w:t xml:space="preserve"> </w:t>
      </w:r>
      <w:r w:rsidR="00DB0E4C" w:rsidRPr="00DB0E4C">
        <w:t>Rohan TE, Frost CD, Wald NJ. </w:t>
      </w:r>
      <w:r w:rsidR="00DB0E4C" w:rsidRPr="006634A3">
        <w:rPr>
          <w:i/>
          <w:iCs/>
        </w:rPr>
        <w:t>Prevention of blindness by screening for diabetic retinopathy: a quantitative assessment</w:t>
      </w:r>
      <w:r w:rsidR="00DB0E4C" w:rsidRPr="00DB0E4C">
        <w:t>. BMJ 1989;299:1198–201. 10.1136/bmj.299.6709.1198</w:t>
      </w:r>
      <w:r w:rsidR="00423BD3" w:rsidRPr="003E4115" w:rsidDel="00423BD3">
        <w:t xml:space="preserve"> </w:t>
      </w:r>
    </w:p>
  </w:endnote>
  <w:endnote w:id="17">
    <w:p w14:paraId="7E44FF84" w14:textId="61780E7C" w:rsidR="003066F6" w:rsidRPr="00170985" w:rsidRDefault="003066F6" w:rsidP="00715ED4">
      <w:r>
        <w:rPr>
          <w:rStyle w:val="EndnoteReference"/>
        </w:rPr>
        <w:endnoteRef/>
      </w:r>
      <w:r>
        <w:t xml:space="preserve"> </w:t>
      </w:r>
      <w:r w:rsidR="009A1937" w:rsidRPr="009A1937">
        <w:t xml:space="preserve">Ministry for the Environment. 2024. </w:t>
      </w:r>
      <w:r w:rsidR="009A1937" w:rsidRPr="006634A3">
        <w:rPr>
          <w:i/>
          <w:iCs/>
        </w:rPr>
        <w:t>Measuring emissions: A guide for organisations: 2024 detailed guide</w:t>
      </w:r>
      <w:r w:rsidR="009A1937" w:rsidRPr="009A1937">
        <w:t>. Wellington: Ministry for the Environmen</w:t>
      </w:r>
      <w:r w:rsidR="009A1937">
        <w:t>t Table 1 page 15 AR5</w:t>
      </w:r>
    </w:p>
  </w:endnote>
  <w:endnote w:id="18">
    <w:p w14:paraId="7937B962" w14:textId="33C046F9" w:rsidR="00DA4CA6" w:rsidRPr="000A45C0" w:rsidRDefault="00DA4CA6" w:rsidP="00715ED4">
      <w:r w:rsidRPr="000A45C0">
        <w:rPr>
          <w:rStyle w:val="EndnoteReference"/>
        </w:rPr>
        <w:endnoteRef/>
      </w:r>
      <w:r w:rsidRPr="000A45C0">
        <w:t xml:space="preserve"> </w:t>
      </w:r>
      <w:r w:rsidR="009B2ACE" w:rsidRPr="000A45C0">
        <w:t xml:space="preserve">World </w:t>
      </w:r>
      <w:r w:rsidRPr="000A45C0">
        <w:t>H</w:t>
      </w:r>
      <w:r w:rsidR="009B2ACE" w:rsidRPr="000A45C0">
        <w:t xml:space="preserve">ealth </w:t>
      </w:r>
      <w:r w:rsidRPr="000A45C0">
        <w:t>O</w:t>
      </w:r>
      <w:r w:rsidR="009B2ACE" w:rsidRPr="000A45C0">
        <w:t xml:space="preserve">rganisation. </w:t>
      </w:r>
      <w:r w:rsidRPr="000A45C0">
        <w:t>2023</w:t>
      </w:r>
      <w:r w:rsidR="009B2ACE" w:rsidRPr="000A45C0">
        <w:t xml:space="preserve">. </w:t>
      </w:r>
      <w:r w:rsidRPr="006634A3">
        <w:rPr>
          <w:i/>
          <w:iCs/>
        </w:rPr>
        <w:t>Pre-review report – Nitrous Oxide</w:t>
      </w:r>
      <w:r w:rsidR="00973A14" w:rsidRPr="006634A3">
        <w:rPr>
          <w:i/>
          <w:iCs/>
        </w:rPr>
        <w:t xml:space="preserve">. </w:t>
      </w:r>
      <w:r w:rsidR="009D25F1" w:rsidRPr="006634A3">
        <w:rPr>
          <w:i/>
          <w:iCs/>
        </w:rPr>
        <w:t>Geneva: Expert Committee on Drug Dependence</w:t>
      </w:r>
      <w:r w:rsidR="009D25F1" w:rsidRPr="000A45C0">
        <w:t xml:space="preserve">. </w:t>
      </w:r>
    </w:p>
  </w:endnote>
  <w:endnote w:id="19">
    <w:p w14:paraId="23D3EFE6" w14:textId="0041897C" w:rsidR="00114C38" w:rsidRPr="000A45C0" w:rsidRDefault="00114C38" w:rsidP="00715ED4">
      <w:r w:rsidRPr="000A45C0">
        <w:rPr>
          <w:rStyle w:val="EndnoteReference"/>
        </w:rPr>
        <w:endnoteRef/>
      </w:r>
      <w:r w:rsidRPr="000A45C0">
        <w:t xml:space="preserve"> </w:t>
      </w:r>
      <w:r w:rsidR="00D95AC5" w:rsidRPr="000A45C0">
        <w:t>Auckland District Health Board</w:t>
      </w:r>
      <w:r w:rsidR="0036571C" w:rsidRPr="000A45C0">
        <w:t>. 2021.</w:t>
      </w:r>
      <w:r w:rsidR="00D95AC5" w:rsidRPr="000A45C0">
        <w:t xml:space="preserve"> </w:t>
      </w:r>
      <w:r w:rsidR="00BD038D" w:rsidRPr="006634A3">
        <w:rPr>
          <w:i/>
          <w:iCs/>
        </w:rPr>
        <w:t>Strategic carbon modelling report</w:t>
      </w:r>
      <w:r w:rsidR="0036571C" w:rsidRPr="000A45C0">
        <w:t xml:space="preserve">. Auckland: Auckland District </w:t>
      </w:r>
      <w:r w:rsidR="001071DB">
        <w:t>H</w:t>
      </w:r>
      <w:r w:rsidR="0036571C" w:rsidRPr="000A45C0">
        <w:t>ealth Board</w:t>
      </w:r>
      <w:r w:rsidR="001071DB">
        <w:t xml:space="preserve"> (internal document)</w:t>
      </w:r>
      <w:r w:rsidR="00BD038D" w:rsidRPr="000A45C0">
        <w:t xml:space="preserve"> </w:t>
      </w:r>
      <w:r w:rsidR="00C905B9" w:rsidRPr="000A45C0">
        <w:t>.</w:t>
      </w:r>
      <w:r w:rsidR="00220B44" w:rsidRPr="000A45C0">
        <w:t xml:space="preserve"> </w:t>
      </w:r>
    </w:p>
  </w:endnote>
  <w:endnote w:id="20">
    <w:p w14:paraId="132B451A" w14:textId="38075BCF" w:rsidR="00523983" w:rsidRPr="006634A3" w:rsidRDefault="00523983" w:rsidP="00715ED4">
      <w:r>
        <w:rPr>
          <w:rStyle w:val="EndnoteReference"/>
        </w:rPr>
        <w:endnoteRef/>
      </w:r>
      <w:r>
        <w:t xml:space="preserve"> </w:t>
      </w:r>
      <w:r w:rsidRPr="000A45C0">
        <w:t xml:space="preserve">Health Care Without Harm and Arup. 2019. </w:t>
      </w:r>
      <w:r w:rsidRPr="006634A3">
        <w:rPr>
          <w:i/>
          <w:iCs/>
        </w:rPr>
        <w:t>Health Care’s Climate Footprint</w:t>
      </w:r>
      <w:r w:rsidRPr="000A45C0">
        <w:t>. Virginia: Health Care Without Harm</w:t>
      </w:r>
      <w:r w:rsidR="00F72B5D">
        <w:t xml:space="preserve"> </w:t>
      </w:r>
      <w:hyperlink r:id="rId4" w:history="1">
        <w:r w:rsidR="00F72B5D" w:rsidRPr="006634A3">
          <w:rPr>
            <w:rStyle w:val="Hyperlink"/>
            <w:b w:val="0"/>
            <w:bCs/>
          </w:rPr>
          <w:t>https://global.noharm.org/sites/default/files/documents-files/5961/HealthCaresClimateFootprint_092319.pdf</w:t>
        </w:r>
      </w:hyperlink>
      <w:r w:rsidR="00F72B5D">
        <w:rPr>
          <w:u w:val="single"/>
        </w:rPr>
        <w:t xml:space="preserve"> </w:t>
      </w:r>
      <w:r w:rsidR="00F72B5D">
        <w:t xml:space="preserve"> </w:t>
      </w:r>
    </w:p>
  </w:endnote>
  <w:endnote w:id="21">
    <w:p w14:paraId="0D4FA891" w14:textId="28AB1950" w:rsidR="00974449" w:rsidRPr="000A45C0" w:rsidRDefault="00974449" w:rsidP="00715ED4">
      <w:r w:rsidRPr="000A45C0">
        <w:rPr>
          <w:rStyle w:val="EndnoteReference"/>
        </w:rPr>
        <w:endnoteRef/>
      </w:r>
      <w:r w:rsidR="008023BA" w:rsidRPr="000A45C0">
        <w:rPr>
          <w:rFonts w:ascii="Calibri" w:eastAsia="Calibri" w:hAnsi="Calibri" w:cs="Calibri"/>
          <w:b/>
        </w:rPr>
        <w:t xml:space="preserve"> </w:t>
      </w:r>
      <w:r w:rsidR="008023BA" w:rsidRPr="000A45C0">
        <w:t xml:space="preserve">Environmental </w:t>
      </w:r>
      <w:r w:rsidR="00904091" w:rsidRPr="000A45C0">
        <w:t>Health Intelligence New Zealand</w:t>
      </w:r>
      <w:r w:rsidR="009F6F4D">
        <w:t xml:space="preserve">, </w:t>
      </w:r>
      <w:hyperlink r:id="rId5" w:history="1">
        <w:r w:rsidR="009F6F4D" w:rsidRPr="009F6F4D">
          <w:rPr>
            <w:rStyle w:val="Hyperlink"/>
            <w:b w:val="0"/>
            <w:bCs/>
          </w:rPr>
          <w:t>https://www.ehinz.ac.nz/indicators/transport/about-transport-and-health/</w:t>
        </w:r>
      </w:hyperlink>
      <w:r w:rsidR="009F6F4D">
        <w:t xml:space="preserve"> </w:t>
      </w:r>
    </w:p>
  </w:endnote>
  <w:endnote w:id="22">
    <w:p w14:paraId="16BF5637" w14:textId="6892DE86" w:rsidR="00DF0076" w:rsidRPr="00DF511F" w:rsidRDefault="00DF0076" w:rsidP="00715ED4">
      <w:pPr>
        <w:rPr>
          <w:highlight w:val="yellow"/>
        </w:rPr>
      </w:pPr>
      <w:r w:rsidRPr="000A45C0">
        <w:rPr>
          <w:rStyle w:val="EndnoteReference"/>
        </w:rPr>
        <w:endnoteRef/>
      </w:r>
      <w:r w:rsidRPr="000A45C0">
        <w:t xml:space="preserve"> </w:t>
      </w:r>
      <w:r w:rsidR="004144BC" w:rsidRPr="000A45C0">
        <w:t xml:space="preserve">Health </w:t>
      </w:r>
      <w:r w:rsidR="00A22765" w:rsidRPr="000A45C0">
        <w:t>N</w:t>
      </w:r>
      <w:r w:rsidR="00A22765">
        <w:t xml:space="preserve">ew </w:t>
      </w:r>
      <w:r w:rsidR="00A22765" w:rsidRPr="000A45C0">
        <w:t>Z</w:t>
      </w:r>
      <w:r w:rsidR="00A22765">
        <w:t>ealand</w:t>
      </w:r>
      <w:r w:rsidR="004144BC" w:rsidRPr="006634A3">
        <w:t xml:space="preserve">. 2024. </w:t>
      </w:r>
      <w:r w:rsidR="004144BC" w:rsidRPr="006634A3">
        <w:rPr>
          <w:i/>
          <w:iCs/>
        </w:rPr>
        <w:t>Aotearoa Virtual Care Snapshot</w:t>
      </w:r>
      <w:r w:rsidR="004144BC" w:rsidRPr="006634A3">
        <w:t xml:space="preserve"> (internal document). Wellington: </w:t>
      </w:r>
      <w:r w:rsidR="004144BC" w:rsidRPr="000A45C0">
        <w:t xml:space="preserve">Health </w:t>
      </w:r>
      <w:r w:rsidR="00A22765" w:rsidRPr="000A45C0">
        <w:t>N</w:t>
      </w:r>
      <w:r w:rsidR="00A22765">
        <w:t xml:space="preserve">ew </w:t>
      </w:r>
      <w:r w:rsidR="00A22765" w:rsidRPr="000A45C0">
        <w:t>Z</w:t>
      </w:r>
      <w:r w:rsidR="00A22765">
        <w:t>ealand</w:t>
      </w:r>
      <w:r w:rsidR="00A22765" w:rsidRPr="006634A3" w:rsidDel="00A22765">
        <w:t xml:space="preserve"> </w:t>
      </w:r>
      <w:r w:rsidR="00260FD0">
        <w:t>|</w:t>
      </w:r>
      <w:r w:rsidR="004144BC" w:rsidRPr="006634A3">
        <w:t xml:space="preserve"> Te Whatu Ora.</w:t>
      </w:r>
    </w:p>
  </w:endnote>
  <w:endnote w:id="23">
    <w:p w14:paraId="455B3F1E" w14:textId="13B3D8A1" w:rsidR="00DF0076" w:rsidRPr="00C1307C" w:rsidRDefault="00DF0076" w:rsidP="00715ED4">
      <w:r w:rsidRPr="00C1307C">
        <w:rPr>
          <w:rStyle w:val="EndnoteReference"/>
        </w:rPr>
        <w:endnoteRef/>
      </w:r>
      <w:r w:rsidRPr="00C1307C">
        <w:t xml:space="preserve"> </w:t>
      </w:r>
      <w:r w:rsidR="00864912" w:rsidRPr="002D7E40">
        <w:t>Purohit A, Smith J, Hibble A. Does telemedicine reduce the carbon footprint of healthcare? A systematic review. Future Healthc</w:t>
      </w:r>
      <w:r w:rsidR="00546A35">
        <w:t>are</w:t>
      </w:r>
      <w:r w:rsidR="00864912" w:rsidRPr="002D7E40">
        <w:t xml:space="preserve"> J</w:t>
      </w:r>
      <w:r w:rsidR="00212CDE">
        <w:t>ournal</w:t>
      </w:r>
      <w:r w:rsidR="00864912" w:rsidRPr="002D7E40">
        <w:t>. 2021;8(1):e85-e91. doi:10.7861/fhj.2020-0080</w:t>
      </w:r>
      <w:r w:rsidRPr="00C1307C">
        <w:t xml:space="preserve"> </w:t>
      </w:r>
    </w:p>
  </w:endnote>
  <w:endnote w:id="24">
    <w:p w14:paraId="52B54B6D" w14:textId="030C3324" w:rsidR="006A3ABF" w:rsidRPr="000A45C0" w:rsidRDefault="006A3ABF" w:rsidP="00715ED4">
      <w:r w:rsidRPr="00C1307C">
        <w:rPr>
          <w:rStyle w:val="EndnoteReference"/>
        </w:rPr>
        <w:endnoteRef/>
      </w:r>
      <w:r w:rsidRPr="00C1307C">
        <w:t xml:space="preserve"> </w:t>
      </w:r>
      <w:r w:rsidR="001F548C" w:rsidRPr="000A45C0">
        <w:t xml:space="preserve">Health </w:t>
      </w:r>
      <w:r w:rsidR="00A22765" w:rsidRPr="000A45C0">
        <w:t>N</w:t>
      </w:r>
      <w:r w:rsidR="00A22765">
        <w:t xml:space="preserve">ew </w:t>
      </w:r>
      <w:r w:rsidR="00A22765" w:rsidRPr="000A45C0">
        <w:t>Z</w:t>
      </w:r>
      <w:r w:rsidR="00A22765">
        <w:t>ealand</w:t>
      </w:r>
      <w:r w:rsidR="004F3B41">
        <w:t xml:space="preserve">. 2023. </w:t>
      </w:r>
      <w:r w:rsidR="00314FDA" w:rsidRPr="006634A3">
        <w:rPr>
          <w:i/>
          <w:iCs/>
        </w:rPr>
        <w:t>Nationwide Service &amp; Campus Plan</w:t>
      </w:r>
      <w:r w:rsidR="00045B61">
        <w:rPr>
          <w:i/>
          <w:iCs/>
        </w:rPr>
        <w:t>ning</w:t>
      </w:r>
      <w:r w:rsidR="008818A2">
        <w:t xml:space="preserve"> (internal document). </w:t>
      </w:r>
      <w:r w:rsidR="006F16D9" w:rsidRPr="000A45C0">
        <w:t xml:space="preserve">Wellington: Health </w:t>
      </w:r>
      <w:r w:rsidR="00A22765" w:rsidRPr="000A45C0">
        <w:t>N</w:t>
      </w:r>
      <w:r w:rsidR="00A22765">
        <w:t xml:space="preserve">ew </w:t>
      </w:r>
      <w:r w:rsidR="00A22765" w:rsidRPr="000A45C0">
        <w:t>Z</w:t>
      </w:r>
      <w:r w:rsidR="00A22765">
        <w:t>ealand</w:t>
      </w:r>
      <w:r w:rsidR="00A22765" w:rsidRPr="000A45C0" w:rsidDel="00A22765">
        <w:t xml:space="preserve"> </w:t>
      </w:r>
      <w:r w:rsidR="00260FD0">
        <w:t>|</w:t>
      </w:r>
      <w:r w:rsidR="006F16D9" w:rsidRPr="000A45C0">
        <w:t xml:space="preserve"> Te Whatu Ora.</w:t>
      </w:r>
    </w:p>
  </w:endnote>
  <w:endnote w:id="25">
    <w:p w14:paraId="38B65029" w14:textId="50757331" w:rsidR="00F97665" w:rsidRPr="00F97665" w:rsidRDefault="00F97665" w:rsidP="00715ED4">
      <w:r>
        <w:rPr>
          <w:rStyle w:val="EndnoteReference"/>
        </w:rPr>
        <w:endnoteRef/>
      </w:r>
      <w:r>
        <w:t xml:space="preserve"> </w:t>
      </w:r>
      <w:r w:rsidR="00DF511F">
        <w:t xml:space="preserve">Mytton OT, Panter J, Ogilvie D. </w:t>
      </w:r>
      <w:r w:rsidR="00DF511F" w:rsidRPr="006634A3">
        <w:rPr>
          <w:i/>
          <w:iCs/>
        </w:rPr>
        <w:t>Longitudinal associations of active commuting with wellbeing and sickness absence.</w:t>
      </w:r>
      <w:r w:rsidR="00DF511F">
        <w:t xml:space="preserve"> Prev Med 2016;84:19-26. doi: 10.1016/j.ypmed.2015.12.010</w:t>
      </w:r>
    </w:p>
  </w:endnote>
  <w:endnote w:id="26">
    <w:p w14:paraId="25A2DAC7" w14:textId="66A0A8D2" w:rsidR="00380DDA" w:rsidRPr="000A45C0" w:rsidRDefault="00380DDA" w:rsidP="00715ED4">
      <w:r w:rsidRPr="000A45C0">
        <w:rPr>
          <w:rStyle w:val="EndnoteReference"/>
        </w:rPr>
        <w:endnoteRef/>
      </w:r>
      <w:r w:rsidRPr="000A45C0">
        <w:t xml:space="preserve"> </w:t>
      </w:r>
      <w:r w:rsidR="00EF6CEA" w:rsidRPr="000A45C0">
        <w:t>NHS</w:t>
      </w:r>
      <w:r w:rsidR="00BD6958">
        <w:t xml:space="preserve"> England</w:t>
      </w:r>
      <w:r w:rsidR="00EF6CEA" w:rsidRPr="000A45C0">
        <w:t xml:space="preserve">. </w:t>
      </w:r>
      <w:r w:rsidR="00C82A0A" w:rsidRPr="000A45C0">
        <w:t>2022.</w:t>
      </w:r>
      <w:r w:rsidR="00D733F2" w:rsidRPr="000A45C0">
        <w:t xml:space="preserve"> </w:t>
      </w:r>
      <w:r w:rsidR="00C82A0A" w:rsidRPr="000A45C0">
        <w:rPr>
          <w:i/>
          <w:iCs/>
        </w:rPr>
        <w:t>Delivering a ‘Net Zero” National Health Service</w:t>
      </w:r>
      <w:r w:rsidR="00C82A0A" w:rsidRPr="000A45C0">
        <w:t>. England: NHS</w:t>
      </w:r>
      <w:r w:rsidR="006A03CF">
        <w:t xml:space="preserve"> England</w:t>
      </w:r>
      <w:r w:rsidR="00C82A0A" w:rsidRPr="000A45C0">
        <w:t>.</w:t>
      </w:r>
    </w:p>
  </w:endnote>
  <w:endnote w:id="27">
    <w:p w14:paraId="2E0E634E" w14:textId="32F7B137" w:rsidR="001940A1" w:rsidRPr="000A45C0" w:rsidRDefault="001940A1" w:rsidP="00715ED4">
      <w:r w:rsidRPr="000A45C0">
        <w:rPr>
          <w:rStyle w:val="EndnoteReference"/>
        </w:rPr>
        <w:endnoteRef/>
      </w:r>
      <w:r w:rsidRPr="000A45C0">
        <w:t xml:space="preserve"> </w:t>
      </w:r>
      <w:r w:rsidR="00C82A0A" w:rsidRPr="000A45C0">
        <w:t>NHS</w:t>
      </w:r>
      <w:r w:rsidR="00BD6958">
        <w:t xml:space="preserve"> England</w:t>
      </w:r>
      <w:r w:rsidR="00C82A0A" w:rsidRPr="000A45C0">
        <w:t xml:space="preserve">. 2022. </w:t>
      </w:r>
      <w:r w:rsidR="00C82A0A" w:rsidRPr="000A45C0">
        <w:rPr>
          <w:i/>
          <w:iCs/>
        </w:rPr>
        <w:t>Delivering a ‘Net Zero” National Health Service</w:t>
      </w:r>
      <w:r w:rsidR="00C82A0A" w:rsidRPr="000A45C0">
        <w:t>. England: NHS</w:t>
      </w:r>
      <w:r w:rsidR="006A03CF">
        <w:t xml:space="preserve"> England</w:t>
      </w:r>
      <w:r w:rsidR="00C82A0A" w:rsidRPr="000A45C0">
        <w:t>. Page 14.</w:t>
      </w:r>
    </w:p>
  </w:endnote>
  <w:endnote w:id="28">
    <w:p w14:paraId="77E01856" w14:textId="695304DA" w:rsidR="00B01329" w:rsidRPr="000A45C0" w:rsidRDefault="00B01329" w:rsidP="00715ED4">
      <w:r w:rsidRPr="000A45C0">
        <w:rPr>
          <w:rStyle w:val="EndnoteReference"/>
        </w:rPr>
        <w:endnoteRef/>
      </w:r>
      <w:r w:rsidRPr="000A45C0">
        <w:t xml:space="preserve"> </w:t>
      </w:r>
      <w:r w:rsidR="00DD63FC" w:rsidRPr="000A45C0">
        <w:t xml:space="preserve">Health Care Without Harm and Arup. 2019. </w:t>
      </w:r>
      <w:r w:rsidR="00DD63FC" w:rsidRPr="000A45C0">
        <w:rPr>
          <w:i/>
          <w:iCs/>
        </w:rPr>
        <w:t>Health Care’s Climate Footprint</w:t>
      </w:r>
      <w:r w:rsidR="00DD63FC" w:rsidRPr="000A45C0">
        <w:t>. Virginia: Health Care Without Harm. P</w:t>
      </w:r>
      <w:r w:rsidR="004D468E" w:rsidRPr="000A45C0">
        <w:t xml:space="preserve">age 21 </w:t>
      </w:r>
    </w:p>
  </w:endnote>
  <w:endnote w:id="29">
    <w:p w14:paraId="458FCA3D" w14:textId="23EB3268" w:rsidR="00694AF8" w:rsidRPr="000A45C0" w:rsidRDefault="00694AF8" w:rsidP="00715ED4">
      <w:r w:rsidRPr="000A45C0">
        <w:rPr>
          <w:rStyle w:val="EndnoteReference"/>
        </w:rPr>
        <w:endnoteRef/>
      </w:r>
      <w:r w:rsidRPr="000A45C0">
        <w:t xml:space="preserve"> </w:t>
      </w:r>
      <w:r w:rsidR="003D14CF" w:rsidRPr="000A45C0">
        <w:t>World Green Building Council, 201</w:t>
      </w:r>
      <w:r w:rsidR="007644E7" w:rsidRPr="000A45C0">
        <w:t>5</w:t>
      </w:r>
      <w:r w:rsidR="003D14CF" w:rsidRPr="000A45C0">
        <w:t xml:space="preserve">. </w:t>
      </w:r>
      <w:r w:rsidR="003D14CF" w:rsidRPr="000A45C0">
        <w:rPr>
          <w:i/>
          <w:iCs/>
        </w:rPr>
        <w:t xml:space="preserve">Health, Wellbeing &amp; Productivity in Offices: the next chapter for green building. </w:t>
      </w:r>
      <w:r w:rsidR="007644E7" w:rsidRPr="000A45C0">
        <w:t xml:space="preserve">London: World Green Building Council. </w:t>
      </w:r>
    </w:p>
  </w:endnote>
  <w:endnote w:id="30">
    <w:p w14:paraId="384E6B9D" w14:textId="55922A8D" w:rsidR="00694AF8" w:rsidRPr="000A45C0" w:rsidRDefault="00694AF8" w:rsidP="00715ED4">
      <w:r w:rsidRPr="000A45C0">
        <w:rPr>
          <w:rStyle w:val="EndnoteReference"/>
        </w:rPr>
        <w:endnoteRef/>
      </w:r>
      <w:r w:rsidRPr="000A45C0">
        <w:t xml:space="preserve"> Mihandoust S, Joseph A, Kennedy S, MacNaughton P, Woo M. </w:t>
      </w:r>
      <w:r w:rsidR="007644E7" w:rsidRPr="000A45C0">
        <w:t xml:space="preserve">2021. </w:t>
      </w:r>
      <w:r w:rsidRPr="006634A3">
        <w:rPr>
          <w:i/>
          <w:iCs/>
        </w:rPr>
        <w:t>Exploring the Relationship between Window View Quantity, Quality, and Ratings of Care in the Hospital</w:t>
      </w:r>
      <w:r w:rsidRPr="000A45C0">
        <w:t>. Int J Environ Res Public Health. 12;18(20):10677.</w:t>
      </w:r>
    </w:p>
  </w:endnote>
  <w:endnote w:id="31">
    <w:p w14:paraId="33833DA1" w14:textId="54A6401C" w:rsidR="00694AF8" w:rsidRPr="000A45C0" w:rsidRDefault="00694AF8" w:rsidP="00715ED4">
      <w:r w:rsidRPr="000A45C0">
        <w:rPr>
          <w:rStyle w:val="EndnoteReference"/>
        </w:rPr>
        <w:endnoteRef/>
      </w:r>
      <w:r w:rsidRPr="000A45C0">
        <w:t xml:space="preserve"> Roger S. Ulrich</w:t>
      </w:r>
      <w:r w:rsidR="00FA50C9" w:rsidRPr="000A45C0">
        <w:t>.</w:t>
      </w:r>
      <w:r w:rsidR="005C723E" w:rsidRPr="000A45C0">
        <w:t xml:space="preserve"> 1984. </w:t>
      </w:r>
      <w:r w:rsidRPr="006634A3">
        <w:rPr>
          <w:i/>
          <w:iCs/>
        </w:rPr>
        <w:t>View Through a Window May Influence Recovery from Surgery</w:t>
      </w:r>
      <w:r w:rsidRPr="000A45C0">
        <w:t>.</w:t>
      </w:r>
      <w:r w:rsidR="00524FD1" w:rsidRPr="000A45C0">
        <w:t xml:space="preserve"> </w:t>
      </w:r>
      <w:r w:rsidRPr="000A45C0">
        <w:t>Science</w:t>
      </w:r>
      <w:r w:rsidR="005C723E" w:rsidRPr="000A45C0">
        <w:t xml:space="preserve"> </w:t>
      </w:r>
      <w:r w:rsidRPr="000A45C0">
        <w:t>224,420-421</w:t>
      </w:r>
      <w:r w:rsidR="005C723E" w:rsidRPr="000A45C0">
        <w:t xml:space="preserve">. </w:t>
      </w:r>
    </w:p>
  </w:endnote>
  <w:endnote w:id="32">
    <w:p w14:paraId="3AFE31F4" w14:textId="557C280A" w:rsidR="001706DB" w:rsidRPr="000A45C0" w:rsidRDefault="001706DB" w:rsidP="00715ED4">
      <w:r w:rsidRPr="000A45C0">
        <w:rPr>
          <w:rStyle w:val="EndnoteReference"/>
        </w:rPr>
        <w:endnoteRef/>
      </w:r>
      <w:r w:rsidRPr="000A45C0">
        <w:t xml:space="preserve"> </w:t>
      </w:r>
      <w:r w:rsidR="000B56F8" w:rsidRPr="000A45C0">
        <w:t xml:space="preserve">Australasian Health Infrastructure Alliance (AHIA). N.d. </w:t>
      </w:r>
      <w:r w:rsidR="00E979AC" w:rsidRPr="000A45C0">
        <w:rPr>
          <w:i/>
          <w:iCs/>
        </w:rPr>
        <w:t>Australasian Health Facility Guidelines.</w:t>
      </w:r>
      <w:r w:rsidR="00E979AC" w:rsidRPr="000A45C0">
        <w:t xml:space="preserve"> </w:t>
      </w:r>
      <w:r w:rsidR="000B56F8" w:rsidRPr="000A45C0">
        <w:t>AHIA.</w:t>
      </w:r>
      <w:r w:rsidR="00524FD1" w:rsidRPr="000A45C0">
        <w:t xml:space="preserve"> NSW: AHIA.</w:t>
      </w:r>
    </w:p>
  </w:endnote>
  <w:endnote w:id="33">
    <w:p w14:paraId="47B250AE" w14:textId="3726ADD3" w:rsidR="00C07A5C" w:rsidRPr="000A45C0" w:rsidRDefault="00C07A5C" w:rsidP="00715ED4">
      <w:r w:rsidRPr="000A45C0">
        <w:rPr>
          <w:rStyle w:val="EndnoteReference"/>
        </w:rPr>
        <w:endnoteRef/>
      </w:r>
      <w:r w:rsidRPr="000A45C0">
        <w:t xml:space="preserve"> </w:t>
      </w:r>
      <w:r w:rsidR="001F2C94" w:rsidRPr="000A45C0">
        <w:t xml:space="preserve">Health </w:t>
      </w:r>
      <w:r w:rsidR="00A22765" w:rsidRPr="000A45C0">
        <w:t>N</w:t>
      </w:r>
      <w:r w:rsidR="00A22765">
        <w:t xml:space="preserve">ew </w:t>
      </w:r>
      <w:r w:rsidR="00A22765" w:rsidRPr="000A45C0">
        <w:t>Z</w:t>
      </w:r>
      <w:r w:rsidR="00A22765">
        <w:t>ealand</w:t>
      </w:r>
      <w:r w:rsidR="001F2C94" w:rsidRPr="000A45C0">
        <w:t xml:space="preserve">. 2022. </w:t>
      </w:r>
      <w:r w:rsidR="005A7737" w:rsidRPr="000A45C0">
        <w:rPr>
          <w:i/>
          <w:iCs/>
        </w:rPr>
        <w:t>New Zealand Health Facility Design Guidance Note</w:t>
      </w:r>
      <w:r w:rsidR="007B1170" w:rsidRPr="000A45C0">
        <w:t xml:space="preserve">. Wellington: </w:t>
      </w:r>
      <w:r w:rsidR="00A22765" w:rsidRPr="000A45C0">
        <w:t>Health N</w:t>
      </w:r>
      <w:r w:rsidR="00A22765">
        <w:t xml:space="preserve">ew </w:t>
      </w:r>
      <w:r w:rsidR="00A22765" w:rsidRPr="000A45C0">
        <w:t>Z</w:t>
      </w:r>
      <w:r w:rsidR="00A22765">
        <w:t>ealand</w:t>
      </w:r>
      <w:r w:rsidR="006A03CF">
        <w:t xml:space="preserve"> |</w:t>
      </w:r>
      <w:r w:rsidR="006A03CF" w:rsidRPr="006634A3">
        <w:t xml:space="preserve"> Te Whatu Ora</w:t>
      </w:r>
      <w:r w:rsidR="006A03CF" w:rsidRPr="000A45C0" w:rsidDel="00A22765">
        <w:t xml:space="preserve"> </w:t>
      </w:r>
      <w:r w:rsidR="007B1170" w:rsidRPr="000A45C0">
        <w:t>.</w:t>
      </w:r>
      <w:r w:rsidR="00260FD0">
        <w:t xml:space="preserve"> </w:t>
      </w:r>
      <w:r w:rsidR="00260FD0" w:rsidRPr="00260FD0">
        <w:t>https://www.tewhatuora.govt.nz/publications/health-facility-design-guidance-note</w:t>
      </w:r>
    </w:p>
  </w:endnote>
  <w:endnote w:id="34">
    <w:p w14:paraId="768DE412" w14:textId="3094A3B7" w:rsidR="00F74B44" w:rsidRPr="00DF4BA9" w:rsidRDefault="00F74B44" w:rsidP="00715ED4">
      <w:r w:rsidRPr="000A45C0">
        <w:rPr>
          <w:rStyle w:val="EndnoteReference"/>
        </w:rPr>
        <w:endnoteRef/>
      </w:r>
      <w:r w:rsidRPr="000A45C0">
        <w:t xml:space="preserve"> </w:t>
      </w:r>
      <w:r w:rsidR="00C83DF6" w:rsidRPr="000A45C0">
        <w:t xml:space="preserve"> </w:t>
      </w:r>
      <w:r w:rsidR="000C3787" w:rsidRPr="000A45C0">
        <w:t>Infrastructure and Investment Group</w:t>
      </w:r>
      <w:r w:rsidR="00C83DF6" w:rsidRPr="000A45C0">
        <w:t xml:space="preserve">. </w:t>
      </w:r>
      <w:r w:rsidR="001D2000" w:rsidRPr="000A45C0">
        <w:t>N.d.</w:t>
      </w:r>
      <w:r w:rsidR="000C3787" w:rsidRPr="000A45C0">
        <w:t xml:space="preserve"> </w:t>
      </w:r>
      <w:r w:rsidR="000C3787" w:rsidRPr="000A45C0">
        <w:rPr>
          <w:i/>
          <w:iCs/>
        </w:rPr>
        <w:t>Supplier Guide: Infrastructure Broader Outcomes</w:t>
      </w:r>
      <w:r w:rsidR="000C3787" w:rsidRPr="000A45C0">
        <w:t xml:space="preserve">. Wellington: Health </w:t>
      </w:r>
      <w:r w:rsidR="00A22765" w:rsidRPr="000A45C0">
        <w:t>N</w:t>
      </w:r>
      <w:r w:rsidR="00A22765">
        <w:t xml:space="preserve">ew </w:t>
      </w:r>
      <w:r w:rsidR="00A22765" w:rsidRPr="000A45C0">
        <w:t>Z</w:t>
      </w:r>
      <w:r w:rsidR="00A22765">
        <w:t>ealand</w:t>
      </w:r>
      <w:r w:rsidR="006A03CF">
        <w:t xml:space="preserve"> |</w:t>
      </w:r>
      <w:r w:rsidR="006A03CF" w:rsidRPr="006634A3">
        <w:t xml:space="preserve"> Te Whatu Ora</w:t>
      </w:r>
      <w:r w:rsidR="000C3787" w:rsidRPr="000A45C0">
        <w:t xml:space="preserve">. </w:t>
      </w:r>
    </w:p>
  </w:endnote>
  <w:endnote w:id="35">
    <w:p w14:paraId="7CD86883" w14:textId="33B9439D" w:rsidR="00FC0782" w:rsidRPr="00FC0782" w:rsidRDefault="00FC0782" w:rsidP="00715ED4">
      <w:r>
        <w:rPr>
          <w:rStyle w:val="EndnoteReference"/>
        </w:rPr>
        <w:endnoteRef/>
      </w:r>
      <w:r>
        <w:t xml:space="preserve"> Data used to calculate bed days is taken from the Ministry of Health’s National Minimum Dataset, a notional collection of data hospitalisations, activity and discharges.</w:t>
      </w:r>
    </w:p>
  </w:endnote>
  <w:endnote w:id="36">
    <w:p w14:paraId="6B12ED68" w14:textId="2538A314" w:rsidR="009352D4" w:rsidRPr="009352D4" w:rsidRDefault="009352D4" w:rsidP="00715ED4">
      <w:r>
        <w:rPr>
          <w:rStyle w:val="EndnoteReference"/>
        </w:rPr>
        <w:endnoteRef/>
      </w:r>
      <w:r>
        <w:t xml:space="preserve"> </w:t>
      </w:r>
      <w:r w:rsidR="00FC0782">
        <w:t xml:space="preserve">ED presentations </w:t>
      </w:r>
      <w:r w:rsidR="00C24A7F">
        <w:t>have</w:t>
      </w:r>
      <w:r w:rsidR="00FC0782">
        <w:t xml:space="preserve"> been sourced from the Health NZ Monitor platform, which includes trend data on health system access and activity. Data used in Health NZ Monitor modelling is taken from the National Minimum Dataset and the National Non-admitted patient Dataset</w:t>
      </w:r>
      <w:r w:rsidR="00643CB5">
        <w:t>.</w:t>
      </w:r>
    </w:p>
  </w:endnote>
  <w:endnote w:id="37">
    <w:p w14:paraId="5C671736" w14:textId="45FBF649" w:rsidR="009352D4" w:rsidRPr="009352D4" w:rsidRDefault="009352D4" w:rsidP="00715ED4">
      <w:r>
        <w:rPr>
          <w:rStyle w:val="EndnoteReference"/>
        </w:rPr>
        <w:endnoteRef/>
      </w:r>
      <w:r w:rsidR="00FC0782">
        <w:t xml:space="preserve">Data </w:t>
      </w:r>
      <w:r w:rsidR="009B18FC">
        <w:t xml:space="preserve">from two sources </w:t>
      </w:r>
      <w:r w:rsidR="00FC0782">
        <w:t xml:space="preserve">supplied by Health </w:t>
      </w:r>
      <w:r w:rsidR="00FC0782" w:rsidRPr="00946B16">
        <w:t xml:space="preserve">NZ’s </w:t>
      </w:r>
      <w:r w:rsidR="00946B16" w:rsidRPr="003E4115">
        <w:t>Future of Health Workforce</w:t>
      </w:r>
      <w:r w:rsidR="00946B16" w:rsidRPr="00946B16">
        <w:t xml:space="preserve"> team and</w:t>
      </w:r>
      <w:r w:rsidR="00946B16">
        <w:t xml:space="preserve"> </w:t>
      </w:r>
      <w:r w:rsidR="00FC0782">
        <w:t>Health Workforce Information Programme (HWIP)</w:t>
      </w:r>
      <w:r w:rsidR="00283092">
        <w:t xml:space="preserve"> </w:t>
      </w:r>
      <w:r w:rsidR="00283092" w:rsidRPr="00283092">
        <w:t>https://www.tewhatuora.govt.nz/for-health-professionals/health-workforce-development/health-workforce-initiatives/health-workforce-information-programme</w:t>
      </w:r>
      <w:r w:rsidR="00FC0782">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EndPr/>
    <w:sdtContent>
      <w:p w14:paraId="7AB5D0CB" w14:textId="3DA8272D" w:rsidR="00D97E20" w:rsidRPr="0042639D" w:rsidRDefault="009869FD" w:rsidP="00287343">
        <w:pPr>
          <w:tabs>
            <w:tab w:val="left" w:pos="8364"/>
          </w:tabs>
          <w:rPr>
            <w:color w:val="15284C" w:themeColor="text2"/>
          </w:rPr>
        </w:pPr>
        <w:r>
          <w:rPr>
            <w:color w:val="15284C" w:themeColor="text2"/>
          </w:rPr>
          <w:t xml:space="preserve">Emissions Reduction Plan </w:t>
        </w:r>
        <w:r w:rsidR="00430FB7">
          <w:rPr>
            <w:color w:val="15284C" w:themeColor="text2"/>
          </w:rPr>
          <w:t>FY24/25 – FY26/</w:t>
        </w:r>
        <w:r>
          <w:rPr>
            <w:color w:val="15284C" w:themeColor="text2"/>
          </w:rPr>
          <w:t>27</w:t>
        </w:r>
        <w:r w:rsidR="00287343" w:rsidRPr="0042639D">
          <w:rPr>
            <w:color w:val="15284C" w:themeColor="text2"/>
          </w:rPr>
          <w:tab/>
        </w:r>
        <w:r w:rsidR="00D97E20" w:rsidRPr="0042639D">
          <w:rPr>
            <w:b/>
            <w:color w:val="15284C" w:themeColor="text2"/>
          </w:rPr>
          <w:t xml:space="preserve">Page | </w:t>
        </w:r>
        <w:r w:rsidR="00D97E20" w:rsidRPr="0042639D">
          <w:rPr>
            <w:b/>
            <w:color w:val="15284C" w:themeColor="text2"/>
          </w:rPr>
          <w:fldChar w:fldCharType="begin"/>
        </w:r>
        <w:r w:rsidR="00D97E20" w:rsidRPr="0042639D">
          <w:rPr>
            <w:b/>
            <w:color w:val="15284C" w:themeColor="text2"/>
          </w:rPr>
          <w:instrText xml:space="preserve"> PAGE   \* MERGEFORMAT </w:instrText>
        </w:r>
        <w:r w:rsidR="00D97E20" w:rsidRPr="0042639D">
          <w:rPr>
            <w:b/>
            <w:color w:val="15284C" w:themeColor="text2"/>
          </w:rPr>
          <w:fldChar w:fldCharType="separate"/>
        </w:r>
        <w:r w:rsidR="00B729E0" w:rsidRPr="0042639D">
          <w:rPr>
            <w:b/>
            <w:noProof/>
            <w:color w:val="15284C" w:themeColor="text2"/>
          </w:rPr>
          <w:t>11</w:t>
        </w:r>
        <w:r w:rsidR="00D97E20" w:rsidRPr="0042639D">
          <w:rPr>
            <w:b/>
            <w:noProof/>
            <w:color w:val="15284C" w:themeColor="text2"/>
          </w:rPr>
          <w:fldChar w:fldCharType="end"/>
        </w:r>
        <w:r w:rsidR="00D97E20" w:rsidRPr="0042639D">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291337982"/>
      <w:docPartObj>
        <w:docPartGallery w:val="Page Numbers (Bottom of Page)"/>
        <w:docPartUnique/>
      </w:docPartObj>
    </w:sdtPr>
    <w:sdtEndPr/>
    <w:sdtContent>
      <w:p w14:paraId="71C9D795" w14:textId="1306F495" w:rsidR="00FE11FA" w:rsidRPr="00FE11FA" w:rsidRDefault="009869FD" w:rsidP="00287343">
        <w:pPr>
          <w:tabs>
            <w:tab w:val="left" w:pos="8364"/>
          </w:tabs>
          <w:rPr>
            <w:color w:val="0C818E" w:themeColor="accent1"/>
          </w:rPr>
        </w:pPr>
        <w:r>
          <w:rPr>
            <w:color w:val="0C818E" w:themeColor="accent1"/>
          </w:rPr>
          <w:t xml:space="preserve">Emissions Reduction Plan </w:t>
        </w:r>
        <w:r w:rsidR="0081340B">
          <w:rPr>
            <w:color w:val="0C818E" w:themeColor="accent1"/>
          </w:rPr>
          <w:t>FY24/25 – FY26/</w:t>
        </w:r>
        <w:r>
          <w:rPr>
            <w:color w:val="0C818E" w:themeColor="accent1"/>
          </w:rPr>
          <w:t>27</w:t>
        </w:r>
        <w:r w:rsidR="00FE11FA" w:rsidRPr="00FE11FA">
          <w:rPr>
            <w:color w:val="0C818E" w:themeColor="accent1"/>
          </w:rPr>
          <w:tab/>
        </w:r>
        <w:r w:rsidR="00FE11FA" w:rsidRPr="00FE11FA">
          <w:rPr>
            <w:b/>
            <w:color w:val="0C818E" w:themeColor="accent1"/>
          </w:rPr>
          <w:t xml:space="preserve">Page | </w:t>
        </w:r>
        <w:r w:rsidR="00FE11FA" w:rsidRPr="00FE11FA">
          <w:rPr>
            <w:b/>
            <w:color w:val="0C818E" w:themeColor="accent1"/>
          </w:rPr>
          <w:fldChar w:fldCharType="begin"/>
        </w:r>
        <w:r w:rsidR="00FE11FA" w:rsidRPr="00FE11FA">
          <w:rPr>
            <w:b/>
            <w:color w:val="0C818E" w:themeColor="accent1"/>
          </w:rPr>
          <w:instrText xml:space="preserve"> PAGE   \* MERGEFORMAT </w:instrText>
        </w:r>
        <w:r w:rsidR="00FE11FA" w:rsidRPr="00FE11FA">
          <w:rPr>
            <w:b/>
            <w:color w:val="0C818E" w:themeColor="accent1"/>
          </w:rPr>
          <w:fldChar w:fldCharType="separate"/>
        </w:r>
        <w:r w:rsidR="00FE11FA" w:rsidRPr="00FE11FA">
          <w:rPr>
            <w:b/>
            <w:noProof/>
            <w:color w:val="0C818E" w:themeColor="accent1"/>
          </w:rPr>
          <w:t>11</w:t>
        </w:r>
        <w:r w:rsidR="00FE11FA" w:rsidRPr="00FE11FA">
          <w:rPr>
            <w:b/>
            <w:noProof/>
            <w:color w:val="0C818E" w:themeColor="accent1"/>
          </w:rPr>
          <w:fldChar w:fldCharType="end"/>
        </w:r>
        <w:r w:rsidR="00FE11FA" w:rsidRPr="00FE11FA">
          <w:rPr>
            <w:color w:val="0C818E" w:themeColor="accent1"/>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C818E" w:themeColor="accent1"/>
      </w:rPr>
      <w:id w:val="-387565816"/>
      <w:docPartObj>
        <w:docPartGallery w:val="Page Numbers (Bottom of Page)"/>
        <w:docPartUnique/>
      </w:docPartObj>
    </w:sdtPr>
    <w:sdtEndPr/>
    <w:sdtContent>
      <w:p w14:paraId="12E3CD95" w14:textId="77777777" w:rsidR="00CC3F1C" w:rsidRPr="006F532C" w:rsidRDefault="00CC3F1C" w:rsidP="00CC3F1C">
        <w:pPr>
          <w:tabs>
            <w:tab w:val="left" w:pos="8364"/>
          </w:tabs>
          <w:rPr>
            <w:color w:val="0C818E" w:themeColor="accent1"/>
          </w:rPr>
        </w:pPr>
        <w:r w:rsidRPr="006F532C">
          <w:rPr>
            <w:color w:val="0C818E" w:themeColor="accent1"/>
          </w:rPr>
          <w:tab/>
        </w:r>
        <w:r w:rsidRPr="006F532C">
          <w:rPr>
            <w:b/>
            <w:color w:val="0C818E" w:themeColor="accent1"/>
          </w:rPr>
          <w:t xml:space="preserve">Page | </w:t>
        </w:r>
        <w:r w:rsidRPr="006F532C">
          <w:rPr>
            <w:b/>
            <w:color w:val="0C818E" w:themeColor="accent1"/>
          </w:rPr>
          <w:fldChar w:fldCharType="begin"/>
        </w:r>
        <w:r w:rsidRPr="006F532C">
          <w:rPr>
            <w:b/>
            <w:color w:val="0C818E" w:themeColor="accent1"/>
          </w:rPr>
          <w:instrText xml:space="preserve"> PAGE   \* MERGEFORMAT </w:instrText>
        </w:r>
        <w:r w:rsidRPr="006F532C">
          <w:rPr>
            <w:b/>
            <w:color w:val="0C818E" w:themeColor="accent1"/>
          </w:rPr>
          <w:fldChar w:fldCharType="separate"/>
        </w:r>
        <w:r w:rsidRPr="006F532C">
          <w:rPr>
            <w:b/>
            <w:color w:val="0C818E" w:themeColor="accent1"/>
          </w:rPr>
          <w:t>13</w:t>
        </w:r>
        <w:r w:rsidRPr="006F532C">
          <w:rPr>
            <w:b/>
            <w:noProof/>
            <w:color w:val="0C818E" w:themeColor="accent1"/>
          </w:rPr>
          <w:fldChar w:fldCharType="end"/>
        </w:r>
        <w:r w:rsidRPr="006F532C">
          <w:rPr>
            <w:color w:val="0C818E" w:themeColor="accent1"/>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3399" w:themeColor="accent3"/>
      </w:rPr>
      <w:id w:val="-153300661"/>
      <w:docPartObj>
        <w:docPartGallery w:val="Page Numbers (Bottom of Page)"/>
        <w:docPartUnique/>
      </w:docPartObj>
    </w:sdtPr>
    <w:sdtEndPr/>
    <w:sdtContent>
      <w:p w14:paraId="2BFD694D" w14:textId="5BA01A3B" w:rsidR="00E33855" w:rsidRPr="00E33855" w:rsidRDefault="009869FD" w:rsidP="00287343">
        <w:pPr>
          <w:tabs>
            <w:tab w:val="left" w:pos="8364"/>
          </w:tabs>
          <w:rPr>
            <w:color w:val="003399" w:themeColor="accent3"/>
          </w:rPr>
        </w:pPr>
        <w:r>
          <w:rPr>
            <w:color w:val="003399" w:themeColor="accent3"/>
          </w:rPr>
          <w:t xml:space="preserve">Emissions Reduction Plan </w:t>
        </w:r>
        <w:r w:rsidR="0081340B">
          <w:rPr>
            <w:color w:val="003399" w:themeColor="accent3"/>
          </w:rPr>
          <w:t>FY24/25 – FY26/</w:t>
        </w:r>
        <w:r>
          <w:rPr>
            <w:color w:val="003399" w:themeColor="accent3"/>
          </w:rPr>
          <w:t>27</w:t>
        </w:r>
        <w:r w:rsidR="00E33855" w:rsidRPr="00E33855">
          <w:rPr>
            <w:color w:val="003399" w:themeColor="accent3"/>
          </w:rPr>
          <w:tab/>
        </w:r>
        <w:r w:rsidR="00E33855" w:rsidRPr="00E33855">
          <w:rPr>
            <w:b/>
            <w:color w:val="003399" w:themeColor="accent3"/>
          </w:rPr>
          <w:t xml:space="preserve">Page | </w:t>
        </w:r>
        <w:r w:rsidR="00E33855" w:rsidRPr="00E33855">
          <w:rPr>
            <w:b/>
            <w:color w:val="003399" w:themeColor="accent3"/>
          </w:rPr>
          <w:fldChar w:fldCharType="begin"/>
        </w:r>
        <w:r w:rsidR="00E33855" w:rsidRPr="00E33855">
          <w:rPr>
            <w:b/>
            <w:color w:val="003399" w:themeColor="accent3"/>
          </w:rPr>
          <w:instrText xml:space="preserve"> PAGE   \* MERGEFORMAT </w:instrText>
        </w:r>
        <w:r w:rsidR="00E33855" w:rsidRPr="00E33855">
          <w:rPr>
            <w:b/>
            <w:color w:val="003399" w:themeColor="accent3"/>
          </w:rPr>
          <w:fldChar w:fldCharType="separate"/>
        </w:r>
        <w:r w:rsidR="00E33855" w:rsidRPr="00E33855">
          <w:rPr>
            <w:b/>
            <w:noProof/>
            <w:color w:val="003399" w:themeColor="accent3"/>
          </w:rPr>
          <w:t>11</w:t>
        </w:r>
        <w:r w:rsidR="00E33855" w:rsidRPr="00E33855">
          <w:rPr>
            <w:b/>
            <w:noProof/>
            <w:color w:val="003399" w:themeColor="accent3"/>
          </w:rPr>
          <w:fldChar w:fldCharType="end"/>
        </w:r>
        <w:r w:rsidR="00E33855" w:rsidRPr="00E33855">
          <w:rPr>
            <w:color w:val="003399" w:themeColor="accent3"/>
          </w:rPr>
          <w:t xml:space="preserve"> </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28A1AC" w:themeColor="accent2"/>
      </w:rPr>
      <w:id w:val="1908407620"/>
      <w:docPartObj>
        <w:docPartGallery w:val="Page Numbers (Bottom of Page)"/>
        <w:docPartUnique/>
      </w:docPartObj>
    </w:sdtPr>
    <w:sdtEndPr>
      <w:rPr>
        <w:color w:val="0C818E" w:themeColor="accent1"/>
      </w:rPr>
    </w:sdtEndPr>
    <w:sdtContent>
      <w:p w14:paraId="025D10FA" w14:textId="77777777" w:rsidR="007505B2" w:rsidRPr="006F532C" w:rsidRDefault="007505B2" w:rsidP="00CC3F1C">
        <w:pPr>
          <w:tabs>
            <w:tab w:val="left" w:pos="8364"/>
          </w:tabs>
          <w:rPr>
            <w:color w:val="0C818E" w:themeColor="accent1"/>
          </w:rPr>
        </w:pPr>
        <w:r w:rsidRPr="007505B2">
          <w:rPr>
            <w:color w:val="003399" w:themeColor="accent3"/>
          </w:rPr>
          <w:tab/>
        </w:r>
        <w:r w:rsidRPr="007505B2">
          <w:rPr>
            <w:b/>
            <w:color w:val="003399" w:themeColor="accent3"/>
          </w:rPr>
          <w:t xml:space="preserve">Page | </w:t>
        </w:r>
        <w:r w:rsidRPr="007505B2">
          <w:rPr>
            <w:b/>
            <w:color w:val="003399" w:themeColor="accent3"/>
          </w:rPr>
          <w:fldChar w:fldCharType="begin"/>
        </w:r>
        <w:r w:rsidRPr="007505B2">
          <w:rPr>
            <w:b/>
            <w:color w:val="003399" w:themeColor="accent3"/>
          </w:rPr>
          <w:instrText xml:space="preserve"> PAGE   \* MERGEFORMAT </w:instrText>
        </w:r>
        <w:r w:rsidRPr="007505B2">
          <w:rPr>
            <w:b/>
            <w:color w:val="003399" w:themeColor="accent3"/>
          </w:rPr>
          <w:fldChar w:fldCharType="separate"/>
        </w:r>
        <w:r w:rsidRPr="007505B2">
          <w:rPr>
            <w:b/>
            <w:color w:val="003399" w:themeColor="accent3"/>
          </w:rPr>
          <w:t>13</w:t>
        </w:r>
        <w:r w:rsidRPr="007505B2">
          <w:rPr>
            <w:b/>
            <w:noProof/>
            <w:color w:val="003399" w:themeColor="accent3"/>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D2379" w:themeColor="accent4"/>
      </w:rPr>
      <w:id w:val="-483089513"/>
      <w:docPartObj>
        <w:docPartGallery w:val="Page Numbers (Bottom of Page)"/>
        <w:docPartUnique/>
      </w:docPartObj>
    </w:sdtPr>
    <w:sdtEndPr/>
    <w:sdtContent>
      <w:p w14:paraId="2421C461" w14:textId="7B16A52D" w:rsidR="0049539E" w:rsidRPr="00A11D60" w:rsidRDefault="009869FD" w:rsidP="00287343">
        <w:pPr>
          <w:tabs>
            <w:tab w:val="left" w:pos="8364"/>
          </w:tabs>
          <w:rPr>
            <w:color w:val="4D2379" w:themeColor="accent4"/>
          </w:rPr>
        </w:pPr>
        <w:r>
          <w:rPr>
            <w:color w:val="4D2379" w:themeColor="accent4"/>
          </w:rPr>
          <w:t xml:space="preserve">Emissions Reduction Plan </w:t>
        </w:r>
        <w:r w:rsidR="0081340B">
          <w:rPr>
            <w:color w:val="4D2379" w:themeColor="accent4"/>
          </w:rPr>
          <w:t>FY24/25 – FY26/</w:t>
        </w:r>
        <w:r>
          <w:rPr>
            <w:color w:val="4D2379" w:themeColor="accent4"/>
          </w:rPr>
          <w:t>27</w:t>
        </w:r>
        <w:r w:rsidR="0049539E" w:rsidRPr="00A11D60">
          <w:rPr>
            <w:color w:val="4D2379" w:themeColor="accent4"/>
          </w:rPr>
          <w:tab/>
        </w:r>
        <w:r w:rsidR="0049539E" w:rsidRPr="00A11D60">
          <w:rPr>
            <w:b/>
            <w:color w:val="4D2379" w:themeColor="accent4"/>
          </w:rPr>
          <w:t xml:space="preserve">Page | </w:t>
        </w:r>
        <w:r w:rsidR="0049539E" w:rsidRPr="00A11D60">
          <w:rPr>
            <w:b/>
            <w:color w:val="4D2379" w:themeColor="accent4"/>
          </w:rPr>
          <w:fldChar w:fldCharType="begin"/>
        </w:r>
        <w:r w:rsidR="0049539E" w:rsidRPr="00A11D60">
          <w:rPr>
            <w:b/>
            <w:color w:val="4D2379" w:themeColor="accent4"/>
          </w:rPr>
          <w:instrText xml:space="preserve"> PAGE   \* MERGEFORMAT </w:instrText>
        </w:r>
        <w:r w:rsidR="0049539E" w:rsidRPr="00A11D60">
          <w:rPr>
            <w:b/>
            <w:color w:val="4D2379" w:themeColor="accent4"/>
          </w:rPr>
          <w:fldChar w:fldCharType="separate"/>
        </w:r>
        <w:r w:rsidR="0049539E" w:rsidRPr="00A11D60">
          <w:rPr>
            <w:b/>
            <w:noProof/>
            <w:color w:val="4D2379" w:themeColor="accent4"/>
          </w:rPr>
          <w:t>11</w:t>
        </w:r>
        <w:r w:rsidR="0049539E" w:rsidRPr="00A11D60">
          <w:rPr>
            <w:b/>
            <w:noProof/>
            <w:color w:val="4D2379" w:themeColor="accent4"/>
          </w:rPr>
          <w:fldChar w:fldCharType="end"/>
        </w:r>
        <w:r w:rsidR="0049539E" w:rsidRPr="00A11D60">
          <w:rPr>
            <w:color w:val="4D2379" w:themeColor="accent4"/>
          </w:rPr>
          <w:t xml:space="preserve"> </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D2379" w:themeColor="accent4"/>
      </w:rPr>
      <w:id w:val="-298924411"/>
      <w:docPartObj>
        <w:docPartGallery w:val="Page Numbers (Bottom of Page)"/>
        <w:docPartUnique/>
      </w:docPartObj>
    </w:sdtPr>
    <w:sdtEndPr/>
    <w:sdtContent>
      <w:p w14:paraId="13CD6198" w14:textId="77777777" w:rsidR="007505B2" w:rsidRPr="00363B9E" w:rsidRDefault="007505B2" w:rsidP="00CC3F1C">
        <w:pPr>
          <w:tabs>
            <w:tab w:val="left" w:pos="8364"/>
          </w:tabs>
          <w:rPr>
            <w:color w:val="4D2379" w:themeColor="accent4"/>
          </w:rPr>
        </w:pPr>
        <w:r w:rsidRPr="00363B9E">
          <w:rPr>
            <w:color w:val="4D2379" w:themeColor="accent4"/>
          </w:rPr>
          <w:tab/>
        </w:r>
        <w:r w:rsidRPr="00363B9E">
          <w:rPr>
            <w:b/>
            <w:color w:val="4D2379" w:themeColor="accent4"/>
          </w:rPr>
          <w:t xml:space="preserve">Page | </w:t>
        </w:r>
        <w:r w:rsidRPr="00363B9E">
          <w:rPr>
            <w:b/>
            <w:color w:val="4D2379" w:themeColor="accent4"/>
          </w:rPr>
          <w:fldChar w:fldCharType="begin"/>
        </w:r>
        <w:r w:rsidRPr="00363B9E">
          <w:rPr>
            <w:b/>
            <w:color w:val="4D2379" w:themeColor="accent4"/>
          </w:rPr>
          <w:instrText xml:space="preserve"> PAGE   \* MERGEFORMAT </w:instrText>
        </w:r>
        <w:r w:rsidRPr="00363B9E">
          <w:rPr>
            <w:b/>
            <w:color w:val="4D2379" w:themeColor="accent4"/>
          </w:rPr>
          <w:fldChar w:fldCharType="separate"/>
        </w:r>
        <w:r w:rsidRPr="00363B9E">
          <w:rPr>
            <w:b/>
            <w:color w:val="4D2379" w:themeColor="accent4"/>
          </w:rPr>
          <w:t>13</w:t>
        </w:r>
        <w:r w:rsidRPr="00363B9E">
          <w:rPr>
            <w:b/>
            <w:noProof/>
            <w:color w:val="4D2379" w:themeColor="accent4"/>
          </w:rPr>
          <w:fldChar w:fldCharType="end"/>
        </w:r>
        <w:r w:rsidRPr="00363B9E">
          <w:rPr>
            <w:color w:val="4D2379" w:themeColor="accent4"/>
          </w:rPr>
          <w:t xml:space="preserve"> </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EndPr/>
    <w:sdtContent>
      <w:p w14:paraId="70AF6D0D" w14:textId="610A6C67" w:rsidR="00532137" w:rsidRPr="00FE11FA" w:rsidRDefault="00D855CA" w:rsidP="00287343">
        <w:pPr>
          <w:tabs>
            <w:tab w:val="left" w:pos="8364"/>
          </w:tabs>
          <w:rPr>
            <w:color w:val="15284C" w:themeColor="text2"/>
          </w:rPr>
        </w:pPr>
        <w:r w:rsidRPr="00D855CA">
          <w:rPr>
            <w:color w:val="4D2379" w:themeColor="accent4"/>
          </w:rPr>
          <w:t xml:space="preserve"> </w:t>
        </w:r>
        <w:r>
          <w:rPr>
            <w:color w:val="4D2379" w:themeColor="accent4"/>
          </w:rPr>
          <w:t>Emissions Reduction Plan 2024 -27</w:t>
        </w:r>
        <w:r w:rsidR="00532137" w:rsidRPr="00FE11FA">
          <w:rPr>
            <w:color w:val="15284C" w:themeColor="text2"/>
          </w:rPr>
          <w:tab/>
        </w:r>
        <w:r w:rsidR="00532137" w:rsidRPr="00170985">
          <w:rPr>
            <w:b/>
            <w:color w:val="4D2379" w:themeColor="accent4"/>
          </w:rPr>
          <w:t xml:space="preserve">Page | </w:t>
        </w:r>
        <w:r w:rsidR="00532137" w:rsidRPr="00170985">
          <w:rPr>
            <w:b/>
            <w:color w:val="4D2379" w:themeColor="accent4"/>
          </w:rPr>
          <w:fldChar w:fldCharType="begin"/>
        </w:r>
        <w:r w:rsidR="00532137" w:rsidRPr="00170985">
          <w:rPr>
            <w:b/>
            <w:color w:val="4D2379" w:themeColor="accent4"/>
          </w:rPr>
          <w:instrText xml:space="preserve"> PAGE   \* MERGEFORMAT </w:instrText>
        </w:r>
        <w:r w:rsidR="00532137" w:rsidRPr="00170985">
          <w:rPr>
            <w:b/>
            <w:color w:val="4D2379" w:themeColor="accent4"/>
          </w:rPr>
          <w:fldChar w:fldCharType="separate"/>
        </w:r>
        <w:r w:rsidR="00532137" w:rsidRPr="00170985">
          <w:rPr>
            <w:b/>
            <w:noProof/>
            <w:color w:val="4D2379" w:themeColor="accent4"/>
          </w:rPr>
          <w:t>11</w:t>
        </w:r>
        <w:r w:rsidR="00532137" w:rsidRPr="00170985">
          <w:rPr>
            <w:b/>
            <w:noProof/>
            <w:color w:val="4D2379" w:themeColor="accent4"/>
          </w:rPr>
          <w:fldChar w:fldCharType="end"/>
        </w:r>
        <w:r w:rsidR="00532137" w:rsidRPr="00170985">
          <w:rPr>
            <w:color w:val="4D2379" w:themeColor="accent4"/>
          </w:rPr>
          <w:t xml:space="preserve"> </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EndPr/>
    <w:sdtContent>
      <w:p w14:paraId="58D87C7C" w14:textId="15BD374B" w:rsidR="0024046B" w:rsidRPr="00FE11FA" w:rsidRDefault="00D855CA" w:rsidP="00CC3F1C">
        <w:pPr>
          <w:tabs>
            <w:tab w:val="left" w:pos="8364"/>
          </w:tabs>
          <w:rPr>
            <w:color w:val="15284C" w:themeColor="text2"/>
          </w:rPr>
        </w:pPr>
        <w:r>
          <w:rPr>
            <w:color w:val="4D2379" w:themeColor="accent4"/>
          </w:rPr>
          <w:t xml:space="preserve">Emissions Reduction Plan </w:t>
        </w:r>
        <w:r w:rsidR="00643CB5">
          <w:rPr>
            <w:color w:val="4D2379" w:themeColor="accent4"/>
          </w:rPr>
          <w:t>FY24/25 – FY26/</w:t>
        </w:r>
        <w:r>
          <w:rPr>
            <w:color w:val="4D2379" w:themeColor="accent4"/>
          </w:rPr>
          <w:t>27</w:t>
        </w:r>
        <w:r w:rsidR="0024046B" w:rsidRPr="00FE11FA">
          <w:rPr>
            <w:color w:val="15284C" w:themeColor="text2"/>
          </w:rPr>
          <w:tab/>
        </w:r>
        <w:r w:rsidR="0024046B" w:rsidRPr="00170985">
          <w:rPr>
            <w:b/>
            <w:color w:val="4D2379" w:themeColor="accent4"/>
          </w:rPr>
          <w:t xml:space="preserve">Page | </w:t>
        </w:r>
        <w:r w:rsidR="0024046B" w:rsidRPr="00170985">
          <w:rPr>
            <w:b/>
            <w:color w:val="4D2379" w:themeColor="accent4"/>
          </w:rPr>
          <w:fldChar w:fldCharType="begin"/>
        </w:r>
        <w:r w:rsidR="0024046B" w:rsidRPr="00170985">
          <w:rPr>
            <w:b/>
            <w:color w:val="4D2379" w:themeColor="accent4"/>
          </w:rPr>
          <w:instrText xml:space="preserve"> PAGE   \* MERGEFORMAT </w:instrText>
        </w:r>
        <w:r w:rsidR="0024046B" w:rsidRPr="00170985">
          <w:rPr>
            <w:b/>
            <w:color w:val="4D2379" w:themeColor="accent4"/>
          </w:rPr>
          <w:fldChar w:fldCharType="separate"/>
        </w:r>
        <w:r w:rsidR="0024046B" w:rsidRPr="00170985">
          <w:rPr>
            <w:b/>
            <w:color w:val="4D2379" w:themeColor="accent4"/>
          </w:rPr>
          <w:t>13</w:t>
        </w:r>
        <w:r w:rsidR="0024046B" w:rsidRPr="00170985">
          <w:rPr>
            <w:b/>
            <w:noProof/>
            <w:color w:val="4D2379" w:themeColor="accent4"/>
          </w:rPr>
          <w:fldChar w:fldCharType="end"/>
        </w:r>
        <w:r w:rsidR="0024046B" w:rsidRPr="00170985">
          <w:rPr>
            <w:color w:val="4D2379" w:themeColor="accent4"/>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A40B7" w14:textId="77777777" w:rsidR="0086014F" w:rsidRDefault="0086014F" w:rsidP="00817A32">
      <w:pPr>
        <w:spacing w:before="0" w:after="0" w:line="240" w:lineRule="auto"/>
      </w:pPr>
    </w:p>
  </w:footnote>
  <w:footnote w:type="continuationSeparator" w:id="0">
    <w:p w14:paraId="2A1BC79C" w14:textId="77777777" w:rsidR="0086014F" w:rsidRDefault="0086014F" w:rsidP="00817A32">
      <w:pPr>
        <w:spacing w:before="0" w:after="0" w:line="240" w:lineRule="auto"/>
      </w:pPr>
      <w:r>
        <w:continuationSeparator/>
      </w:r>
    </w:p>
  </w:footnote>
  <w:footnote w:type="continuationNotice" w:id="1">
    <w:p w14:paraId="5E589589" w14:textId="77777777" w:rsidR="0086014F" w:rsidRDefault="0086014F">
      <w:pPr>
        <w:spacing w:before="0" w:after="0" w:line="240" w:lineRule="auto"/>
      </w:pPr>
    </w:p>
  </w:footnote>
  <w:footnote w:id="2">
    <w:p w14:paraId="761121D6" w14:textId="77777777" w:rsidR="0029390B" w:rsidRDefault="0029390B" w:rsidP="0029390B">
      <w:pPr>
        <w:pStyle w:val="FootnoteText"/>
      </w:pPr>
      <w:r>
        <w:rPr>
          <w:rStyle w:val="FootnoteReference"/>
        </w:rPr>
        <w:footnoteRef/>
      </w:r>
      <w:r>
        <w:t xml:space="preserve"> Health NZ’s financial years are 1 July to 30 June, financial years will be stated following this example FY22/23 for 1 July 2022 to 30 June 2023 </w:t>
      </w:r>
    </w:p>
  </w:footnote>
  <w:footnote w:id="3">
    <w:p w14:paraId="3774EBA0" w14:textId="57672063" w:rsidR="00895E5D" w:rsidRDefault="00895E5D">
      <w:pPr>
        <w:pStyle w:val="FootnoteText"/>
      </w:pPr>
      <w:r>
        <w:rPr>
          <w:rStyle w:val="FootnoteReference"/>
        </w:rPr>
        <w:footnoteRef/>
      </w:r>
      <w:r>
        <w:t xml:space="preserve"> Please note </w:t>
      </w:r>
      <w:r w:rsidR="00E00E60">
        <w:t xml:space="preserve">Agencies directed under the </w:t>
      </w:r>
      <w:r>
        <w:t>CNGP are awaiting direction on the offsetting scope, timings and mechanism</w:t>
      </w:r>
      <w:r w:rsidR="00E00E60">
        <w:t xml:space="preserve"> from the Minister of Climate Change. </w:t>
      </w:r>
    </w:p>
  </w:footnote>
  <w:footnote w:id="4">
    <w:p w14:paraId="36F63676" w14:textId="47EFF6DD" w:rsidR="00ED7B53" w:rsidRDefault="00ED7B53">
      <w:pPr>
        <w:pStyle w:val="FootnoteText"/>
      </w:pPr>
      <w:r>
        <w:rPr>
          <w:rStyle w:val="FootnoteReference"/>
        </w:rPr>
        <w:footnoteRef/>
      </w:r>
      <w:r>
        <w:t xml:space="preserve"> </w:t>
      </w:r>
      <w:r w:rsidR="006930AF">
        <w:t xml:space="preserve">Business travel providers also support on CME and </w:t>
      </w:r>
      <w:r w:rsidR="006E4EE8">
        <w:t xml:space="preserve">relocation </w:t>
      </w:r>
      <w:r w:rsidR="00190303">
        <w:t xml:space="preserve">bookings and cannot be </w:t>
      </w:r>
      <w:r w:rsidR="006566A1">
        <w:t xml:space="preserve">directly allocated to CME or relocation, </w:t>
      </w:r>
      <w:r w:rsidR="00512632">
        <w:t xml:space="preserve">it is likely that CME is greater than stated. </w:t>
      </w:r>
    </w:p>
  </w:footnote>
  <w:footnote w:id="5">
    <w:p w14:paraId="64C8B338" w14:textId="77777777" w:rsidR="00416709" w:rsidRDefault="00416709" w:rsidP="00416709">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45B20" w14:textId="3BDBD33C" w:rsidR="00D97E20" w:rsidRDefault="00D97E20">
    <w:pPr>
      <w:pStyle w:val="Header"/>
    </w:pPr>
    <w:r>
      <w:rPr>
        <w:noProof/>
        <w:lang w:eastAsia="en-NZ"/>
      </w:rPr>
      <w:drawing>
        <wp:anchor distT="0" distB="0" distL="114300" distR="114300" simplePos="0" relativeHeight="251658240" behindDoc="0" locked="0" layoutInCell="1" allowOverlap="1" wp14:anchorId="2F57E5EB" wp14:editId="5A1C3E16">
          <wp:simplePos x="0" y="0"/>
          <wp:positionH relativeFrom="column">
            <wp:posOffset>-720090</wp:posOffset>
          </wp:positionH>
          <wp:positionV relativeFrom="paragraph">
            <wp:posOffset>-828040</wp:posOffset>
          </wp:positionV>
          <wp:extent cx="7559675" cy="539750"/>
          <wp:effectExtent l="0" t="0" r="3175" b="0"/>
          <wp:wrapSquare wrapText="bothSides"/>
          <wp:docPr id="159958565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ADEB1" w14:textId="7F363BE7" w:rsidR="007505B2" w:rsidRPr="003852DA" w:rsidRDefault="007505B2" w:rsidP="003852D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97E6" w14:textId="1BC893E5" w:rsidR="009869FD" w:rsidRDefault="009869F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5167" w14:textId="78DE7149" w:rsidR="00532137" w:rsidRDefault="00F16C65">
    <w:pPr>
      <w:pStyle w:val="Header"/>
    </w:pPr>
    <w:r>
      <w:rPr>
        <w:noProof/>
        <w:lang w:eastAsia="en-NZ"/>
      </w:rPr>
      <w:drawing>
        <wp:anchor distT="0" distB="0" distL="114300" distR="114300" simplePos="0" relativeHeight="251658242" behindDoc="0" locked="0" layoutInCell="1" allowOverlap="1" wp14:anchorId="77951EE8" wp14:editId="2ECF98F4">
          <wp:simplePos x="0" y="0"/>
          <wp:positionH relativeFrom="column">
            <wp:posOffset>-714375</wp:posOffset>
          </wp:positionH>
          <wp:positionV relativeFrom="paragraph">
            <wp:posOffset>-821690</wp:posOffset>
          </wp:positionV>
          <wp:extent cx="7559675" cy="539750"/>
          <wp:effectExtent l="0" t="0" r="3175"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553A" w14:textId="3246549A" w:rsidR="0024046B" w:rsidRPr="003852DA" w:rsidRDefault="00715ED4" w:rsidP="003852DA">
    <w:pPr>
      <w:pStyle w:val="Header"/>
    </w:pPr>
    <w:r>
      <w:rPr>
        <w:noProof/>
        <w:lang w:eastAsia="en-NZ"/>
      </w:rPr>
      <w:drawing>
        <wp:anchor distT="0" distB="0" distL="114300" distR="114300" simplePos="0" relativeHeight="251660292" behindDoc="0" locked="0" layoutInCell="1" allowOverlap="1" wp14:anchorId="4F2870CF" wp14:editId="50B3DA84">
          <wp:simplePos x="0" y="0"/>
          <wp:positionH relativeFrom="page">
            <wp:align>left</wp:align>
          </wp:positionH>
          <wp:positionV relativeFrom="paragraph">
            <wp:posOffset>-829310</wp:posOffset>
          </wp:positionV>
          <wp:extent cx="7559675" cy="539750"/>
          <wp:effectExtent l="0" t="0" r="3175" b="0"/>
          <wp:wrapSquare wrapText="bothSides"/>
          <wp:docPr id="168890351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D4D4" w14:textId="65755ADF" w:rsidR="009869FD" w:rsidRDefault="009869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2EE84" w14:textId="622C0071" w:rsidR="00961C8D" w:rsidRDefault="00961C8D">
    <w:pPr>
      <w:pStyle w:val="Header"/>
    </w:pPr>
    <w:r>
      <w:rPr>
        <w:noProof/>
        <w:lang w:eastAsia="en-NZ"/>
      </w:rPr>
      <w:drawing>
        <wp:anchor distT="0" distB="0" distL="114300" distR="114300" simplePos="0" relativeHeight="251658244" behindDoc="0" locked="0" layoutInCell="1" allowOverlap="1" wp14:anchorId="0886CA68" wp14:editId="360FA749">
          <wp:simplePos x="0" y="0"/>
          <wp:positionH relativeFrom="column">
            <wp:posOffset>-720090</wp:posOffset>
          </wp:positionH>
          <wp:positionV relativeFrom="paragraph">
            <wp:posOffset>-828040</wp:posOffset>
          </wp:positionV>
          <wp:extent cx="7556500" cy="539750"/>
          <wp:effectExtent l="0" t="0" r="6350" b="0"/>
          <wp:wrapSquare wrapText="bothSides"/>
          <wp:docPr id="167347366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0966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9A9A4" w14:textId="7B4371E5" w:rsidR="003852DA" w:rsidRPr="003852DA" w:rsidRDefault="003852DA" w:rsidP="003852D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C7F0B" w14:textId="7173420A" w:rsidR="009869FD" w:rsidRDefault="009869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15DE" w14:textId="6DB977CF" w:rsidR="000C006E" w:rsidRDefault="000C006E">
    <w:pPr>
      <w:pStyle w:val="Header"/>
    </w:pPr>
    <w:r>
      <w:rPr>
        <w:noProof/>
        <w:lang w:eastAsia="en-NZ"/>
      </w:rPr>
      <w:drawing>
        <wp:anchor distT="0" distB="0" distL="114300" distR="114300" simplePos="0" relativeHeight="251658241" behindDoc="0" locked="0" layoutInCell="1" allowOverlap="1" wp14:anchorId="11917B81" wp14:editId="153BD17E">
          <wp:simplePos x="0" y="0"/>
          <wp:positionH relativeFrom="column">
            <wp:posOffset>-720090</wp:posOffset>
          </wp:positionH>
          <wp:positionV relativeFrom="paragraph">
            <wp:posOffset>-828040</wp:posOffset>
          </wp:positionV>
          <wp:extent cx="7556500" cy="539750"/>
          <wp:effectExtent l="0" t="0" r="6350" b="0"/>
          <wp:wrapSquare wrapText="bothSides"/>
          <wp:docPr id="59079943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01959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8981" w14:textId="4D19CA50" w:rsidR="007505B2" w:rsidRPr="003852DA" w:rsidRDefault="007505B2" w:rsidP="003852D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073AD" w14:textId="5EA508EC" w:rsidR="009869FD" w:rsidRDefault="009869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BDA8" w14:textId="7C54373F" w:rsidR="0049539E" w:rsidRDefault="0049539E">
    <w:pPr>
      <w:pStyle w:val="Header"/>
    </w:pPr>
    <w:r>
      <w:rPr>
        <w:noProof/>
        <w:lang w:eastAsia="en-NZ"/>
      </w:rPr>
      <w:drawing>
        <wp:anchor distT="0" distB="0" distL="114300" distR="114300" simplePos="0" relativeHeight="251658243" behindDoc="0" locked="0" layoutInCell="1" allowOverlap="1" wp14:anchorId="32E08925" wp14:editId="6AFA1706">
          <wp:simplePos x="0" y="0"/>
          <wp:positionH relativeFrom="column">
            <wp:posOffset>-720090</wp:posOffset>
          </wp:positionH>
          <wp:positionV relativeFrom="paragraph">
            <wp:posOffset>-828040</wp:posOffset>
          </wp:positionV>
          <wp:extent cx="7556500" cy="539750"/>
          <wp:effectExtent l="0" t="0" r="6350" b="0"/>
          <wp:wrapSquare wrapText="bothSides"/>
          <wp:docPr id="143539499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28438"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5397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5D15571"/>
    <w:multiLevelType w:val="multilevel"/>
    <w:tmpl w:val="49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start w:val="1"/>
      <w:numFmt w:val="bullet"/>
      <w:lvlText w:val="o"/>
      <w:lvlJc w:val="left"/>
      <w:pPr>
        <w:ind w:left="1610" w:hanging="360"/>
      </w:pPr>
      <w:rPr>
        <w:rFonts w:ascii="Courier New" w:hAnsi="Courier New" w:cs="Courier New" w:hint="default"/>
      </w:rPr>
    </w:lvl>
    <w:lvl w:ilvl="2" w:tplc="14090005">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E157B4E"/>
    <w:multiLevelType w:val="hybridMultilevel"/>
    <w:tmpl w:val="714A7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BE23579"/>
    <w:multiLevelType w:val="hybridMultilevel"/>
    <w:tmpl w:val="3E4A160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64333E4E"/>
    <w:multiLevelType w:val="hybridMultilevel"/>
    <w:tmpl w:val="E9AE7A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92A48C0"/>
    <w:multiLevelType w:val="hybridMultilevel"/>
    <w:tmpl w:val="64800A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CB47A95"/>
    <w:multiLevelType w:val="hybridMultilevel"/>
    <w:tmpl w:val="CCE894D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24A4DE1"/>
    <w:multiLevelType w:val="hybridMultilevel"/>
    <w:tmpl w:val="5D84FEEE"/>
    <w:lvl w:ilvl="0" w:tplc="3CCA973E">
      <w:start w:val="1"/>
      <w:numFmt w:val="bullet"/>
      <w:pStyle w:val="Bulletpoints2"/>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07F25120">
      <w:numFmt w:val="bullet"/>
      <w:lvlText w:val="•"/>
      <w:lvlJc w:val="left"/>
      <w:pPr>
        <w:ind w:left="2160" w:hanging="360"/>
      </w:pPr>
      <w:rPr>
        <w:rFonts w:ascii="Arial" w:eastAsia="Roboto" w:hAnsi="Arial" w:cs="Aria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A5D08E1"/>
    <w:multiLevelType w:val="hybridMultilevel"/>
    <w:tmpl w:val="801E97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F89007D"/>
    <w:multiLevelType w:val="hybridMultilevel"/>
    <w:tmpl w:val="E81638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8"/>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7"/>
  </w:num>
  <w:num w:numId="8" w16cid:durableId="1736928306">
    <w:abstractNumId w:val="6"/>
  </w:num>
  <w:num w:numId="9" w16cid:durableId="22677790">
    <w:abstractNumId w:val="14"/>
  </w:num>
  <w:num w:numId="10" w16cid:durableId="1747530267">
    <w:abstractNumId w:val="12"/>
  </w:num>
  <w:num w:numId="11" w16cid:durableId="586307826">
    <w:abstractNumId w:val="5"/>
  </w:num>
  <w:num w:numId="12" w16cid:durableId="116527364">
    <w:abstractNumId w:val="16"/>
  </w:num>
  <w:num w:numId="13" w16cid:durableId="1508134012">
    <w:abstractNumId w:val="11"/>
  </w:num>
  <w:num w:numId="14" w16cid:durableId="761990701">
    <w:abstractNumId w:val="15"/>
  </w:num>
  <w:num w:numId="15" w16cid:durableId="114914169">
    <w:abstractNumId w:val="9"/>
  </w:num>
  <w:num w:numId="16" w16cid:durableId="386998903">
    <w:abstractNumId w:val="10"/>
  </w:num>
  <w:num w:numId="17" w16cid:durableId="124387863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8C5A63"/>
    <w:rsid w:val="00000BAD"/>
    <w:rsid w:val="00000DD2"/>
    <w:rsid w:val="0000158B"/>
    <w:rsid w:val="000019C3"/>
    <w:rsid w:val="00002966"/>
    <w:rsid w:val="00002F58"/>
    <w:rsid w:val="00002F81"/>
    <w:rsid w:val="000030F5"/>
    <w:rsid w:val="0000323A"/>
    <w:rsid w:val="00003A97"/>
    <w:rsid w:val="00003E00"/>
    <w:rsid w:val="00003F3F"/>
    <w:rsid w:val="00004510"/>
    <w:rsid w:val="000045C8"/>
    <w:rsid w:val="000047CD"/>
    <w:rsid w:val="000048D2"/>
    <w:rsid w:val="00004B42"/>
    <w:rsid w:val="00004E17"/>
    <w:rsid w:val="00004EE7"/>
    <w:rsid w:val="000050C6"/>
    <w:rsid w:val="00005BC6"/>
    <w:rsid w:val="000060A2"/>
    <w:rsid w:val="00006FC0"/>
    <w:rsid w:val="00007153"/>
    <w:rsid w:val="000075A8"/>
    <w:rsid w:val="0000781D"/>
    <w:rsid w:val="00007C3D"/>
    <w:rsid w:val="0001057A"/>
    <w:rsid w:val="000108A0"/>
    <w:rsid w:val="000109CE"/>
    <w:rsid w:val="00011228"/>
    <w:rsid w:val="000117F8"/>
    <w:rsid w:val="0001217F"/>
    <w:rsid w:val="00012394"/>
    <w:rsid w:val="0001248A"/>
    <w:rsid w:val="0001275C"/>
    <w:rsid w:val="000128D8"/>
    <w:rsid w:val="00013C7B"/>
    <w:rsid w:val="00013FD4"/>
    <w:rsid w:val="00014604"/>
    <w:rsid w:val="00014B22"/>
    <w:rsid w:val="00014B2D"/>
    <w:rsid w:val="00014BB0"/>
    <w:rsid w:val="00014D0E"/>
    <w:rsid w:val="00014EFC"/>
    <w:rsid w:val="000152C1"/>
    <w:rsid w:val="00015CD1"/>
    <w:rsid w:val="00015D81"/>
    <w:rsid w:val="00016212"/>
    <w:rsid w:val="000179FB"/>
    <w:rsid w:val="0002066C"/>
    <w:rsid w:val="000206B5"/>
    <w:rsid w:val="00020925"/>
    <w:rsid w:val="00020AD2"/>
    <w:rsid w:val="00020AF1"/>
    <w:rsid w:val="00021178"/>
    <w:rsid w:val="00021259"/>
    <w:rsid w:val="000218FF"/>
    <w:rsid w:val="0002199C"/>
    <w:rsid w:val="000225C1"/>
    <w:rsid w:val="00022746"/>
    <w:rsid w:val="000227DA"/>
    <w:rsid w:val="00022D13"/>
    <w:rsid w:val="00023580"/>
    <w:rsid w:val="00023778"/>
    <w:rsid w:val="00023793"/>
    <w:rsid w:val="00023C67"/>
    <w:rsid w:val="0002438E"/>
    <w:rsid w:val="00024781"/>
    <w:rsid w:val="00024C6A"/>
    <w:rsid w:val="00024CF3"/>
    <w:rsid w:val="00024E3C"/>
    <w:rsid w:val="00024F45"/>
    <w:rsid w:val="00025001"/>
    <w:rsid w:val="0002503E"/>
    <w:rsid w:val="000256C4"/>
    <w:rsid w:val="00025755"/>
    <w:rsid w:val="000260A1"/>
    <w:rsid w:val="000262A3"/>
    <w:rsid w:val="00026710"/>
    <w:rsid w:val="0002697F"/>
    <w:rsid w:val="00026A75"/>
    <w:rsid w:val="00026D9B"/>
    <w:rsid w:val="0002749F"/>
    <w:rsid w:val="000274FF"/>
    <w:rsid w:val="00027C78"/>
    <w:rsid w:val="0003024A"/>
    <w:rsid w:val="0003079F"/>
    <w:rsid w:val="00030B2F"/>
    <w:rsid w:val="000312C1"/>
    <w:rsid w:val="00031AFD"/>
    <w:rsid w:val="00031B00"/>
    <w:rsid w:val="00031DB0"/>
    <w:rsid w:val="00032245"/>
    <w:rsid w:val="0003258F"/>
    <w:rsid w:val="00032795"/>
    <w:rsid w:val="000330FA"/>
    <w:rsid w:val="000334C4"/>
    <w:rsid w:val="00033CB4"/>
    <w:rsid w:val="00033DA0"/>
    <w:rsid w:val="000352C3"/>
    <w:rsid w:val="000353E3"/>
    <w:rsid w:val="000359A9"/>
    <w:rsid w:val="00035CCD"/>
    <w:rsid w:val="0003632E"/>
    <w:rsid w:val="00036E67"/>
    <w:rsid w:val="00037095"/>
    <w:rsid w:val="0003714D"/>
    <w:rsid w:val="00037303"/>
    <w:rsid w:val="000374AF"/>
    <w:rsid w:val="00037E5D"/>
    <w:rsid w:val="000405F2"/>
    <w:rsid w:val="0004133E"/>
    <w:rsid w:val="0004137A"/>
    <w:rsid w:val="00041777"/>
    <w:rsid w:val="000417E5"/>
    <w:rsid w:val="00041A46"/>
    <w:rsid w:val="00042425"/>
    <w:rsid w:val="00043141"/>
    <w:rsid w:val="00043918"/>
    <w:rsid w:val="00043AAB"/>
    <w:rsid w:val="000442E7"/>
    <w:rsid w:val="00044CDA"/>
    <w:rsid w:val="00044CF4"/>
    <w:rsid w:val="00044D19"/>
    <w:rsid w:val="00044E68"/>
    <w:rsid w:val="000457D8"/>
    <w:rsid w:val="00045B61"/>
    <w:rsid w:val="00045E68"/>
    <w:rsid w:val="0004645E"/>
    <w:rsid w:val="000467A2"/>
    <w:rsid w:val="000475E9"/>
    <w:rsid w:val="00047724"/>
    <w:rsid w:val="00047F41"/>
    <w:rsid w:val="00050CED"/>
    <w:rsid w:val="00052939"/>
    <w:rsid w:val="00052A77"/>
    <w:rsid w:val="00053068"/>
    <w:rsid w:val="00053402"/>
    <w:rsid w:val="00053D20"/>
    <w:rsid w:val="00053FEF"/>
    <w:rsid w:val="000540DC"/>
    <w:rsid w:val="000540F2"/>
    <w:rsid w:val="00054173"/>
    <w:rsid w:val="00054614"/>
    <w:rsid w:val="0005499C"/>
    <w:rsid w:val="00054C66"/>
    <w:rsid w:val="00055162"/>
    <w:rsid w:val="00055430"/>
    <w:rsid w:val="00056229"/>
    <w:rsid w:val="0005692C"/>
    <w:rsid w:val="00056B4D"/>
    <w:rsid w:val="00056CB5"/>
    <w:rsid w:val="00056EE3"/>
    <w:rsid w:val="0005702D"/>
    <w:rsid w:val="0005715F"/>
    <w:rsid w:val="00057989"/>
    <w:rsid w:val="00060B8C"/>
    <w:rsid w:val="0006127A"/>
    <w:rsid w:val="00061650"/>
    <w:rsid w:val="00061BE2"/>
    <w:rsid w:val="00062AA1"/>
    <w:rsid w:val="000631F9"/>
    <w:rsid w:val="00063518"/>
    <w:rsid w:val="00063567"/>
    <w:rsid w:val="000638A0"/>
    <w:rsid w:val="00063D78"/>
    <w:rsid w:val="00064A6B"/>
    <w:rsid w:val="00065884"/>
    <w:rsid w:val="00065ACB"/>
    <w:rsid w:val="00065F59"/>
    <w:rsid w:val="00065FBD"/>
    <w:rsid w:val="00066115"/>
    <w:rsid w:val="0006645D"/>
    <w:rsid w:val="000665F1"/>
    <w:rsid w:val="00066983"/>
    <w:rsid w:val="00066B1C"/>
    <w:rsid w:val="00066C37"/>
    <w:rsid w:val="00067781"/>
    <w:rsid w:val="00067E96"/>
    <w:rsid w:val="00071DB4"/>
    <w:rsid w:val="00072159"/>
    <w:rsid w:val="0007285C"/>
    <w:rsid w:val="00073412"/>
    <w:rsid w:val="000740F3"/>
    <w:rsid w:val="00074396"/>
    <w:rsid w:val="00074414"/>
    <w:rsid w:val="00074C25"/>
    <w:rsid w:val="00074D9F"/>
    <w:rsid w:val="0007543C"/>
    <w:rsid w:val="00076AF6"/>
    <w:rsid w:val="00076D96"/>
    <w:rsid w:val="00076EF8"/>
    <w:rsid w:val="00080177"/>
    <w:rsid w:val="00080738"/>
    <w:rsid w:val="00081136"/>
    <w:rsid w:val="00081475"/>
    <w:rsid w:val="000817D7"/>
    <w:rsid w:val="00082585"/>
    <w:rsid w:val="0008265E"/>
    <w:rsid w:val="000826D9"/>
    <w:rsid w:val="00082BAB"/>
    <w:rsid w:val="00082F3C"/>
    <w:rsid w:val="000832E6"/>
    <w:rsid w:val="0008347B"/>
    <w:rsid w:val="00083524"/>
    <w:rsid w:val="00083B5C"/>
    <w:rsid w:val="00083DF3"/>
    <w:rsid w:val="00083F72"/>
    <w:rsid w:val="0008472F"/>
    <w:rsid w:val="00084B2A"/>
    <w:rsid w:val="00085018"/>
    <w:rsid w:val="00085049"/>
    <w:rsid w:val="00085799"/>
    <w:rsid w:val="000859C9"/>
    <w:rsid w:val="00086539"/>
    <w:rsid w:val="00086A4D"/>
    <w:rsid w:val="00086A58"/>
    <w:rsid w:val="00086A5C"/>
    <w:rsid w:val="00086A79"/>
    <w:rsid w:val="00087494"/>
    <w:rsid w:val="00087D6B"/>
    <w:rsid w:val="00087F59"/>
    <w:rsid w:val="0009032C"/>
    <w:rsid w:val="000909E1"/>
    <w:rsid w:val="00090A6D"/>
    <w:rsid w:val="00090AB2"/>
    <w:rsid w:val="00091612"/>
    <w:rsid w:val="000918A3"/>
    <w:rsid w:val="00091D79"/>
    <w:rsid w:val="00091DA2"/>
    <w:rsid w:val="00091F41"/>
    <w:rsid w:val="000922EA"/>
    <w:rsid w:val="00092E8C"/>
    <w:rsid w:val="0009312D"/>
    <w:rsid w:val="00093196"/>
    <w:rsid w:val="00093AE0"/>
    <w:rsid w:val="00093C2E"/>
    <w:rsid w:val="00093D47"/>
    <w:rsid w:val="00093ECE"/>
    <w:rsid w:val="00094D4C"/>
    <w:rsid w:val="00095102"/>
    <w:rsid w:val="00095560"/>
    <w:rsid w:val="000955E6"/>
    <w:rsid w:val="00095738"/>
    <w:rsid w:val="0009583B"/>
    <w:rsid w:val="00096743"/>
    <w:rsid w:val="00096D90"/>
    <w:rsid w:val="00096FCE"/>
    <w:rsid w:val="0009705E"/>
    <w:rsid w:val="00097E87"/>
    <w:rsid w:val="000A0561"/>
    <w:rsid w:val="000A05F2"/>
    <w:rsid w:val="000A0904"/>
    <w:rsid w:val="000A2567"/>
    <w:rsid w:val="000A27BD"/>
    <w:rsid w:val="000A2991"/>
    <w:rsid w:val="000A2C3B"/>
    <w:rsid w:val="000A33AD"/>
    <w:rsid w:val="000A33E2"/>
    <w:rsid w:val="000A3438"/>
    <w:rsid w:val="000A3A73"/>
    <w:rsid w:val="000A3C7E"/>
    <w:rsid w:val="000A3EDE"/>
    <w:rsid w:val="000A45C0"/>
    <w:rsid w:val="000A4781"/>
    <w:rsid w:val="000A4DC7"/>
    <w:rsid w:val="000A5357"/>
    <w:rsid w:val="000A60E7"/>
    <w:rsid w:val="000A6131"/>
    <w:rsid w:val="000A7A68"/>
    <w:rsid w:val="000B05D8"/>
    <w:rsid w:val="000B0AA4"/>
    <w:rsid w:val="000B0E54"/>
    <w:rsid w:val="000B0EE3"/>
    <w:rsid w:val="000B13C0"/>
    <w:rsid w:val="000B1DFB"/>
    <w:rsid w:val="000B2192"/>
    <w:rsid w:val="000B2688"/>
    <w:rsid w:val="000B3E2F"/>
    <w:rsid w:val="000B4430"/>
    <w:rsid w:val="000B4996"/>
    <w:rsid w:val="000B4A3E"/>
    <w:rsid w:val="000B4C45"/>
    <w:rsid w:val="000B5212"/>
    <w:rsid w:val="000B5229"/>
    <w:rsid w:val="000B52AD"/>
    <w:rsid w:val="000B56F8"/>
    <w:rsid w:val="000B5839"/>
    <w:rsid w:val="000B5F79"/>
    <w:rsid w:val="000B64E8"/>
    <w:rsid w:val="000B6853"/>
    <w:rsid w:val="000B7686"/>
    <w:rsid w:val="000C006E"/>
    <w:rsid w:val="000C0535"/>
    <w:rsid w:val="000C0A51"/>
    <w:rsid w:val="000C0ECA"/>
    <w:rsid w:val="000C16B1"/>
    <w:rsid w:val="000C17B8"/>
    <w:rsid w:val="000C18AA"/>
    <w:rsid w:val="000C1D8D"/>
    <w:rsid w:val="000C2CB4"/>
    <w:rsid w:val="000C2D95"/>
    <w:rsid w:val="000C2E22"/>
    <w:rsid w:val="000C3787"/>
    <w:rsid w:val="000C5255"/>
    <w:rsid w:val="000C5379"/>
    <w:rsid w:val="000C5DC0"/>
    <w:rsid w:val="000C6509"/>
    <w:rsid w:val="000C6EAC"/>
    <w:rsid w:val="000C74B0"/>
    <w:rsid w:val="000D0116"/>
    <w:rsid w:val="000D027C"/>
    <w:rsid w:val="000D0501"/>
    <w:rsid w:val="000D0ABF"/>
    <w:rsid w:val="000D117B"/>
    <w:rsid w:val="000D118D"/>
    <w:rsid w:val="000D15E8"/>
    <w:rsid w:val="000D1A44"/>
    <w:rsid w:val="000D216D"/>
    <w:rsid w:val="000D310A"/>
    <w:rsid w:val="000D4142"/>
    <w:rsid w:val="000D48BF"/>
    <w:rsid w:val="000D4F7A"/>
    <w:rsid w:val="000D5AF4"/>
    <w:rsid w:val="000D61EF"/>
    <w:rsid w:val="000D627F"/>
    <w:rsid w:val="000D679D"/>
    <w:rsid w:val="000D6913"/>
    <w:rsid w:val="000D699E"/>
    <w:rsid w:val="000D6E60"/>
    <w:rsid w:val="000D729B"/>
    <w:rsid w:val="000D75DC"/>
    <w:rsid w:val="000E00E1"/>
    <w:rsid w:val="000E099F"/>
    <w:rsid w:val="000E0B23"/>
    <w:rsid w:val="000E0F11"/>
    <w:rsid w:val="000E15BA"/>
    <w:rsid w:val="000E1C61"/>
    <w:rsid w:val="000E25AE"/>
    <w:rsid w:val="000E3690"/>
    <w:rsid w:val="000E39E3"/>
    <w:rsid w:val="000E41A9"/>
    <w:rsid w:val="000E4441"/>
    <w:rsid w:val="000E45CB"/>
    <w:rsid w:val="000E4AE7"/>
    <w:rsid w:val="000E4EAF"/>
    <w:rsid w:val="000E51B3"/>
    <w:rsid w:val="000E549F"/>
    <w:rsid w:val="000E5783"/>
    <w:rsid w:val="000E67D9"/>
    <w:rsid w:val="000E68AB"/>
    <w:rsid w:val="000E6E3A"/>
    <w:rsid w:val="000E7752"/>
    <w:rsid w:val="000F0A40"/>
    <w:rsid w:val="000F0E93"/>
    <w:rsid w:val="000F106B"/>
    <w:rsid w:val="000F1C40"/>
    <w:rsid w:val="000F23AF"/>
    <w:rsid w:val="000F279A"/>
    <w:rsid w:val="000F2872"/>
    <w:rsid w:val="000F2B32"/>
    <w:rsid w:val="000F2F50"/>
    <w:rsid w:val="000F317A"/>
    <w:rsid w:val="000F34FA"/>
    <w:rsid w:val="000F3758"/>
    <w:rsid w:val="000F3EAB"/>
    <w:rsid w:val="000F407C"/>
    <w:rsid w:val="000F4375"/>
    <w:rsid w:val="000F48E5"/>
    <w:rsid w:val="000F4938"/>
    <w:rsid w:val="000F4AA9"/>
    <w:rsid w:val="000F4AB8"/>
    <w:rsid w:val="000F4E1A"/>
    <w:rsid w:val="000F50FA"/>
    <w:rsid w:val="000F57A0"/>
    <w:rsid w:val="000F6403"/>
    <w:rsid w:val="000F65C2"/>
    <w:rsid w:val="000F68C8"/>
    <w:rsid w:val="000F71A1"/>
    <w:rsid w:val="000F7BB2"/>
    <w:rsid w:val="000F7F91"/>
    <w:rsid w:val="001010A4"/>
    <w:rsid w:val="001013E4"/>
    <w:rsid w:val="00101542"/>
    <w:rsid w:val="00102272"/>
    <w:rsid w:val="00102605"/>
    <w:rsid w:val="00102712"/>
    <w:rsid w:val="00102779"/>
    <w:rsid w:val="001029EE"/>
    <w:rsid w:val="00102C7D"/>
    <w:rsid w:val="0010325C"/>
    <w:rsid w:val="001032CE"/>
    <w:rsid w:val="00103458"/>
    <w:rsid w:val="0010356C"/>
    <w:rsid w:val="00103957"/>
    <w:rsid w:val="00103B59"/>
    <w:rsid w:val="00104146"/>
    <w:rsid w:val="001044B7"/>
    <w:rsid w:val="00104880"/>
    <w:rsid w:val="001051A6"/>
    <w:rsid w:val="00105278"/>
    <w:rsid w:val="001058A0"/>
    <w:rsid w:val="00105EE7"/>
    <w:rsid w:val="00105EF9"/>
    <w:rsid w:val="00106CF9"/>
    <w:rsid w:val="001071DB"/>
    <w:rsid w:val="00107BA2"/>
    <w:rsid w:val="0011049A"/>
    <w:rsid w:val="00110EF9"/>
    <w:rsid w:val="001116B2"/>
    <w:rsid w:val="001119F1"/>
    <w:rsid w:val="00111BFB"/>
    <w:rsid w:val="00111CFD"/>
    <w:rsid w:val="001125D9"/>
    <w:rsid w:val="00112721"/>
    <w:rsid w:val="00112B58"/>
    <w:rsid w:val="00112E92"/>
    <w:rsid w:val="001131C0"/>
    <w:rsid w:val="00113F81"/>
    <w:rsid w:val="001142A7"/>
    <w:rsid w:val="00114C38"/>
    <w:rsid w:val="00115DF3"/>
    <w:rsid w:val="00116756"/>
    <w:rsid w:val="0011703D"/>
    <w:rsid w:val="001173F4"/>
    <w:rsid w:val="001179E5"/>
    <w:rsid w:val="00117DE0"/>
    <w:rsid w:val="00117F0B"/>
    <w:rsid w:val="001206B0"/>
    <w:rsid w:val="001208DA"/>
    <w:rsid w:val="00120AA1"/>
    <w:rsid w:val="00120BE3"/>
    <w:rsid w:val="00121185"/>
    <w:rsid w:val="001218EE"/>
    <w:rsid w:val="00121AB4"/>
    <w:rsid w:val="00121EE6"/>
    <w:rsid w:val="0012288A"/>
    <w:rsid w:val="00122FBC"/>
    <w:rsid w:val="00123472"/>
    <w:rsid w:val="001235E7"/>
    <w:rsid w:val="0012413D"/>
    <w:rsid w:val="001243C5"/>
    <w:rsid w:val="00124595"/>
    <w:rsid w:val="00124930"/>
    <w:rsid w:val="00124A55"/>
    <w:rsid w:val="00124DCD"/>
    <w:rsid w:val="001253C7"/>
    <w:rsid w:val="001254A9"/>
    <w:rsid w:val="00125D16"/>
    <w:rsid w:val="00125F5B"/>
    <w:rsid w:val="001261A4"/>
    <w:rsid w:val="00126823"/>
    <w:rsid w:val="00126C1A"/>
    <w:rsid w:val="00126F97"/>
    <w:rsid w:val="001275DF"/>
    <w:rsid w:val="0012764B"/>
    <w:rsid w:val="00127852"/>
    <w:rsid w:val="001279CC"/>
    <w:rsid w:val="00127F64"/>
    <w:rsid w:val="00127F6D"/>
    <w:rsid w:val="0013037B"/>
    <w:rsid w:val="00130484"/>
    <w:rsid w:val="001305EF"/>
    <w:rsid w:val="00130A9C"/>
    <w:rsid w:val="00130D27"/>
    <w:rsid w:val="001319EA"/>
    <w:rsid w:val="00131BAE"/>
    <w:rsid w:val="001341C5"/>
    <w:rsid w:val="0013461F"/>
    <w:rsid w:val="0013503D"/>
    <w:rsid w:val="0013549E"/>
    <w:rsid w:val="0013567E"/>
    <w:rsid w:val="00135F5E"/>
    <w:rsid w:val="001361F1"/>
    <w:rsid w:val="00136AC0"/>
    <w:rsid w:val="00136C35"/>
    <w:rsid w:val="00137317"/>
    <w:rsid w:val="0013783E"/>
    <w:rsid w:val="00137DFA"/>
    <w:rsid w:val="00137FF8"/>
    <w:rsid w:val="00140A77"/>
    <w:rsid w:val="00140DA5"/>
    <w:rsid w:val="0014109B"/>
    <w:rsid w:val="00141184"/>
    <w:rsid w:val="00141453"/>
    <w:rsid w:val="001414B8"/>
    <w:rsid w:val="00141A2B"/>
    <w:rsid w:val="00141B68"/>
    <w:rsid w:val="00141D33"/>
    <w:rsid w:val="0014235E"/>
    <w:rsid w:val="00142C27"/>
    <w:rsid w:val="001437EC"/>
    <w:rsid w:val="00143F92"/>
    <w:rsid w:val="00144104"/>
    <w:rsid w:val="00144414"/>
    <w:rsid w:val="0014460E"/>
    <w:rsid w:val="00144925"/>
    <w:rsid w:val="00144B31"/>
    <w:rsid w:val="00145BFA"/>
    <w:rsid w:val="00146754"/>
    <w:rsid w:val="00146868"/>
    <w:rsid w:val="00146ED0"/>
    <w:rsid w:val="00146FB7"/>
    <w:rsid w:val="00146FF4"/>
    <w:rsid w:val="001477E4"/>
    <w:rsid w:val="00147D3E"/>
    <w:rsid w:val="00147D9F"/>
    <w:rsid w:val="0015047C"/>
    <w:rsid w:val="001512F4"/>
    <w:rsid w:val="0015191E"/>
    <w:rsid w:val="00151E33"/>
    <w:rsid w:val="00152383"/>
    <w:rsid w:val="0015238A"/>
    <w:rsid w:val="00153032"/>
    <w:rsid w:val="00154165"/>
    <w:rsid w:val="001544E9"/>
    <w:rsid w:val="001547FE"/>
    <w:rsid w:val="00154D8B"/>
    <w:rsid w:val="00154F07"/>
    <w:rsid w:val="00155288"/>
    <w:rsid w:val="001557C2"/>
    <w:rsid w:val="00155917"/>
    <w:rsid w:val="00156523"/>
    <w:rsid w:val="00156952"/>
    <w:rsid w:val="00156A7C"/>
    <w:rsid w:val="00157C31"/>
    <w:rsid w:val="00157EF4"/>
    <w:rsid w:val="001601C9"/>
    <w:rsid w:val="0016134F"/>
    <w:rsid w:val="0016175C"/>
    <w:rsid w:val="00161D5E"/>
    <w:rsid w:val="00161E5A"/>
    <w:rsid w:val="00161EA4"/>
    <w:rsid w:val="00162163"/>
    <w:rsid w:val="001622E4"/>
    <w:rsid w:val="00162E13"/>
    <w:rsid w:val="00163232"/>
    <w:rsid w:val="001634AF"/>
    <w:rsid w:val="00163615"/>
    <w:rsid w:val="00163DAC"/>
    <w:rsid w:val="00164044"/>
    <w:rsid w:val="001646CE"/>
    <w:rsid w:val="00164A29"/>
    <w:rsid w:val="00165729"/>
    <w:rsid w:val="001659DE"/>
    <w:rsid w:val="00165A16"/>
    <w:rsid w:val="00165ABF"/>
    <w:rsid w:val="00165BE9"/>
    <w:rsid w:val="00165ECE"/>
    <w:rsid w:val="00166059"/>
    <w:rsid w:val="0016647C"/>
    <w:rsid w:val="00166612"/>
    <w:rsid w:val="00166676"/>
    <w:rsid w:val="0016739A"/>
    <w:rsid w:val="00167BF3"/>
    <w:rsid w:val="00167DAB"/>
    <w:rsid w:val="00167FC4"/>
    <w:rsid w:val="001706DB"/>
    <w:rsid w:val="00170985"/>
    <w:rsid w:val="00170D94"/>
    <w:rsid w:val="001710CC"/>
    <w:rsid w:val="00171A5C"/>
    <w:rsid w:val="00171B5A"/>
    <w:rsid w:val="00171BB7"/>
    <w:rsid w:val="001720A6"/>
    <w:rsid w:val="0017243F"/>
    <w:rsid w:val="001724F9"/>
    <w:rsid w:val="00172624"/>
    <w:rsid w:val="00172635"/>
    <w:rsid w:val="00172D7D"/>
    <w:rsid w:val="00172F89"/>
    <w:rsid w:val="00173AC6"/>
    <w:rsid w:val="00173ADA"/>
    <w:rsid w:val="00174550"/>
    <w:rsid w:val="00174CB4"/>
    <w:rsid w:val="00174E43"/>
    <w:rsid w:val="001750E3"/>
    <w:rsid w:val="00175CE5"/>
    <w:rsid w:val="00175DD5"/>
    <w:rsid w:val="00175E01"/>
    <w:rsid w:val="00175F2A"/>
    <w:rsid w:val="0017671B"/>
    <w:rsid w:val="00177756"/>
    <w:rsid w:val="00177A85"/>
    <w:rsid w:val="001802E1"/>
    <w:rsid w:val="00180818"/>
    <w:rsid w:val="00180930"/>
    <w:rsid w:val="00181257"/>
    <w:rsid w:val="00181281"/>
    <w:rsid w:val="001814C1"/>
    <w:rsid w:val="00181957"/>
    <w:rsid w:val="00182542"/>
    <w:rsid w:val="0018285A"/>
    <w:rsid w:val="00182DB9"/>
    <w:rsid w:val="00182DC5"/>
    <w:rsid w:val="00182EA1"/>
    <w:rsid w:val="00182F24"/>
    <w:rsid w:val="001844E3"/>
    <w:rsid w:val="0018460A"/>
    <w:rsid w:val="00184663"/>
    <w:rsid w:val="0018496A"/>
    <w:rsid w:val="00184CAD"/>
    <w:rsid w:val="00184F02"/>
    <w:rsid w:val="00185466"/>
    <w:rsid w:val="00185CDE"/>
    <w:rsid w:val="00185F09"/>
    <w:rsid w:val="00186419"/>
    <w:rsid w:val="001867C4"/>
    <w:rsid w:val="00186FF1"/>
    <w:rsid w:val="00190020"/>
    <w:rsid w:val="0019029B"/>
    <w:rsid w:val="00190303"/>
    <w:rsid w:val="001916A9"/>
    <w:rsid w:val="001916F0"/>
    <w:rsid w:val="00191A12"/>
    <w:rsid w:val="00192D54"/>
    <w:rsid w:val="00193254"/>
    <w:rsid w:val="0019361E"/>
    <w:rsid w:val="00193CC3"/>
    <w:rsid w:val="001940A1"/>
    <w:rsid w:val="0019413F"/>
    <w:rsid w:val="00194173"/>
    <w:rsid w:val="00194E1B"/>
    <w:rsid w:val="0019521B"/>
    <w:rsid w:val="00196726"/>
    <w:rsid w:val="001968B1"/>
    <w:rsid w:val="00196F7E"/>
    <w:rsid w:val="00196FD6"/>
    <w:rsid w:val="001973C0"/>
    <w:rsid w:val="001A0147"/>
    <w:rsid w:val="001A0189"/>
    <w:rsid w:val="001A043E"/>
    <w:rsid w:val="001A0D37"/>
    <w:rsid w:val="001A1064"/>
    <w:rsid w:val="001A11C9"/>
    <w:rsid w:val="001A2112"/>
    <w:rsid w:val="001A2911"/>
    <w:rsid w:val="001A2D10"/>
    <w:rsid w:val="001A2F61"/>
    <w:rsid w:val="001A3A1A"/>
    <w:rsid w:val="001A4024"/>
    <w:rsid w:val="001A4F5D"/>
    <w:rsid w:val="001A50A2"/>
    <w:rsid w:val="001A5BCA"/>
    <w:rsid w:val="001A5FC9"/>
    <w:rsid w:val="001A63ED"/>
    <w:rsid w:val="001A6846"/>
    <w:rsid w:val="001A6987"/>
    <w:rsid w:val="001B0807"/>
    <w:rsid w:val="001B0DE7"/>
    <w:rsid w:val="001B13FA"/>
    <w:rsid w:val="001B1423"/>
    <w:rsid w:val="001B14C9"/>
    <w:rsid w:val="001B14CE"/>
    <w:rsid w:val="001B1BED"/>
    <w:rsid w:val="001B2138"/>
    <w:rsid w:val="001B360B"/>
    <w:rsid w:val="001B39FC"/>
    <w:rsid w:val="001B3B11"/>
    <w:rsid w:val="001B3B31"/>
    <w:rsid w:val="001B3F96"/>
    <w:rsid w:val="001B433E"/>
    <w:rsid w:val="001B4481"/>
    <w:rsid w:val="001B4CBA"/>
    <w:rsid w:val="001B55A6"/>
    <w:rsid w:val="001B56CE"/>
    <w:rsid w:val="001B5E81"/>
    <w:rsid w:val="001B630B"/>
    <w:rsid w:val="001B6681"/>
    <w:rsid w:val="001B6C25"/>
    <w:rsid w:val="001B7DB8"/>
    <w:rsid w:val="001B7E6E"/>
    <w:rsid w:val="001C07AD"/>
    <w:rsid w:val="001C0CA8"/>
    <w:rsid w:val="001C0F4B"/>
    <w:rsid w:val="001C165B"/>
    <w:rsid w:val="001C1A46"/>
    <w:rsid w:val="001C1D3F"/>
    <w:rsid w:val="001C2E0F"/>
    <w:rsid w:val="001C33A5"/>
    <w:rsid w:val="001C350F"/>
    <w:rsid w:val="001C37CA"/>
    <w:rsid w:val="001C3DE3"/>
    <w:rsid w:val="001C4C86"/>
    <w:rsid w:val="001C4CFB"/>
    <w:rsid w:val="001C4EBE"/>
    <w:rsid w:val="001C4F28"/>
    <w:rsid w:val="001C5251"/>
    <w:rsid w:val="001C53ED"/>
    <w:rsid w:val="001C5EDE"/>
    <w:rsid w:val="001C631A"/>
    <w:rsid w:val="001C6977"/>
    <w:rsid w:val="001C6FD8"/>
    <w:rsid w:val="001C74C5"/>
    <w:rsid w:val="001C7660"/>
    <w:rsid w:val="001C7CC1"/>
    <w:rsid w:val="001D0CBB"/>
    <w:rsid w:val="001D1DB1"/>
    <w:rsid w:val="001D1E0E"/>
    <w:rsid w:val="001D2000"/>
    <w:rsid w:val="001D28FF"/>
    <w:rsid w:val="001D2BD4"/>
    <w:rsid w:val="001D412E"/>
    <w:rsid w:val="001D4C5A"/>
    <w:rsid w:val="001D4CB2"/>
    <w:rsid w:val="001D5527"/>
    <w:rsid w:val="001D555E"/>
    <w:rsid w:val="001D5723"/>
    <w:rsid w:val="001D58F8"/>
    <w:rsid w:val="001D5AB2"/>
    <w:rsid w:val="001D5E65"/>
    <w:rsid w:val="001D5E8D"/>
    <w:rsid w:val="001D683D"/>
    <w:rsid w:val="001D69CC"/>
    <w:rsid w:val="001D6BAB"/>
    <w:rsid w:val="001D7827"/>
    <w:rsid w:val="001D7896"/>
    <w:rsid w:val="001D7950"/>
    <w:rsid w:val="001D7E6D"/>
    <w:rsid w:val="001E05E8"/>
    <w:rsid w:val="001E0689"/>
    <w:rsid w:val="001E1712"/>
    <w:rsid w:val="001E24E9"/>
    <w:rsid w:val="001E3716"/>
    <w:rsid w:val="001E3813"/>
    <w:rsid w:val="001E3C06"/>
    <w:rsid w:val="001E4120"/>
    <w:rsid w:val="001E4270"/>
    <w:rsid w:val="001E4504"/>
    <w:rsid w:val="001E4F30"/>
    <w:rsid w:val="001E51E7"/>
    <w:rsid w:val="001E579F"/>
    <w:rsid w:val="001E5C1E"/>
    <w:rsid w:val="001E634D"/>
    <w:rsid w:val="001E6829"/>
    <w:rsid w:val="001E6A5C"/>
    <w:rsid w:val="001E70BC"/>
    <w:rsid w:val="001E70CE"/>
    <w:rsid w:val="001E74EF"/>
    <w:rsid w:val="001E7CF7"/>
    <w:rsid w:val="001E7D79"/>
    <w:rsid w:val="001F027B"/>
    <w:rsid w:val="001F02E3"/>
    <w:rsid w:val="001F0864"/>
    <w:rsid w:val="001F0BB9"/>
    <w:rsid w:val="001F118F"/>
    <w:rsid w:val="001F128B"/>
    <w:rsid w:val="001F173F"/>
    <w:rsid w:val="001F2346"/>
    <w:rsid w:val="001F26F6"/>
    <w:rsid w:val="001F2AA0"/>
    <w:rsid w:val="001F2C94"/>
    <w:rsid w:val="001F350D"/>
    <w:rsid w:val="001F3843"/>
    <w:rsid w:val="001F3E4A"/>
    <w:rsid w:val="001F3EA3"/>
    <w:rsid w:val="001F4E01"/>
    <w:rsid w:val="001F4F42"/>
    <w:rsid w:val="001F5080"/>
    <w:rsid w:val="001F5088"/>
    <w:rsid w:val="001F51B6"/>
    <w:rsid w:val="001F548C"/>
    <w:rsid w:val="001F596A"/>
    <w:rsid w:val="001F6282"/>
    <w:rsid w:val="001F65A8"/>
    <w:rsid w:val="001F67C6"/>
    <w:rsid w:val="001F6F5C"/>
    <w:rsid w:val="001F795F"/>
    <w:rsid w:val="001F7FFB"/>
    <w:rsid w:val="0020039B"/>
    <w:rsid w:val="002005E9"/>
    <w:rsid w:val="002005FD"/>
    <w:rsid w:val="0020071F"/>
    <w:rsid w:val="002007DA"/>
    <w:rsid w:val="00200F19"/>
    <w:rsid w:val="00200FC1"/>
    <w:rsid w:val="002010C4"/>
    <w:rsid w:val="002011A9"/>
    <w:rsid w:val="00201348"/>
    <w:rsid w:val="00202B6E"/>
    <w:rsid w:val="00202DBE"/>
    <w:rsid w:val="002030D9"/>
    <w:rsid w:val="002031BC"/>
    <w:rsid w:val="002034FF"/>
    <w:rsid w:val="0020377F"/>
    <w:rsid w:val="0020424F"/>
    <w:rsid w:val="002043B5"/>
    <w:rsid w:val="00204663"/>
    <w:rsid w:val="002047B3"/>
    <w:rsid w:val="002048EF"/>
    <w:rsid w:val="00204B83"/>
    <w:rsid w:val="00204C00"/>
    <w:rsid w:val="00205618"/>
    <w:rsid w:val="00205B0B"/>
    <w:rsid w:val="0020756A"/>
    <w:rsid w:val="00210264"/>
    <w:rsid w:val="00210371"/>
    <w:rsid w:val="00210522"/>
    <w:rsid w:val="0021098E"/>
    <w:rsid w:val="00211131"/>
    <w:rsid w:val="002111BC"/>
    <w:rsid w:val="002113B8"/>
    <w:rsid w:val="0021153C"/>
    <w:rsid w:val="00211653"/>
    <w:rsid w:val="0021199A"/>
    <w:rsid w:val="00212CDE"/>
    <w:rsid w:val="00212D1B"/>
    <w:rsid w:val="0021356D"/>
    <w:rsid w:val="00213D57"/>
    <w:rsid w:val="00214BB4"/>
    <w:rsid w:val="00214CC3"/>
    <w:rsid w:val="002157AC"/>
    <w:rsid w:val="00215A41"/>
    <w:rsid w:val="00215F9D"/>
    <w:rsid w:val="0021697B"/>
    <w:rsid w:val="00216FBE"/>
    <w:rsid w:val="002178C4"/>
    <w:rsid w:val="00217A49"/>
    <w:rsid w:val="00217BD4"/>
    <w:rsid w:val="00217D00"/>
    <w:rsid w:val="00217EF6"/>
    <w:rsid w:val="00217F74"/>
    <w:rsid w:val="00220629"/>
    <w:rsid w:val="00220B44"/>
    <w:rsid w:val="002212CF"/>
    <w:rsid w:val="002213F6"/>
    <w:rsid w:val="00221BB7"/>
    <w:rsid w:val="00221E48"/>
    <w:rsid w:val="00222274"/>
    <w:rsid w:val="0022228A"/>
    <w:rsid w:val="00222661"/>
    <w:rsid w:val="00222850"/>
    <w:rsid w:val="00222B07"/>
    <w:rsid w:val="00222D61"/>
    <w:rsid w:val="00223102"/>
    <w:rsid w:val="002235BA"/>
    <w:rsid w:val="00223A98"/>
    <w:rsid w:val="00223AF7"/>
    <w:rsid w:val="00223F0E"/>
    <w:rsid w:val="00224239"/>
    <w:rsid w:val="0022434B"/>
    <w:rsid w:val="002249EF"/>
    <w:rsid w:val="00224BB8"/>
    <w:rsid w:val="002258D2"/>
    <w:rsid w:val="0022619F"/>
    <w:rsid w:val="002263B0"/>
    <w:rsid w:val="00226EB2"/>
    <w:rsid w:val="0022794F"/>
    <w:rsid w:val="00227BEB"/>
    <w:rsid w:val="00227E5D"/>
    <w:rsid w:val="0022D03F"/>
    <w:rsid w:val="0023077A"/>
    <w:rsid w:val="00230C8F"/>
    <w:rsid w:val="00230F92"/>
    <w:rsid w:val="00232295"/>
    <w:rsid w:val="00232653"/>
    <w:rsid w:val="002328F1"/>
    <w:rsid w:val="00232C4D"/>
    <w:rsid w:val="00233A6F"/>
    <w:rsid w:val="002342A8"/>
    <w:rsid w:val="0023479E"/>
    <w:rsid w:val="00234907"/>
    <w:rsid w:val="00234CCB"/>
    <w:rsid w:val="00234D28"/>
    <w:rsid w:val="00235395"/>
    <w:rsid w:val="002355AA"/>
    <w:rsid w:val="002359AF"/>
    <w:rsid w:val="00235B77"/>
    <w:rsid w:val="00235DAD"/>
    <w:rsid w:val="0023651D"/>
    <w:rsid w:val="00236803"/>
    <w:rsid w:val="00237557"/>
    <w:rsid w:val="0024012C"/>
    <w:rsid w:val="0024046B"/>
    <w:rsid w:val="00240481"/>
    <w:rsid w:val="002413A2"/>
    <w:rsid w:val="002413C7"/>
    <w:rsid w:val="00241CE9"/>
    <w:rsid w:val="002420ED"/>
    <w:rsid w:val="0024233A"/>
    <w:rsid w:val="002424AB"/>
    <w:rsid w:val="0024328A"/>
    <w:rsid w:val="002432E5"/>
    <w:rsid w:val="00243601"/>
    <w:rsid w:val="002436DD"/>
    <w:rsid w:val="0024394C"/>
    <w:rsid w:val="00243D88"/>
    <w:rsid w:val="0024469B"/>
    <w:rsid w:val="00244AD9"/>
    <w:rsid w:val="002451F9"/>
    <w:rsid w:val="00245723"/>
    <w:rsid w:val="0024577B"/>
    <w:rsid w:val="00246514"/>
    <w:rsid w:val="002467D8"/>
    <w:rsid w:val="002468C4"/>
    <w:rsid w:val="00246DD6"/>
    <w:rsid w:val="00247027"/>
    <w:rsid w:val="00247F9C"/>
    <w:rsid w:val="002512D6"/>
    <w:rsid w:val="0025147B"/>
    <w:rsid w:val="002518FD"/>
    <w:rsid w:val="00251A91"/>
    <w:rsid w:val="00251C65"/>
    <w:rsid w:val="00252383"/>
    <w:rsid w:val="0025244F"/>
    <w:rsid w:val="0025260A"/>
    <w:rsid w:val="002527ED"/>
    <w:rsid w:val="00252ADD"/>
    <w:rsid w:val="00252B71"/>
    <w:rsid w:val="00253610"/>
    <w:rsid w:val="00253D78"/>
    <w:rsid w:val="0025462D"/>
    <w:rsid w:val="00254BEF"/>
    <w:rsid w:val="00255520"/>
    <w:rsid w:val="0025595A"/>
    <w:rsid w:val="00256468"/>
    <w:rsid w:val="002567C6"/>
    <w:rsid w:val="00257369"/>
    <w:rsid w:val="00257AC8"/>
    <w:rsid w:val="0026009D"/>
    <w:rsid w:val="00260FD0"/>
    <w:rsid w:val="00261110"/>
    <w:rsid w:val="00261901"/>
    <w:rsid w:val="002619C1"/>
    <w:rsid w:val="00261A07"/>
    <w:rsid w:val="002621C4"/>
    <w:rsid w:val="002626CD"/>
    <w:rsid w:val="00262AB7"/>
    <w:rsid w:val="00262ACD"/>
    <w:rsid w:val="00262D5A"/>
    <w:rsid w:val="00263073"/>
    <w:rsid w:val="002630DA"/>
    <w:rsid w:val="00263310"/>
    <w:rsid w:val="002634FF"/>
    <w:rsid w:val="00263906"/>
    <w:rsid w:val="00263A3B"/>
    <w:rsid w:val="00264183"/>
    <w:rsid w:val="002647EB"/>
    <w:rsid w:val="002648E0"/>
    <w:rsid w:val="00264F4E"/>
    <w:rsid w:val="002650AB"/>
    <w:rsid w:val="002653CB"/>
    <w:rsid w:val="00265582"/>
    <w:rsid w:val="00265C2F"/>
    <w:rsid w:val="00266037"/>
    <w:rsid w:val="002662E2"/>
    <w:rsid w:val="00266881"/>
    <w:rsid w:val="002676EC"/>
    <w:rsid w:val="00267BCF"/>
    <w:rsid w:val="00267C23"/>
    <w:rsid w:val="00267F33"/>
    <w:rsid w:val="00267FCF"/>
    <w:rsid w:val="002700FA"/>
    <w:rsid w:val="00270692"/>
    <w:rsid w:val="0027112C"/>
    <w:rsid w:val="002715A9"/>
    <w:rsid w:val="00271937"/>
    <w:rsid w:val="002723D5"/>
    <w:rsid w:val="00272B0F"/>
    <w:rsid w:val="00272BC8"/>
    <w:rsid w:val="00272FEE"/>
    <w:rsid w:val="00273C31"/>
    <w:rsid w:val="00273E26"/>
    <w:rsid w:val="002746A5"/>
    <w:rsid w:val="00274BEF"/>
    <w:rsid w:val="002750A7"/>
    <w:rsid w:val="002758D8"/>
    <w:rsid w:val="00275F30"/>
    <w:rsid w:val="00276D73"/>
    <w:rsid w:val="00276F6A"/>
    <w:rsid w:val="00277AA8"/>
    <w:rsid w:val="00277DFC"/>
    <w:rsid w:val="00277E5F"/>
    <w:rsid w:val="002812F3"/>
    <w:rsid w:val="00281A3D"/>
    <w:rsid w:val="00281B2B"/>
    <w:rsid w:val="00282098"/>
    <w:rsid w:val="00282661"/>
    <w:rsid w:val="00282BB1"/>
    <w:rsid w:val="00282E82"/>
    <w:rsid w:val="00283092"/>
    <w:rsid w:val="002836BC"/>
    <w:rsid w:val="002839FC"/>
    <w:rsid w:val="00283CC5"/>
    <w:rsid w:val="002842CB"/>
    <w:rsid w:val="0028453B"/>
    <w:rsid w:val="0028509C"/>
    <w:rsid w:val="00285BAF"/>
    <w:rsid w:val="00285E54"/>
    <w:rsid w:val="0028702A"/>
    <w:rsid w:val="002872B4"/>
    <w:rsid w:val="00287343"/>
    <w:rsid w:val="0028775C"/>
    <w:rsid w:val="00290032"/>
    <w:rsid w:val="0029004D"/>
    <w:rsid w:val="00290432"/>
    <w:rsid w:val="0029052D"/>
    <w:rsid w:val="002906D2"/>
    <w:rsid w:val="00290BAA"/>
    <w:rsid w:val="002913F0"/>
    <w:rsid w:val="00292777"/>
    <w:rsid w:val="00292FA6"/>
    <w:rsid w:val="00293468"/>
    <w:rsid w:val="00293642"/>
    <w:rsid w:val="0029390B"/>
    <w:rsid w:val="00293C0F"/>
    <w:rsid w:val="002945F5"/>
    <w:rsid w:val="002947F7"/>
    <w:rsid w:val="00294985"/>
    <w:rsid w:val="00294E12"/>
    <w:rsid w:val="00294F80"/>
    <w:rsid w:val="00295434"/>
    <w:rsid w:val="002956BD"/>
    <w:rsid w:val="00295CFB"/>
    <w:rsid w:val="00296ABA"/>
    <w:rsid w:val="0029725E"/>
    <w:rsid w:val="00297C94"/>
    <w:rsid w:val="00297F73"/>
    <w:rsid w:val="002A0189"/>
    <w:rsid w:val="002A04EF"/>
    <w:rsid w:val="002A086D"/>
    <w:rsid w:val="002A16B8"/>
    <w:rsid w:val="002A255A"/>
    <w:rsid w:val="002A262C"/>
    <w:rsid w:val="002A523B"/>
    <w:rsid w:val="002A571D"/>
    <w:rsid w:val="002A657B"/>
    <w:rsid w:val="002A7086"/>
    <w:rsid w:val="002A7480"/>
    <w:rsid w:val="002A763B"/>
    <w:rsid w:val="002A7877"/>
    <w:rsid w:val="002A794E"/>
    <w:rsid w:val="002A7B9D"/>
    <w:rsid w:val="002A7BFD"/>
    <w:rsid w:val="002A7C99"/>
    <w:rsid w:val="002A90E8"/>
    <w:rsid w:val="002B02BE"/>
    <w:rsid w:val="002B0C4B"/>
    <w:rsid w:val="002B1CCD"/>
    <w:rsid w:val="002B2006"/>
    <w:rsid w:val="002B256F"/>
    <w:rsid w:val="002B266E"/>
    <w:rsid w:val="002B29E6"/>
    <w:rsid w:val="002B346E"/>
    <w:rsid w:val="002B36D2"/>
    <w:rsid w:val="002B3DC2"/>
    <w:rsid w:val="002B41BB"/>
    <w:rsid w:val="002B4C7D"/>
    <w:rsid w:val="002B4F22"/>
    <w:rsid w:val="002B56C4"/>
    <w:rsid w:val="002B6134"/>
    <w:rsid w:val="002B61E4"/>
    <w:rsid w:val="002B65CA"/>
    <w:rsid w:val="002B69ED"/>
    <w:rsid w:val="002B6EF9"/>
    <w:rsid w:val="002B710F"/>
    <w:rsid w:val="002B7157"/>
    <w:rsid w:val="002B73A9"/>
    <w:rsid w:val="002B7479"/>
    <w:rsid w:val="002B759D"/>
    <w:rsid w:val="002B7677"/>
    <w:rsid w:val="002B76CE"/>
    <w:rsid w:val="002B785B"/>
    <w:rsid w:val="002C02C8"/>
    <w:rsid w:val="002C137B"/>
    <w:rsid w:val="002C1C7E"/>
    <w:rsid w:val="002C2007"/>
    <w:rsid w:val="002C20A8"/>
    <w:rsid w:val="002C20D5"/>
    <w:rsid w:val="002C2182"/>
    <w:rsid w:val="002C26C0"/>
    <w:rsid w:val="002C2CF6"/>
    <w:rsid w:val="002C3114"/>
    <w:rsid w:val="002C3164"/>
    <w:rsid w:val="002C3334"/>
    <w:rsid w:val="002C433A"/>
    <w:rsid w:val="002C4363"/>
    <w:rsid w:val="002C44F1"/>
    <w:rsid w:val="002C47E6"/>
    <w:rsid w:val="002C4AAA"/>
    <w:rsid w:val="002C4D95"/>
    <w:rsid w:val="002C4FC4"/>
    <w:rsid w:val="002C52FD"/>
    <w:rsid w:val="002C5632"/>
    <w:rsid w:val="002C589F"/>
    <w:rsid w:val="002C6CB5"/>
    <w:rsid w:val="002C6D51"/>
    <w:rsid w:val="002C6DB8"/>
    <w:rsid w:val="002C6FFE"/>
    <w:rsid w:val="002C70B3"/>
    <w:rsid w:val="002C757D"/>
    <w:rsid w:val="002D0A84"/>
    <w:rsid w:val="002D0B5F"/>
    <w:rsid w:val="002D0C9B"/>
    <w:rsid w:val="002D0CF4"/>
    <w:rsid w:val="002D0F26"/>
    <w:rsid w:val="002D0FBD"/>
    <w:rsid w:val="002D1A77"/>
    <w:rsid w:val="002D2648"/>
    <w:rsid w:val="002D2689"/>
    <w:rsid w:val="002D292B"/>
    <w:rsid w:val="002D2F69"/>
    <w:rsid w:val="002D3306"/>
    <w:rsid w:val="002D3307"/>
    <w:rsid w:val="002D35AD"/>
    <w:rsid w:val="002D41D6"/>
    <w:rsid w:val="002D45BE"/>
    <w:rsid w:val="002D4660"/>
    <w:rsid w:val="002D4BC3"/>
    <w:rsid w:val="002D502B"/>
    <w:rsid w:val="002D527A"/>
    <w:rsid w:val="002D5326"/>
    <w:rsid w:val="002D561A"/>
    <w:rsid w:val="002D5AB1"/>
    <w:rsid w:val="002D5D1E"/>
    <w:rsid w:val="002D60A2"/>
    <w:rsid w:val="002D61F4"/>
    <w:rsid w:val="002D7484"/>
    <w:rsid w:val="002D7516"/>
    <w:rsid w:val="002D78A2"/>
    <w:rsid w:val="002D7C77"/>
    <w:rsid w:val="002D7E40"/>
    <w:rsid w:val="002E02DB"/>
    <w:rsid w:val="002E0512"/>
    <w:rsid w:val="002E0A98"/>
    <w:rsid w:val="002E0F24"/>
    <w:rsid w:val="002E229C"/>
    <w:rsid w:val="002E2DB2"/>
    <w:rsid w:val="002E2EC0"/>
    <w:rsid w:val="002E317C"/>
    <w:rsid w:val="002E4357"/>
    <w:rsid w:val="002E4992"/>
    <w:rsid w:val="002E4A16"/>
    <w:rsid w:val="002E4CDD"/>
    <w:rsid w:val="002E5CDC"/>
    <w:rsid w:val="002E5EF2"/>
    <w:rsid w:val="002E6903"/>
    <w:rsid w:val="002E7465"/>
    <w:rsid w:val="002E7481"/>
    <w:rsid w:val="002E7C64"/>
    <w:rsid w:val="002E7EC3"/>
    <w:rsid w:val="002E7F00"/>
    <w:rsid w:val="002F074E"/>
    <w:rsid w:val="002F082D"/>
    <w:rsid w:val="002F0955"/>
    <w:rsid w:val="002F0C9A"/>
    <w:rsid w:val="002F0EC2"/>
    <w:rsid w:val="002F1147"/>
    <w:rsid w:val="002F136E"/>
    <w:rsid w:val="002F15D9"/>
    <w:rsid w:val="002F1908"/>
    <w:rsid w:val="002F1E24"/>
    <w:rsid w:val="002F1EAD"/>
    <w:rsid w:val="002F2264"/>
    <w:rsid w:val="002F24ED"/>
    <w:rsid w:val="002F33E1"/>
    <w:rsid w:val="002F37EE"/>
    <w:rsid w:val="002F3B7E"/>
    <w:rsid w:val="002F3DBF"/>
    <w:rsid w:val="002F3E12"/>
    <w:rsid w:val="002F3FE9"/>
    <w:rsid w:val="002F3FF3"/>
    <w:rsid w:val="002F489A"/>
    <w:rsid w:val="002F4BF0"/>
    <w:rsid w:val="002F4C58"/>
    <w:rsid w:val="002F4EF3"/>
    <w:rsid w:val="002F594D"/>
    <w:rsid w:val="002F5DAA"/>
    <w:rsid w:val="002F6482"/>
    <w:rsid w:val="002F698A"/>
    <w:rsid w:val="002F69F7"/>
    <w:rsid w:val="002F6B03"/>
    <w:rsid w:val="002F6D09"/>
    <w:rsid w:val="002F6D6D"/>
    <w:rsid w:val="002F74B3"/>
    <w:rsid w:val="002F7F55"/>
    <w:rsid w:val="002F7F63"/>
    <w:rsid w:val="0030089F"/>
    <w:rsid w:val="00300A7A"/>
    <w:rsid w:val="00300DBC"/>
    <w:rsid w:val="00301A95"/>
    <w:rsid w:val="00301DC9"/>
    <w:rsid w:val="00302432"/>
    <w:rsid w:val="00302FA4"/>
    <w:rsid w:val="0030308D"/>
    <w:rsid w:val="0030364E"/>
    <w:rsid w:val="0030466B"/>
    <w:rsid w:val="00306440"/>
    <w:rsid w:val="003066F6"/>
    <w:rsid w:val="00306EE5"/>
    <w:rsid w:val="0030754D"/>
    <w:rsid w:val="0030792F"/>
    <w:rsid w:val="00307BEC"/>
    <w:rsid w:val="00307F76"/>
    <w:rsid w:val="00310040"/>
    <w:rsid w:val="00310151"/>
    <w:rsid w:val="00310799"/>
    <w:rsid w:val="00310950"/>
    <w:rsid w:val="00310D58"/>
    <w:rsid w:val="00311513"/>
    <w:rsid w:val="00311BC4"/>
    <w:rsid w:val="00311DB8"/>
    <w:rsid w:val="003121FC"/>
    <w:rsid w:val="0031320F"/>
    <w:rsid w:val="003135F9"/>
    <w:rsid w:val="003138C6"/>
    <w:rsid w:val="00313DC7"/>
    <w:rsid w:val="00314FDA"/>
    <w:rsid w:val="00315031"/>
    <w:rsid w:val="0031577D"/>
    <w:rsid w:val="00315BAF"/>
    <w:rsid w:val="00315F26"/>
    <w:rsid w:val="00316105"/>
    <w:rsid w:val="00316158"/>
    <w:rsid w:val="003167DD"/>
    <w:rsid w:val="00316EB7"/>
    <w:rsid w:val="00316F17"/>
    <w:rsid w:val="003172E6"/>
    <w:rsid w:val="0031742E"/>
    <w:rsid w:val="003203F5"/>
    <w:rsid w:val="00320468"/>
    <w:rsid w:val="003209E7"/>
    <w:rsid w:val="00320A73"/>
    <w:rsid w:val="00321474"/>
    <w:rsid w:val="00321A22"/>
    <w:rsid w:val="00321BAD"/>
    <w:rsid w:val="00321BCC"/>
    <w:rsid w:val="003238B2"/>
    <w:rsid w:val="0032390B"/>
    <w:rsid w:val="003239C0"/>
    <w:rsid w:val="00323B65"/>
    <w:rsid w:val="00324151"/>
    <w:rsid w:val="003245DD"/>
    <w:rsid w:val="00324600"/>
    <w:rsid w:val="00324B43"/>
    <w:rsid w:val="0032552D"/>
    <w:rsid w:val="003275E7"/>
    <w:rsid w:val="00327BBF"/>
    <w:rsid w:val="00327D09"/>
    <w:rsid w:val="00327D49"/>
    <w:rsid w:val="00327F8C"/>
    <w:rsid w:val="00330593"/>
    <w:rsid w:val="00330618"/>
    <w:rsid w:val="0033098B"/>
    <w:rsid w:val="00330F73"/>
    <w:rsid w:val="003312B8"/>
    <w:rsid w:val="00331C51"/>
    <w:rsid w:val="0033209B"/>
    <w:rsid w:val="00332120"/>
    <w:rsid w:val="00332DA5"/>
    <w:rsid w:val="003339A7"/>
    <w:rsid w:val="00333C43"/>
    <w:rsid w:val="00333DA5"/>
    <w:rsid w:val="00333E09"/>
    <w:rsid w:val="00333F33"/>
    <w:rsid w:val="00334082"/>
    <w:rsid w:val="00334326"/>
    <w:rsid w:val="0033491F"/>
    <w:rsid w:val="00334BD4"/>
    <w:rsid w:val="00334C48"/>
    <w:rsid w:val="00334F1B"/>
    <w:rsid w:val="00334F8E"/>
    <w:rsid w:val="00335456"/>
    <w:rsid w:val="00335519"/>
    <w:rsid w:val="0033558D"/>
    <w:rsid w:val="003363E0"/>
    <w:rsid w:val="0033702F"/>
    <w:rsid w:val="00337642"/>
    <w:rsid w:val="0033781E"/>
    <w:rsid w:val="003401CF"/>
    <w:rsid w:val="00340413"/>
    <w:rsid w:val="00340D89"/>
    <w:rsid w:val="00341139"/>
    <w:rsid w:val="00341F21"/>
    <w:rsid w:val="00342833"/>
    <w:rsid w:val="00343171"/>
    <w:rsid w:val="003437EA"/>
    <w:rsid w:val="0034457F"/>
    <w:rsid w:val="0034473D"/>
    <w:rsid w:val="003450FF"/>
    <w:rsid w:val="003455EB"/>
    <w:rsid w:val="003456AC"/>
    <w:rsid w:val="0034572D"/>
    <w:rsid w:val="00345945"/>
    <w:rsid w:val="00345B3A"/>
    <w:rsid w:val="00345E3A"/>
    <w:rsid w:val="00345FEB"/>
    <w:rsid w:val="00346850"/>
    <w:rsid w:val="0034716C"/>
    <w:rsid w:val="0034746B"/>
    <w:rsid w:val="00347A69"/>
    <w:rsid w:val="0035003C"/>
    <w:rsid w:val="0035052C"/>
    <w:rsid w:val="0035087A"/>
    <w:rsid w:val="00350A57"/>
    <w:rsid w:val="00351926"/>
    <w:rsid w:val="00351FAA"/>
    <w:rsid w:val="00352038"/>
    <w:rsid w:val="00352102"/>
    <w:rsid w:val="00352250"/>
    <w:rsid w:val="00352639"/>
    <w:rsid w:val="003526CD"/>
    <w:rsid w:val="00352F38"/>
    <w:rsid w:val="003533B4"/>
    <w:rsid w:val="0035380E"/>
    <w:rsid w:val="00353CC0"/>
    <w:rsid w:val="0035423F"/>
    <w:rsid w:val="003542EA"/>
    <w:rsid w:val="003545B3"/>
    <w:rsid w:val="00354C1F"/>
    <w:rsid w:val="003551DF"/>
    <w:rsid w:val="00355209"/>
    <w:rsid w:val="00355A0A"/>
    <w:rsid w:val="00355C22"/>
    <w:rsid w:val="00355EEE"/>
    <w:rsid w:val="00356388"/>
    <w:rsid w:val="00356CCD"/>
    <w:rsid w:val="00357288"/>
    <w:rsid w:val="0035770A"/>
    <w:rsid w:val="00360794"/>
    <w:rsid w:val="00361029"/>
    <w:rsid w:val="00361F79"/>
    <w:rsid w:val="00361FC6"/>
    <w:rsid w:val="0036295C"/>
    <w:rsid w:val="00362D71"/>
    <w:rsid w:val="00363B9E"/>
    <w:rsid w:val="00363FF1"/>
    <w:rsid w:val="00364071"/>
    <w:rsid w:val="0036498B"/>
    <w:rsid w:val="0036510C"/>
    <w:rsid w:val="00365296"/>
    <w:rsid w:val="0036563B"/>
    <w:rsid w:val="00365719"/>
    <w:rsid w:val="0036571C"/>
    <w:rsid w:val="00366638"/>
    <w:rsid w:val="00366C46"/>
    <w:rsid w:val="003670C7"/>
    <w:rsid w:val="00367577"/>
    <w:rsid w:val="0036770C"/>
    <w:rsid w:val="003677E3"/>
    <w:rsid w:val="0036788C"/>
    <w:rsid w:val="00367D0C"/>
    <w:rsid w:val="00371205"/>
    <w:rsid w:val="00371D36"/>
    <w:rsid w:val="00372073"/>
    <w:rsid w:val="00372F81"/>
    <w:rsid w:val="00372FA0"/>
    <w:rsid w:val="003732B0"/>
    <w:rsid w:val="00373469"/>
    <w:rsid w:val="00373F75"/>
    <w:rsid w:val="0037436D"/>
    <w:rsid w:val="003744A5"/>
    <w:rsid w:val="00374AED"/>
    <w:rsid w:val="00374BCC"/>
    <w:rsid w:val="00374EE2"/>
    <w:rsid w:val="003751F8"/>
    <w:rsid w:val="00375B31"/>
    <w:rsid w:val="00376084"/>
    <w:rsid w:val="003762D4"/>
    <w:rsid w:val="00376ADE"/>
    <w:rsid w:val="003772E9"/>
    <w:rsid w:val="0037744B"/>
    <w:rsid w:val="003775E3"/>
    <w:rsid w:val="00377735"/>
    <w:rsid w:val="00377897"/>
    <w:rsid w:val="00377C96"/>
    <w:rsid w:val="00377D3F"/>
    <w:rsid w:val="0038064A"/>
    <w:rsid w:val="00380C06"/>
    <w:rsid w:val="00380D03"/>
    <w:rsid w:val="00380DDA"/>
    <w:rsid w:val="00381031"/>
    <w:rsid w:val="00381082"/>
    <w:rsid w:val="003814EC"/>
    <w:rsid w:val="003816DD"/>
    <w:rsid w:val="00383269"/>
    <w:rsid w:val="00384931"/>
    <w:rsid w:val="003852B4"/>
    <w:rsid w:val="003852DA"/>
    <w:rsid w:val="00386897"/>
    <w:rsid w:val="00386F28"/>
    <w:rsid w:val="00387571"/>
    <w:rsid w:val="00387CAF"/>
    <w:rsid w:val="00387D0D"/>
    <w:rsid w:val="00390281"/>
    <w:rsid w:val="003908F8"/>
    <w:rsid w:val="0039172A"/>
    <w:rsid w:val="00391D46"/>
    <w:rsid w:val="00391D53"/>
    <w:rsid w:val="0039221C"/>
    <w:rsid w:val="0039300B"/>
    <w:rsid w:val="00393137"/>
    <w:rsid w:val="00393B65"/>
    <w:rsid w:val="00393C68"/>
    <w:rsid w:val="003943E8"/>
    <w:rsid w:val="00394558"/>
    <w:rsid w:val="00394A8C"/>
    <w:rsid w:val="00394AFD"/>
    <w:rsid w:val="00394FE4"/>
    <w:rsid w:val="00395763"/>
    <w:rsid w:val="003957BF"/>
    <w:rsid w:val="003961EB"/>
    <w:rsid w:val="00396571"/>
    <w:rsid w:val="00396879"/>
    <w:rsid w:val="00396CB6"/>
    <w:rsid w:val="00396DC8"/>
    <w:rsid w:val="00397665"/>
    <w:rsid w:val="00397F98"/>
    <w:rsid w:val="003A0522"/>
    <w:rsid w:val="003A0D06"/>
    <w:rsid w:val="003A1D25"/>
    <w:rsid w:val="003A1DF4"/>
    <w:rsid w:val="003A227E"/>
    <w:rsid w:val="003A2710"/>
    <w:rsid w:val="003A3312"/>
    <w:rsid w:val="003A3674"/>
    <w:rsid w:val="003A51E2"/>
    <w:rsid w:val="003A523F"/>
    <w:rsid w:val="003A5391"/>
    <w:rsid w:val="003A5B3F"/>
    <w:rsid w:val="003A5DD6"/>
    <w:rsid w:val="003A635A"/>
    <w:rsid w:val="003A6D06"/>
    <w:rsid w:val="003A6E00"/>
    <w:rsid w:val="003A6F34"/>
    <w:rsid w:val="003A72EF"/>
    <w:rsid w:val="003A7708"/>
    <w:rsid w:val="003A7806"/>
    <w:rsid w:val="003A7C76"/>
    <w:rsid w:val="003A7D25"/>
    <w:rsid w:val="003A7F61"/>
    <w:rsid w:val="003B027D"/>
    <w:rsid w:val="003B0565"/>
    <w:rsid w:val="003B0CF1"/>
    <w:rsid w:val="003B0D8C"/>
    <w:rsid w:val="003B0EFA"/>
    <w:rsid w:val="003B12EB"/>
    <w:rsid w:val="003B175C"/>
    <w:rsid w:val="003B1A24"/>
    <w:rsid w:val="003B1D09"/>
    <w:rsid w:val="003B1D89"/>
    <w:rsid w:val="003B1D99"/>
    <w:rsid w:val="003B2523"/>
    <w:rsid w:val="003B2C07"/>
    <w:rsid w:val="003B2D39"/>
    <w:rsid w:val="003B3287"/>
    <w:rsid w:val="003B3319"/>
    <w:rsid w:val="003B4720"/>
    <w:rsid w:val="003B4AB4"/>
    <w:rsid w:val="003B593A"/>
    <w:rsid w:val="003B5B3E"/>
    <w:rsid w:val="003B6E1E"/>
    <w:rsid w:val="003B7C2C"/>
    <w:rsid w:val="003B7E95"/>
    <w:rsid w:val="003C0850"/>
    <w:rsid w:val="003C105B"/>
    <w:rsid w:val="003C12BB"/>
    <w:rsid w:val="003C1D4E"/>
    <w:rsid w:val="003C2312"/>
    <w:rsid w:val="003C2A9D"/>
    <w:rsid w:val="003C2DD7"/>
    <w:rsid w:val="003C40CB"/>
    <w:rsid w:val="003C5093"/>
    <w:rsid w:val="003C5544"/>
    <w:rsid w:val="003C5B74"/>
    <w:rsid w:val="003C5D2D"/>
    <w:rsid w:val="003C673A"/>
    <w:rsid w:val="003C6A4B"/>
    <w:rsid w:val="003C6BFE"/>
    <w:rsid w:val="003C6F5B"/>
    <w:rsid w:val="003C7373"/>
    <w:rsid w:val="003D00CB"/>
    <w:rsid w:val="003D045C"/>
    <w:rsid w:val="003D07F0"/>
    <w:rsid w:val="003D089E"/>
    <w:rsid w:val="003D14CF"/>
    <w:rsid w:val="003D1865"/>
    <w:rsid w:val="003D18C4"/>
    <w:rsid w:val="003D192A"/>
    <w:rsid w:val="003D1C75"/>
    <w:rsid w:val="003D1D01"/>
    <w:rsid w:val="003D1FCD"/>
    <w:rsid w:val="003D2399"/>
    <w:rsid w:val="003D2819"/>
    <w:rsid w:val="003D2C30"/>
    <w:rsid w:val="003D2C3E"/>
    <w:rsid w:val="003D331F"/>
    <w:rsid w:val="003D35D9"/>
    <w:rsid w:val="003D361F"/>
    <w:rsid w:val="003D4589"/>
    <w:rsid w:val="003D4838"/>
    <w:rsid w:val="003D4865"/>
    <w:rsid w:val="003D487E"/>
    <w:rsid w:val="003D4CEA"/>
    <w:rsid w:val="003D6210"/>
    <w:rsid w:val="003D6928"/>
    <w:rsid w:val="003D6AE4"/>
    <w:rsid w:val="003D6F6A"/>
    <w:rsid w:val="003D7585"/>
    <w:rsid w:val="003D77E3"/>
    <w:rsid w:val="003D78C4"/>
    <w:rsid w:val="003D7A2D"/>
    <w:rsid w:val="003D7AB3"/>
    <w:rsid w:val="003D7C0D"/>
    <w:rsid w:val="003E01B4"/>
    <w:rsid w:val="003E07BE"/>
    <w:rsid w:val="003E0AD5"/>
    <w:rsid w:val="003E16F2"/>
    <w:rsid w:val="003E1B11"/>
    <w:rsid w:val="003E1FCC"/>
    <w:rsid w:val="003E28C8"/>
    <w:rsid w:val="003E2ADB"/>
    <w:rsid w:val="003E3442"/>
    <w:rsid w:val="003E394D"/>
    <w:rsid w:val="003E4109"/>
    <w:rsid w:val="003E4115"/>
    <w:rsid w:val="003E411B"/>
    <w:rsid w:val="003E4300"/>
    <w:rsid w:val="003E50E4"/>
    <w:rsid w:val="003E551A"/>
    <w:rsid w:val="003E5B36"/>
    <w:rsid w:val="003E5DAB"/>
    <w:rsid w:val="003E5E48"/>
    <w:rsid w:val="003E64D8"/>
    <w:rsid w:val="003E6A35"/>
    <w:rsid w:val="003E6A64"/>
    <w:rsid w:val="003E6BA5"/>
    <w:rsid w:val="003E6CB7"/>
    <w:rsid w:val="003E6E60"/>
    <w:rsid w:val="003E6E76"/>
    <w:rsid w:val="003E7C41"/>
    <w:rsid w:val="003E7CD4"/>
    <w:rsid w:val="003E7E00"/>
    <w:rsid w:val="003F0005"/>
    <w:rsid w:val="003F01B8"/>
    <w:rsid w:val="003F02C9"/>
    <w:rsid w:val="003F09CA"/>
    <w:rsid w:val="003F0E7E"/>
    <w:rsid w:val="003F191F"/>
    <w:rsid w:val="003F27D3"/>
    <w:rsid w:val="003F2BB3"/>
    <w:rsid w:val="003F2ED8"/>
    <w:rsid w:val="003F3658"/>
    <w:rsid w:val="003F4132"/>
    <w:rsid w:val="003F453A"/>
    <w:rsid w:val="003F48BC"/>
    <w:rsid w:val="003F4BCB"/>
    <w:rsid w:val="003F504F"/>
    <w:rsid w:val="003F6181"/>
    <w:rsid w:val="003F61AE"/>
    <w:rsid w:val="003F6385"/>
    <w:rsid w:val="003F6565"/>
    <w:rsid w:val="003F690E"/>
    <w:rsid w:val="003F6C58"/>
    <w:rsid w:val="003F6D5D"/>
    <w:rsid w:val="003F7BFC"/>
    <w:rsid w:val="0040070C"/>
    <w:rsid w:val="00400EF2"/>
    <w:rsid w:val="00402169"/>
    <w:rsid w:val="004030A4"/>
    <w:rsid w:val="004032CF"/>
    <w:rsid w:val="00403840"/>
    <w:rsid w:val="00404447"/>
    <w:rsid w:val="00404792"/>
    <w:rsid w:val="00404D52"/>
    <w:rsid w:val="00404FE7"/>
    <w:rsid w:val="00405359"/>
    <w:rsid w:val="00405456"/>
    <w:rsid w:val="004058BF"/>
    <w:rsid w:val="00405A7F"/>
    <w:rsid w:val="0040662E"/>
    <w:rsid w:val="00406C47"/>
    <w:rsid w:val="004077F8"/>
    <w:rsid w:val="00407875"/>
    <w:rsid w:val="00407D34"/>
    <w:rsid w:val="0041045F"/>
    <w:rsid w:val="0041082D"/>
    <w:rsid w:val="00410A33"/>
    <w:rsid w:val="00410E9A"/>
    <w:rsid w:val="0041101C"/>
    <w:rsid w:val="00411441"/>
    <w:rsid w:val="0041163D"/>
    <w:rsid w:val="00411BD0"/>
    <w:rsid w:val="00411F2B"/>
    <w:rsid w:val="00412C5B"/>
    <w:rsid w:val="00412FA3"/>
    <w:rsid w:val="004144BC"/>
    <w:rsid w:val="00414765"/>
    <w:rsid w:val="00414FF5"/>
    <w:rsid w:val="0041543D"/>
    <w:rsid w:val="00415B37"/>
    <w:rsid w:val="00416094"/>
    <w:rsid w:val="00416709"/>
    <w:rsid w:val="00416773"/>
    <w:rsid w:val="00416A1C"/>
    <w:rsid w:val="00416ABF"/>
    <w:rsid w:val="00417086"/>
    <w:rsid w:val="004174D1"/>
    <w:rsid w:val="0041771F"/>
    <w:rsid w:val="00417BC6"/>
    <w:rsid w:val="00417D52"/>
    <w:rsid w:val="00417DBF"/>
    <w:rsid w:val="00420196"/>
    <w:rsid w:val="004204AB"/>
    <w:rsid w:val="004205F0"/>
    <w:rsid w:val="00420B05"/>
    <w:rsid w:val="00420CB1"/>
    <w:rsid w:val="004211AC"/>
    <w:rsid w:val="00422D7D"/>
    <w:rsid w:val="004230DA"/>
    <w:rsid w:val="00423137"/>
    <w:rsid w:val="00423350"/>
    <w:rsid w:val="0042382F"/>
    <w:rsid w:val="00423BD3"/>
    <w:rsid w:val="00424053"/>
    <w:rsid w:val="00424356"/>
    <w:rsid w:val="00424455"/>
    <w:rsid w:val="004247C3"/>
    <w:rsid w:val="00424AC2"/>
    <w:rsid w:val="00424FA7"/>
    <w:rsid w:val="0042552D"/>
    <w:rsid w:val="0042555E"/>
    <w:rsid w:val="00425F99"/>
    <w:rsid w:val="004262DA"/>
    <w:rsid w:val="0042639D"/>
    <w:rsid w:val="00426C93"/>
    <w:rsid w:val="00426D56"/>
    <w:rsid w:val="004275E9"/>
    <w:rsid w:val="0042E2ED"/>
    <w:rsid w:val="00430BC3"/>
    <w:rsid w:val="00430FB7"/>
    <w:rsid w:val="00431026"/>
    <w:rsid w:val="00431807"/>
    <w:rsid w:val="00432216"/>
    <w:rsid w:val="00432373"/>
    <w:rsid w:val="00432469"/>
    <w:rsid w:val="00432668"/>
    <w:rsid w:val="004334B7"/>
    <w:rsid w:val="00433D4D"/>
    <w:rsid w:val="00434BF1"/>
    <w:rsid w:val="004356A2"/>
    <w:rsid w:val="00435C88"/>
    <w:rsid w:val="00435F49"/>
    <w:rsid w:val="00436B33"/>
    <w:rsid w:val="00436D29"/>
    <w:rsid w:val="0043728A"/>
    <w:rsid w:val="00437440"/>
    <w:rsid w:val="00437B69"/>
    <w:rsid w:val="00437C85"/>
    <w:rsid w:val="00440B5E"/>
    <w:rsid w:val="00440E65"/>
    <w:rsid w:val="0044113C"/>
    <w:rsid w:val="004417F2"/>
    <w:rsid w:val="00441A4B"/>
    <w:rsid w:val="00441EEC"/>
    <w:rsid w:val="0044243F"/>
    <w:rsid w:val="004424EB"/>
    <w:rsid w:val="00442752"/>
    <w:rsid w:val="00443303"/>
    <w:rsid w:val="00443994"/>
    <w:rsid w:val="00445089"/>
    <w:rsid w:val="0044537E"/>
    <w:rsid w:val="00445DBA"/>
    <w:rsid w:val="00446268"/>
    <w:rsid w:val="0044667A"/>
    <w:rsid w:val="00446FB3"/>
    <w:rsid w:val="004502D9"/>
    <w:rsid w:val="00452265"/>
    <w:rsid w:val="004529B3"/>
    <w:rsid w:val="00452BB8"/>
    <w:rsid w:val="004533F5"/>
    <w:rsid w:val="00453683"/>
    <w:rsid w:val="00453F2A"/>
    <w:rsid w:val="00454004"/>
    <w:rsid w:val="0045475E"/>
    <w:rsid w:val="00454F6F"/>
    <w:rsid w:val="00455002"/>
    <w:rsid w:val="0045509E"/>
    <w:rsid w:val="00455B78"/>
    <w:rsid w:val="00455C52"/>
    <w:rsid w:val="00455DF0"/>
    <w:rsid w:val="0045617E"/>
    <w:rsid w:val="00456372"/>
    <w:rsid w:val="004563C2"/>
    <w:rsid w:val="00456761"/>
    <w:rsid w:val="00456A2D"/>
    <w:rsid w:val="0045746A"/>
    <w:rsid w:val="0046005B"/>
    <w:rsid w:val="004600CE"/>
    <w:rsid w:val="00460412"/>
    <w:rsid w:val="00460582"/>
    <w:rsid w:val="00460896"/>
    <w:rsid w:val="004608C7"/>
    <w:rsid w:val="00460E83"/>
    <w:rsid w:val="00460E8D"/>
    <w:rsid w:val="00460E98"/>
    <w:rsid w:val="004612E9"/>
    <w:rsid w:val="004615E9"/>
    <w:rsid w:val="0046179D"/>
    <w:rsid w:val="00461D33"/>
    <w:rsid w:val="00461E87"/>
    <w:rsid w:val="00462AD4"/>
    <w:rsid w:val="00463647"/>
    <w:rsid w:val="00463768"/>
    <w:rsid w:val="0046396C"/>
    <w:rsid w:val="00463F22"/>
    <w:rsid w:val="00463FB7"/>
    <w:rsid w:val="0046413B"/>
    <w:rsid w:val="00464325"/>
    <w:rsid w:val="004650DF"/>
    <w:rsid w:val="004659EA"/>
    <w:rsid w:val="00465BED"/>
    <w:rsid w:val="00466891"/>
    <w:rsid w:val="0046693C"/>
    <w:rsid w:val="0046711A"/>
    <w:rsid w:val="00467514"/>
    <w:rsid w:val="0047008F"/>
    <w:rsid w:val="004704BB"/>
    <w:rsid w:val="00470525"/>
    <w:rsid w:val="00470829"/>
    <w:rsid w:val="00470F4D"/>
    <w:rsid w:val="004712A6"/>
    <w:rsid w:val="0047151D"/>
    <w:rsid w:val="00471B21"/>
    <w:rsid w:val="004726E6"/>
    <w:rsid w:val="00472AAB"/>
    <w:rsid w:val="00472C05"/>
    <w:rsid w:val="00472E60"/>
    <w:rsid w:val="00473534"/>
    <w:rsid w:val="00473E02"/>
    <w:rsid w:val="0047436D"/>
    <w:rsid w:val="004747EB"/>
    <w:rsid w:val="0047494A"/>
    <w:rsid w:val="004749D2"/>
    <w:rsid w:val="004753F0"/>
    <w:rsid w:val="0047575E"/>
    <w:rsid w:val="004761F4"/>
    <w:rsid w:val="004762EA"/>
    <w:rsid w:val="00477256"/>
    <w:rsid w:val="004807EC"/>
    <w:rsid w:val="004810CB"/>
    <w:rsid w:val="00481436"/>
    <w:rsid w:val="00482238"/>
    <w:rsid w:val="004822E8"/>
    <w:rsid w:val="00482C52"/>
    <w:rsid w:val="00482E52"/>
    <w:rsid w:val="004830E9"/>
    <w:rsid w:val="004846AD"/>
    <w:rsid w:val="004854FF"/>
    <w:rsid w:val="004857A9"/>
    <w:rsid w:val="00486E8E"/>
    <w:rsid w:val="00487155"/>
    <w:rsid w:val="00487156"/>
    <w:rsid w:val="00487371"/>
    <w:rsid w:val="0048757F"/>
    <w:rsid w:val="0048788B"/>
    <w:rsid w:val="0048C9DC"/>
    <w:rsid w:val="004900F2"/>
    <w:rsid w:val="0049044F"/>
    <w:rsid w:val="004908FE"/>
    <w:rsid w:val="00491386"/>
    <w:rsid w:val="004919DF"/>
    <w:rsid w:val="00491D9C"/>
    <w:rsid w:val="00491FCE"/>
    <w:rsid w:val="0049263A"/>
    <w:rsid w:val="00492807"/>
    <w:rsid w:val="00492938"/>
    <w:rsid w:val="0049334F"/>
    <w:rsid w:val="004933E6"/>
    <w:rsid w:val="004936F0"/>
    <w:rsid w:val="004945C9"/>
    <w:rsid w:val="00494620"/>
    <w:rsid w:val="004946BA"/>
    <w:rsid w:val="0049475E"/>
    <w:rsid w:val="004948FF"/>
    <w:rsid w:val="0049539E"/>
    <w:rsid w:val="0049542E"/>
    <w:rsid w:val="00496114"/>
    <w:rsid w:val="0049616F"/>
    <w:rsid w:val="004967D2"/>
    <w:rsid w:val="004968BF"/>
    <w:rsid w:val="004968C8"/>
    <w:rsid w:val="00496A1A"/>
    <w:rsid w:val="0049746F"/>
    <w:rsid w:val="004A0A6F"/>
    <w:rsid w:val="004A0BA5"/>
    <w:rsid w:val="004A0FB1"/>
    <w:rsid w:val="004A146F"/>
    <w:rsid w:val="004A1597"/>
    <w:rsid w:val="004A1CC6"/>
    <w:rsid w:val="004A1E3A"/>
    <w:rsid w:val="004A21E3"/>
    <w:rsid w:val="004A4148"/>
    <w:rsid w:val="004A437F"/>
    <w:rsid w:val="004A4A6A"/>
    <w:rsid w:val="004A4AE4"/>
    <w:rsid w:val="004A5414"/>
    <w:rsid w:val="004A54DC"/>
    <w:rsid w:val="004A564A"/>
    <w:rsid w:val="004A593C"/>
    <w:rsid w:val="004A5B3B"/>
    <w:rsid w:val="004A5D8B"/>
    <w:rsid w:val="004A6276"/>
    <w:rsid w:val="004A6411"/>
    <w:rsid w:val="004A6592"/>
    <w:rsid w:val="004A6B47"/>
    <w:rsid w:val="004A6EF3"/>
    <w:rsid w:val="004A70A6"/>
    <w:rsid w:val="004A7303"/>
    <w:rsid w:val="004A775C"/>
    <w:rsid w:val="004B0162"/>
    <w:rsid w:val="004B08AA"/>
    <w:rsid w:val="004B0D4A"/>
    <w:rsid w:val="004B1005"/>
    <w:rsid w:val="004B139F"/>
    <w:rsid w:val="004B1A0C"/>
    <w:rsid w:val="004B1A58"/>
    <w:rsid w:val="004B1B22"/>
    <w:rsid w:val="004B1D34"/>
    <w:rsid w:val="004B2007"/>
    <w:rsid w:val="004B2122"/>
    <w:rsid w:val="004B2194"/>
    <w:rsid w:val="004B276C"/>
    <w:rsid w:val="004B2A8C"/>
    <w:rsid w:val="004B2CB4"/>
    <w:rsid w:val="004B2FA1"/>
    <w:rsid w:val="004B3037"/>
    <w:rsid w:val="004B3119"/>
    <w:rsid w:val="004B3570"/>
    <w:rsid w:val="004B37D6"/>
    <w:rsid w:val="004B38D6"/>
    <w:rsid w:val="004B45EA"/>
    <w:rsid w:val="004B4968"/>
    <w:rsid w:val="004B4AC2"/>
    <w:rsid w:val="004B50B7"/>
    <w:rsid w:val="004B5E80"/>
    <w:rsid w:val="004B5EA8"/>
    <w:rsid w:val="004B6BD8"/>
    <w:rsid w:val="004B6C9D"/>
    <w:rsid w:val="004B7B46"/>
    <w:rsid w:val="004B7C81"/>
    <w:rsid w:val="004C093C"/>
    <w:rsid w:val="004C0D1C"/>
    <w:rsid w:val="004C0D4D"/>
    <w:rsid w:val="004C0DA1"/>
    <w:rsid w:val="004C0E33"/>
    <w:rsid w:val="004C14F7"/>
    <w:rsid w:val="004C18EA"/>
    <w:rsid w:val="004C1ABD"/>
    <w:rsid w:val="004C1D13"/>
    <w:rsid w:val="004C1E3B"/>
    <w:rsid w:val="004C2346"/>
    <w:rsid w:val="004C2523"/>
    <w:rsid w:val="004C288E"/>
    <w:rsid w:val="004C2E50"/>
    <w:rsid w:val="004C2E5B"/>
    <w:rsid w:val="004C2ED2"/>
    <w:rsid w:val="004C3E1D"/>
    <w:rsid w:val="004C4054"/>
    <w:rsid w:val="004C410A"/>
    <w:rsid w:val="004C481E"/>
    <w:rsid w:val="004C4943"/>
    <w:rsid w:val="004C571B"/>
    <w:rsid w:val="004C5A02"/>
    <w:rsid w:val="004C5D1E"/>
    <w:rsid w:val="004C689C"/>
    <w:rsid w:val="004C7108"/>
    <w:rsid w:val="004C7DC6"/>
    <w:rsid w:val="004C7E57"/>
    <w:rsid w:val="004C7F92"/>
    <w:rsid w:val="004D0948"/>
    <w:rsid w:val="004D0C60"/>
    <w:rsid w:val="004D1DFE"/>
    <w:rsid w:val="004D22F2"/>
    <w:rsid w:val="004D25D9"/>
    <w:rsid w:val="004D284E"/>
    <w:rsid w:val="004D30F4"/>
    <w:rsid w:val="004D31C7"/>
    <w:rsid w:val="004D3405"/>
    <w:rsid w:val="004D3E4B"/>
    <w:rsid w:val="004D456B"/>
    <w:rsid w:val="004D468E"/>
    <w:rsid w:val="004D4F70"/>
    <w:rsid w:val="004D4FD0"/>
    <w:rsid w:val="004D5270"/>
    <w:rsid w:val="004D584E"/>
    <w:rsid w:val="004D6264"/>
    <w:rsid w:val="004D6796"/>
    <w:rsid w:val="004D68C7"/>
    <w:rsid w:val="004D6973"/>
    <w:rsid w:val="004D6CE5"/>
    <w:rsid w:val="004D6DBF"/>
    <w:rsid w:val="004D7140"/>
    <w:rsid w:val="004D7BE6"/>
    <w:rsid w:val="004D7E6D"/>
    <w:rsid w:val="004E0C2D"/>
    <w:rsid w:val="004E0D2F"/>
    <w:rsid w:val="004E0F1D"/>
    <w:rsid w:val="004E0F79"/>
    <w:rsid w:val="004E0F8F"/>
    <w:rsid w:val="004E10E1"/>
    <w:rsid w:val="004E118E"/>
    <w:rsid w:val="004E1440"/>
    <w:rsid w:val="004E15C2"/>
    <w:rsid w:val="004E18E4"/>
    <w:rsid w:val="004E2E03"/>
    <w:rsid w:val="004E3B02"/>
    <w:rsid w:val="004E438B"/>
    <w:rsid w:val="004E44EE"/>
    <w:rsid w:val="004E4BEF"/>
    <w:rsid w:val="004E4F3F"/>
    <w:rsid w:val="004E4FBC"/>
    <w:rsid w:val="004E5119"/>
    <w:rsid w:val="004E529A"/>
    <w:rsid w:val="004E55CB"/>
    <w:rsid w:val="004E6413"/>
    <w:rsid w:val="004E6616"/>
    <w:rsid w:val="004E6618"/>
    <w:rsid w:val="004E6CFB"/>
    <w:rsid w:val="004E708A"/>
    <w:rsid w:val="004E79AB"/>
    <w:rsid w:val="004E7D31"/>
    <w:rsid w:val="004F01A3"/>
    <w:rsid w:val="004F061A"/>
    <w:rsid w:val="004F08DF"/>
    <w:rsid w:val="004F0D3C"/>
    <w:rsid w:val="004F10BB"/>
    <w:rsid w:val="004F1436"/>
    <w:rsid w:val="004F149C"/>
    <w:rsid w:val="004F17BF"/>
    <w:rsid w:val="004F19CD"/>
    <w:rsid w:val="004F1D26"/>
    <w:rsid w:val="004F232D"/>
    <w:rsid w:val="004F264C"/>
    <w:rsid w:val="004F2D20"/>
    <w:rsid w:val="004F2F82"/>
    <w:rsid w:val="004F320E"/>
    <w:rsid w:val="004F339A"/>
    <w:rsid w:val="004F39D3"/>
    <w:rsid w:val="004F3B41"/>
    <w:rsid w:val="004F3E2D"/>
    <w:rsid w:val="004F40CE"/>
    <w:rsid w:val="004F4209"/>
    <w:rsid w:val="004F4560"/>
    <w:rsid w:val="004F57E7"/>
    <w:rsid w:val="004F5DB0"/>
    <w:rsid w:val="004F6492"/>
    <w:rsid w:val="004F677A"/>
    <w:rsid w:val="004F684A"/>
    <w:rsid w:val="004F6C53"/>
    <w:rsid w:val="004F74B7"/>
    <w:rsid w:val="004F7EC8"/>
    <w:rsid w:val="00500424"/>
    <w:rsid w:val="005005AE"/>
    <w:rsid w:val="005009D9"/>
    <w:rsid w:val="00500EC7"/>
    <w:rsid w:val="00500F91"/>
    <w:rsid w:val="00502662"/>
    <w:rsid w:val="005028B7"/>
    <w:rsid w:val="005030C6"/>
    <w:rsid w:val="0050369B"/>
    <w:rsid w:val="00503829"/>
    <w:rsid w:val="00503C8D"/>
    <w:rsid w:val="00503DBA"/>
    <w:rsid w:val="0050425C"/>
    <w:rsid w:val="0050497E"/>
    <w:rsid w:val="00504C5C"/>
    <w:rsid w:val="00504C7C"/>
    <w:rsid w:val="00504C83"/>
    <w:rsid w:val="005056B3"/>
    <w:rsid w:val="00505988"/>
    <w:rsid w:val="0050628B"/>
    <w:rsid w:val="005062E4"/>
    <w:rsid w:val="00506D6E"/>
    <w:rsid w:val="0050727A"/>
    <w:rsid w:val="0050772C"/>
    <w:rsid w:val="00507BC7"/>
    <w:rsid w:val="00510036"/>
    <w:rsid w:val="0051065B"/>
    <w:rsid w:val="00510AF1"/>
    <w:rsid w:val="00511121"/>
    <w:rsid w:val="00511376"/>
    <w:rsid w:val="00511392"/>
    <w:rsid w:val="005114B0"/>
    <w:rsid w:val="0051157E"/>
    <w:rsid w:val="005118F1"/>
    <w:rsid w:val="005118F4"/>
    <w:rsid w:val="00511BF0"/>
    <w:rsid w:val="00511C76"/>
    <w:rsid w:val="00512632"/>
    <w:rsid w:val="00512992"/>
    <w:rsid w:val="005135F9"/>
    <w:rsid w:val="0051384F"/>
    <w:rsid w:val="00513951"/>
    <w:rsid w:val="00514194"/>
    <w:rsid w:val="0051470D"/>
    <w:rsid w:val="00514776"/>
    <w:rsid w:val="00515149"/>
    <w:rsid w:val="0051520E"/>
    <w:rsid w:val="00515662"/>
    <w:rsid w:val="005159AC"/>
    <w:rsid w:val="00515B05"/>
    <w:rsid w:val="00515D86"/>
    <w:rsid w:val="0051703D"/>
    <w:rsid w:val="005172F0"/>
    <w:rsid w:val="005179F8"/>
    <w:rsid w:val="00517D7F"/>
    <w:rsid w:val="0052024C"/>
    <w:rsid w:val="0052068D"/>
    <w:rsid w:val="00520781"/>
    <w:rsid w:val="00520823"/>
    <w:rsid w:val="00520C2F"/>
    <w:rsid w:val="00520E6D"/>
    <w:rsid w:val="005210D5"/>
    <w:rsid w:val="00521A1F"/>
    <w:rsid w:val="00521C6C"/>
    <w:rsid w:val="0052277B"/>
    <w:rsid w:val="00522BEA"/>
    <w:rsid w:val="00523418"/>
    <w:rsid w:val="00523983"/>
    <w:rsid w:val="00524B9C"/>
    <w:rsid w:val="00524FD1"/>
    <w:rsid w:val="00525061"/>
    <w:rsid w:val="005250BE"/>
    <w:rsid w:val="00525B4B"/>
    <w:rsid w:val="00525B80"/>
    <w:rsid w:val="0052782E"/>
    <w:rsid w:val="005309D8"/>
    <w:rsid w:val="00530ABD"/>
    <w:rsid w:val="00531303"/>
    <w:rsid w:val="0053141A"/>
    <w:rsid w:val="00531863"/>
    <w:rsid w:val="00531AD5"/>
    <w:rsid w:val="00531F09"/>
    <w:rsid w:val="00532137"/>
    <w:rsid w:val="00532580"/>
    <w:rsid w:val="0053295D"/>
    <w:rsid w:val="00532BF2"/>
    <w:rsid w:val="00533399"/>
    <w:rsid w:val="00533781"/>
    <w:rsid w:val="00533926"/>
    <w:rsid w:val="0053395E"/>
    <w:rsid w:val="00533AB0"/>
    <w:rsid w:val="0053404F"/>
    <w:rsid w:val="00534B01"/>
    <w:rsid w:val="00535197"/>
    <w:rsid w:val="005354AC"/>
    <w:rsid w:val="0053560D"/>
    <w:rsid w:val="00536CA7"/>
    <w:rsid w:val="00536ECF"/>
    <w:rsid w:val="00537306"/>
    <w:rsid w:val="00540376"/>
    <w:rsid w:val="005408B9"/>
    <w:rsid w:val="005409E1"/>
    <w:rsid w:val="00540DC1"/>
    <w:rsid w:val="00540E0E"/>
    <w:rsid w:val="00541706"/>
    <w:rsid w:val="00542602"/>
    <w:rsid w:val="00542B6B"/>
    <w:rsid w:val="005430EB"/>
    <w:rsid w:val="00543128"/>
    <w:rsid w:val="00543226"/>
    <w:rsid w:val="005434A3"/>
    <w:rsid w:val="00543EE2"/>
    <w:rsid w:val="005440DB"/>
    <w:rsid w:val="0054457C"/>
    <w:rsid w:val="00544657"/>
    <w:rsid w:val="005446E8"/>
    <w:rsid w:val="005449C7"/>
    <w:rsid w:val="00544FAD"/>
    <w:rsid w:val="00544FBF"/>
    <w:rsid w:val="005460D8"/>
    <w:rsid w:val="0054653A"/>
    <w:rsid w:val="00546716"/>
    <w:rsid w:val="00546A35"/>
    <w:rsid w:val="00546B85"/>
    <w:rsid w:val="00546B9F"/>
    <w:rsid w:val="00547269"/>
    <w:rsid w:val="0054795E"/>
    <w:rsid w:val="00551DBB"/>
    <w:rsid w:val="005520B5"/>
    <w:rsid w:val="00552226"/>
    <w:rsid w:val="00552E99"/>
    <w:rsid w:val="00552E9B"/>
    <w:rsid w:val="005534F3"/>
    <w:rsid w:val="00553F72"/>
    <w:rsid w:val="0055445C"/>
    <w:rsid w:val="00554DD3"/>
    <w:rsid w:val="0055540B"/>
    <w:rsid w:val="00555EF1"/>
    <w:rsid w:val="0055605C"/>
    <w:rsid w:val="005561E4"/>
    <w:rsid w:val="00556711"/>
    <w:rsid w:val="00556752"/>
    <w:rsid w:val="00557357"/>
    <w:rsid w:val="0055742B"/>
    <w:rsid w:val="00557474"/>
    <w:rsid w:val="0055756D"/>
    <w:rsid w:val="0055785F"/>
    <w:rsid w:val="0056000D"/>
    <w:rsid w:val="005600AD"/>
    <w:rsid w:val="00560613"/>
    <w:rsid w:val="005606E0"/>
    <w:rsid w:val="005607D7"/>
    <w:rsid w:val="0056170A"/>
    <w:rsid w:val="00561E52"/>
    <w:rsid w:val="00561FB7"/>
    <w:rsid w:val="0056230A"/>
    <w:rsid w:val="005631D0"/>
    <w:rsid w:val="005636FD"/>
    <w:rsid w:val="00563E7B"/>
    <w:rsid w:val="005648DD"/>
    <w:rsid w:val="00564B38"/>
    <w:rsid w:val="00565726"/>
    <w:rsid w:val="00565D0E"/>
    <w:rsid w:val="005666D1"/>
    <w:rsid w:val="00566A0E"/>
    <w:rsid w:val="00566D7A"/>
    <w:rsid w:val="00567175"/>
    <w:rsid w:val="00567427"/>
    <w:rsid w:val="005674E8"/>
    <w:rsid w:val="00567932"/>
    <w:rsid w:val="00570365"/>
    <w:rsid w:val="0057075A"/>
    <w:rsid w:val="00570C75"/>
    <w:rsid w:val="00570D3D"/>
    <w:rsid w:val="00570DC1"/>
    <w:rsid w:val="0057186D"/>
    <w:rsid w:val="00571B5C"/>
    <w:rsid w:val="00571D1B"/>
    <w:rsid w:val="005727C7"/>
    <w:rsid w:val="00572CC1"/>
    <w:rsid w:val="00572CE4"/>
    <w:rsid w:val="00572EF3"/>
    <w:rsid w:val="00572F59"/>
    <w:rsid w:val="00572F8F"/>
    <w:rsid w:val="00572FD3"/>
    <w:rsid w:val="005730C0"/>
    <w:rsid w:val="00573AD7"/>
    <w:rsid w:val="00573EDF"/>
    <w:rsid w:val="00573FA9"/>
    <w:rsid w:val="005748C6"/>
    <w:rsid w:val="00574976"/>
    <w:rsid w:val="00574C04"/>
    <w:rsid w:val="00574C31"/>
    <w:rsid w:val="00575C7A"/>
    <w:rsid w:val="00575DCC"/>
    <w:rsid w:val="00576056"/>
    <w:rsid w:val="005768A1"/>
    <w:rsid w:val="00576A42"/>
    <w:rsid w:val="00577529"/>
    <w:rsid w:val="00577734"/>
    <w:rsid w:val="005777EF"/>
    <w:rsid w:val="005803C5"/>
    <w:rsid w:val="005807DF"/>
    <w:rsid w:val="00581974"/>
    <w:rsid w:val="00581A5C"/>
    <w:rsid w:val="00581AF5"/>
    <w:rsid w:val="00581CC0"/>
    <w:rsid w:val="005821C0"/>
    <w:rsid w:val="00582284"/>
    <w:rsid w:val="00582C4C"/>
    <w:rsid w:val="00582E23"/>
    <w:rsid w:val="00583FD9"/>
    <w:rsid w:val="0058447B"/>
    <w:rsid w:val="005844DF"/>
    <w:rsid w:val="00584A03"/>
    <w:rsid w:val="00585287"/>
    <w:rsid w:val="00585321"/>
    <w:rsid w:val="005854BD"/>
    <w:rsid w:val="005859E1"/>
    <w:rsid w:val="00586727"/>
    <w:rsid w:val="0058673D"/>
    <w:rsid w:val="005868AD"/>
    <w:rsid w:val="00586928"/>
    <w:rsid w:val="005878DF"/>
    <w:rsid w:val="005879DD"/>
    <w:rsid w:val="00587A7C"/>
    <w:rsid w:val="00587AA3"/>
    <w:rsid w:val="005902CA"/>
    <w:rsid w:val="0059054A"/>
    <w:rsid w:val="005905DE"/>
    <w:rsid w:val="00590B56"/>
    <w:rsid w:val="00590CE8"/>
    <w:rsid w:val="00590DA1"/>
    <w:rsid w:val="00590E02"/>
    <w:rsid w:val="005911CA"/>
    <w:rsid w:val="00591527"/>
    <w:rsid w:val="0059178B"/>
    <w:rsid w:val="00591B55"/>
    <w:rsid w:val="00592BD9"/>
    <w:rsid w:val="00592E3B"/>
    <w:rsid w:val="00593204"/>
    <w:rsid w:val="00593343"/>
    <w:rsid w:val="0059341E"/>
    <w:rsid w:val="00593494"/>
    <w:rsid w:val="005935DF"/>
    <w:rsid w:val="005938BD"/>
    <w:rsid w:val="00594901"/>
    <w:rsid w:val="00595A96"/>
    <w:rsid w:val="00596250"/>
    <w:rsid w:val="005964E5"/>
    <w:rsid w:val="00596739"/>
    <w:rsid w:val="00596812"/>
    <w:rsid w:val="005968A1"/>
    <w:rsid w:val="00596985"/>
    <w:rsid w:val="00596DE5"/>
    <w:rsid w:val="00596FFE"/>
    <w:rsid w:val="00597315"/>
    <w:rsid w:val="005978D1"/>
    <w:rsid w:val="00597ADE"/>
    <w:rsid w:val="00597BD1"/>
    <w:rsid w:val="005A083A"/>
    <w:rsid w:val="005A096A"/>
    <w:rsid w:val="005A1557"/>
    <w:rsid w:val="005A1EA5"/>
    <w:rsid w:val="005A209C"/>
    <w:rsid w:val="005A270C"/>
    <w:rsid w:val="005A2721"/>
    <w:rsid w:val="005A3385"/>
    <w:rsid w:val="005A339D"/>
    <w:rsid w:val="005A47B7"/>
    <w:rsid w:val="005A4958"/>
    <w:rsid w:val="005A49F2"/>
    <w:rsid w:val="005A4BB0"/>
    <w:rsid w:val="005A4C50"/>
    <w:rsid w:val="005A5276"/>
    <w:rsid w:val="005A57DB"/>
    <w:rsid w:val="005A58EE"/>
    <w:rsid w:val="005A58F8"/>
    <w:rsid w:val="005A6833"/>
    <w:rsid w:val="005A6934"/>
    <w:rsid w:val="005A6DE5"/>
    <w:rsid w:val="005A72C7"/>
    <w:rsid w:val="005A7737"/>
    <w:rsid w:val="005A7A67"/>
    <w:rsid w:val="005A7C99"/>
    <w:rsid w:val="005A7DFB"/>
    <w:rsid w:val="005A7E37"/>
    <w:rsid w:val="005B022E"/>
    <w:rsid w:val="005B035B"/>
    <w:rsid w:val="005B040B"/>
    <w:rsid w:val="005B083D"/>
    <w:rsid w:val="005B0B85"/>
    <w:rsid w:val="005B1384"/>
    <w:rsid w:val="005B29E2"/>
    <w:rsid w:val="005B34EC"/>
    <w:rsid w:val="005B379A"/>
    <w:rsid w:val="005B39AF"/>
    <w:rsid w:val="005B3C9E"/>
    <w:rsid w:val="005B4F7E"/>
    <w:rsid w:val="005B5294"/>
    <w:rsid w:val="005B5957"/>
    <w:rsid w:val="005B59C3"/>
    <w:rsid w:val="005B5CF5"/>
    <w:rsid w:val="005B6DC2"/>
    <w:rsid w:val="005B6FCA"/>
    <w:rsid w:val="005B736D"/>
    <w:rsid w:val="005B73AE"/>
    <w:rsid w:val="005C0459"/>
    <w:rsid w:val="005C0C1E"/>
    <w:rsid w:val="005C0C7F"/>
    <w:rsid w:val="005C12CC"/>
    <w:rsid w:val="005C15A0"/>
    <w:rsid w:val="005C1CAB"/>
    <w:rsid w:val="005C1DEA"/>
    <w:rsid w:val="005C2404"/>
    <w:rsid w:val="005C27C4"/>
    <w:rsid w:val="005C36F1"/>
    <w:rsid w:val="005C39D7"/>
    <w:rsid w:val="005C3C70"/>
    <w:rsid w:val="005C4535"/>
    <w:rsid w:val="005C4E6B"/>
    <w:rsid w:val="005C52C9"/>
    <w:rsid w:val="005C5580"/>
    <w:rsid w:val="005C56EB"/>
    <w:rsid w:val="005C5C91"/>
    <w:rsid w:val="005C5D3E"/>
    <w:rsid w:val="005C6110"/>
    <w:rsid w:val="005C6AD6"/>
    <w:rsid w:val="005C6BE0"/>
    <w:rsid w:val="005C723E"/>
    <w:rsid w:val="005C75B5"/>
    <w:rsid w:val="005C7627"/>
    <w:rsid w:val="005C781A"/>
    <w:rsid w:val="005C7ADC"/>
    <w:rsid w:val="005D0B4B"/>
    <w:rsid w:val="005D0D48"/>
    <w:rsid w:val="005D0F43"/>
    <w:rsid w:val="005D1052"/>
    <w:rsid w:val="005D1368"/>
    <w:rsid w:val="005D2018"/>
    <w:rsid w:val="005D2303"/>
    <w:rsid w:val="005D27E8"/>
    <w:rsid w:val="005D2ACE"/>
    <w:rsid w:val="005D3647"/>
    <w:rsid w:val="005D393B"/>
    <w:rsid w:val="005D430B"/>
    <w:rsid w:val="005D447A"/>
    <w:rsid w:val="005D45D5"/>
    <w:rsid w:val="005D46D5"/>
    <w:rsid w:val="005D4DC2"/>
    <w:rsid w:val="005D4EBA"/>
    <w:rsid w:val="005D59DD"/>
    <w:rsid w:val="005D60D0"/>
    <w:rsid w:val="005D6686"/>
    <w:rsid w:val="005D674F"/>
    <w:rsid w:val="005D6AAE"/>
    <w:rsid w:val="005D6CB8"/>
    <w:rsid w:val="005D78DF"/>
    <w:rsid w:val="005D7A1D"/>
    <w:rsid w:val="005D7BD4"/>
    <w:rsid w:val="005E0ACA"/>
    <w:rsid w:val="005E0D3D"/>
    <w:rsid w:val="005E149A"/>
    <w:rsid w:val="005E1C07"/>
    <w:rsid w:val="005E2A96"/>
    <w:rsid w:val="005E2E4C"/>
    <w:rsid w:val="005E3225"/>
    <w:rsid w:val="005E36C2"/>
    <w:rsid w:val="005E44F7"/>
    <w:rsid w:val="005E5322"/>
    <w:rsid w:val="005E5C52"/>
    <w:rsid w:val="005E5E00"/>
    <w:rsid w:val="005E78BD"/>
    <w:rsid w:val="005F016E"/>
    <w:rsid w:val="005F06D4"/>
    <w:rsid w:val="005F0FA1"/>
    <w:rsid w:val="005F107A"/>
    <w:rsid w:val="005F11CE"/>
    <w:rsid w:val="005F132C"/>
    <w:rsid w:val="005F13F6"/>
    <w:rsid w:val="005F16B5"/>
    <w:rsid w:val="005F1A9D"/>
    <w:rsid w:val="005F2355"/>
    <w:rsid w:val="005F272B"/>
    <w:rsid w:val="005F3268"/>
    <w:rsid w:val="005F3429"/>
    <w:rsid w:val="005F369F"/>
    <w:rsid w:val="005F3871"/>
    <w:rsid w:val="005F4952"/>
    <w:rsid w:val="005F4DB0"/>
    <w:rsid w:val="005F4DC8"/>
    <w:rsid w:val="005F553A"/>
    <w:rsid w:val="005F5903"/>
    <w:rsid w:val="005F5931"/>
    <w:rsid w:val="005F6197"/>
    <w:rsid w:val="005F69B8"/>
    <w:rsid w:val="005F6B9F"/>
    <w:rsid w:val="005F6F66"/>
    <w:rsid w:val="005F7543"/>
    <w:rsid w:val="005F75A9"/>
    <w:rsid w:val="005F7B7C"/>
    <w:rsid w:val="005F7E73"/>
    <w:rsid w:val="00600142"/>
    <w:rsid w:val="00600C89"/>
    <w:rsid w:val="00601571"/>
    <w:rsid w:val="006020DA"/>
    <w:rsid w:val="006021BB"/>
    <w:rsid w:val="00602734"/>
    <w:rsid w:val="00602740"/>
    <w:rsid w:val="00602E0A"/>
    <w:rsid w:val="00602FC0"/>
    <w:rsid w:val="00603E65"/>
    <w:rsid w:val="00604292"/>
    <w:rsid w:val="0060435A"/>
    <w:rsid w:val="006046C6"/>
    <w:rsid w:val="00604E7F"/>
    <w:rsid w:val="00605B12"/>
    <w:rsid w:val="00605BA8"/>
    <w:rsid w:val="0060679B"/>
    <w:rsid w:val="00606961"/>
    <w:rsid w:val="00606D77"/>
    <w:rsid w:val="00607408"/>
    <w:rsid w:val="006075B2"/>
    <w:rsid w:val="00607972"/>
    <w:rsid w:val="006079C4"/>
    <w:rsid w:val="00607FE4"/>
    <w:rsid w:val="006105B5"/>
    <w:rsid w:val="006110B5"/>
    <w:rsid w:val="006117CB"/>
    <w:rsid w:val="00611B31"/>
    <w:rsid w:val="00612A22"/>
    <w:rsid w:val="00612F0D"/>
    <w:rsid w:val="0061359E"/>
    <w:rsid w:val="006136BC"/>
    <w:rsid w:val="00613A92"/>
    <w:rsid w:val="00613B63"/>
    <w:rsid w:val="006146D7"/>
    <w:rsid w:val="00615B19"/>
    <w:rsid w:val="00615C82"/>
    <w:rsid w:val="00616175"/>
    <w:rsid w:val="00616807"/>
    <w:rsid w:val="00616C11"/>
    <w:rsid w:val="00616FF9"/>
    <w:rsid w:val="00617164"/>
    <w:rsid w:val="00617BD2"/>
    <w:rsid w:val="00620901"/>
    <w:rsid w:val="00620E37"/>
    <w:rsid w:val="00622122"/>
    <w:rsid w:val="006229C6"/>
    <w:rsid w:val="00622F5E"/>
    <w:rsid w:val="00622F9C"/>
    <w:rsid w:val="00623556"/>
    <w:rsid w:val="006241DB"/>
    <w:rsid w:val="006249F6"/>
    <w:rsid w:val="00624E83"/>
    <w:rsid w:val="0062506F"/>
    <w:rsid w:val="0062520C"/>
    <w:rsid w:val="006259E1"/>
    <w:rsid w:val="00625AA4"/>
    <w:rsid w:val="00625CC2"/>
    <w:rsid w:val="00626665"/>
    <w:rsid w:val="00626B64"/>
    <w:rsid w:val="00626BD3"/>
    <w:rsid w:val="00626C5F"/>
    <w:rsid w:val="0062753A"/>
    <w:rsid w:val="00627E87"/>
    <w:rsid w:val="00630557"/>
    <w:rsid w:val="006308C2"/>
    <w:rsid w:val="00630970"/>
    <w:rsid w:val="00630D51"/>
    <w:rsid w:val="00630DE1"/>
    <w:rsid w:val="006310F8"/>
    <w:rsid w:val="00632204"/>
    <w:rsid w:val="00632286"/>
    <w:rsid w:val="00632D4C"/>
    <w:rsid w:val="0063331A"/>
    <w:rsid w:val="00633440"/>
    <w:rsid w:val="00633DE8"/>
    <w:rsid w:val="006346EF"/>
    <w:rsid w:val="006348A9"/>
    <w:rsid w:val="00634B2D"/>
    <w:rsid w:val="00634CDD"/>
    <w:rsid w:val="00634FEF"/>
    <w:rsid w:val="0063572A"/>
    <w:rsid w:val="0063579B"/>
    <w:rsid w:val="00635A12"/>
    <w:rsid w:val="00635B08"/>
    <w:rsid w:val="00635BC1"/>
    <w:rsid w:val="0063668F"/>
    <w:rsid w:val="0063779C"/>
    <w:rsid w:val="00637CFA"/>
    <w:rsid w:val="00640C08"/>
    <w:rsid w:val="00640F46"/>
    <w:rsid w:val="006410E8"/>
    <w:rsid w:val="006414C8"/>
    <w:rsid w:val="006416B0"/>
    <w:rsid w:val="00641943"/>
    <w:rsid w:val="00641BD5"/>
    <w:rsid w:val="00641FBE"/>
    <w:rsid w:val="006421A3"/>
    <w:rsid w:val="00642E09"/>
    <w:rsid w:val="006430E0"/>
    <w:rsid w:val="00643CB5"/>
    <w:rsid w:val="00643F4D"/>
    <w:rsid w:val="00644098"/>
    <w:rsid w:val="006444C1"/>
    <w:rsid w:val="00644918"/>
    <w:rsid w:val="00644C5F"/>
    <w:rsid w:val="00644F6B"/>
    <w:rsid w:val="006456B9"/>
    <w:rsid w:val="0064578E"/>
    <w:rsid w:val="00645A57"/>
    <w:rsid w:val="0064637F"/>
    <w:rsid w:val="00646F8C"/>
    <w:rsid w:val="00647BB7"/>
    <w:rsid w:val="0065093D"/>
    <w:rsid w:val="00650AEE"/>
    <w:rsid w:val="0065153E"/>
    <w:rsid w:val="00651806"/>
    <w:rsid w:val="00651A06"/>
    <w:rsid w:val="00651BEA"/>
    <w:rsid w:val="00652077"/>
    <w:rsid w:val="006522B2"/>
    <w:rsid w:val="00652D05"/>
    <w:rsid w:val="0065362B"/>
    <w:rsid w:val="006537B6"/>
    <w:rsid w:val="00653A18"/>
    <w:rsid w:val="00653B47"/>
    <w:rsid w:val="00653C2B"/>
    <w:rsid w:val="00653D8C"/>
    <w:rsid w:val="00654154"/>
    <w:rsid w:val="00654B5C"/>
    <w:rsid w:val="00654C9C"/>
    <w:rsid w:val="00656669"/>
    <w:rsid w:val="006566A1"/>
    <w:rsid w:val="00656A5D"/>
    <w:rsid w:val="00657862"/>
    <w:rsid w:val="00657BD4"/>
    <w:rsid w:val="00660030"/>
    <w:rsid w:val="00660166"/>
    <w:rsid w:val="0066096A"/>
    <w:rsid w:val="00660993"/>
    <w:rsid w:val="00661027"/>
    <w:rsid w:val="00661086"/>
    <w:rsid w:val="00661519"/>
    <w:rsid w:val="00661846"/>
    <w:rsid w:val="0066272A"/>
    <w:rsid w:val="006632E9"/>
    <w:rsid w:val="006634A3"/>
    <w:rsid w:val="006636FE"/>
    <w:rsid w:val="00663804"/>
    <w:rsid w:val="0066403C"/>
    <w:rsid w:val="006642B1"/>
    <w:rsid w:val="00664742"/>
    <w:rsid w:val="00664D03"/>
    <w:rsid w:val="00664EBE"/>
    <w:rsid w:val="00664F61"/>
    <w:rsid w:val="00665481"/>
    <w:rsid w:val="006658FB"/>
    <w:rsid w:val="006659F8"/>
    <w:rsid w:val="0066635B"/>
    <w:rsid w:val="0066691C"/>
    <w:rsid w:val="006670DF"/>
    <w:rsid w:val="00667737"/>
    <w:rsid w:val="00667DFE"/>
    <w:rsid w:val="006704CA"/>
    <w:rsid w:val="006707F8"/>
    <w:rsid w:val="006709AF"/>
    <w:rsid w:val="00670A32"/>
    <w:rsid w:val="00670B98"/>
    <w:rsid w:val="00670C2C"/>
    <w:rsid w:val="00670FDD"/>
    <w:rsid w:val="00671251"/>
    <w:rsid w:val="00671A5C"/>
    <w:rsid w:val="006721B5"/>
    <w:rsid w:val="00672651"/>
    <w:rsid w:val="00672EF8"/>
    <w:rsid w:val="00673492"/>
    <w:rsid w:val="00674257"/>
    <w:rsid w:val="0067444D"/>
    <w:rsid w:val="00674D24"/>
    <w:rsid w:val="0067520E"/>
    <w:rsid w:val="0067530B"/>
    <w:rsid w:val="0067600A"/>
    <w:rsid w:val="00676024"/>
    <w:rsid w:val="006762E3"/>
    <w:rsid w:val="006762E9"/>
    <w:rsid w:val="00676492"/>
    <w:rsid w:val="0067740C"/>
    <w:rsid w:val="00677721"/>
    <w:rsid w:val="006778CD"/>
    <w:rsid w:val="006801AC"/>
    <w:rsid w:val="00680392"/>
    <w:rsid w:val="00680A25"/>
    <w:rsid w:val="00680C34"/>
    <w:rsid w:val="0068196D"/>
    <w:rsid w:val="00681C16"/>
    <w:rsid w:val="00681F61"/>
    <w:rsid w:val="0068242B"/>
    <w:rsid w:val="0068350A"/>
    <w:rsid w:val="00683B6B"/>
    <w:rsid w:val="0068410F"/>
    <w:rsid w:val="00684FA5"/>
    <w:rsid w:val="0068504F"/>
    <w:rsid w:val="006852AC"/>
    <w:rsid w:val="0068618C"/>
    <w:rsid w:val="006861FA"/>
    <w:rsid w:val="00686749"/>
    <w:rsid w:val="006867C3"/>
    <w:rsid w:val="00686E16"/>
    <w:rsid w:val="00686EBA"/>
    <w:rsid w:val="00687AB6"/>
    <w:rsid w:val="0069127D"/>
    <w:rsid w:val="00691D30"/>
    <w:rsid w:val="00691DA9"/>
    <w:rsid w:val="00692558"/>
    <w:rsid w:val="006926CC"/>
    <w:rsid w:val="0069284C"/>
    <w:rsid w:val="00692CF1"/>
    <w:rsid w:val="006930AF"/>
    <w:rsid w:val="00693839"/>
    <w:rsid w:val="00693F7A"/>
    <w:rsid w:val="00694AF8"/>
    <w:rsid w:val="00694E36"/>
    <w:rsid w:val="0069545F"/>
    <w:rsid w:val="00695692"/>
    <w:rsid w:val="00695CDD"/>
    <w:rsid w:val="00695DA3"/>
    <w:rsid w:val="0069657D"/>
    <w:rsid w:val="00696596"/>
    <w:rsid w:val="00696791"/>
    <w:rsid w:val="00696CED"/>
    <w:rsid w:val="00696DD6"/>
    <w:rsid w:val="00696ED8"/>
    <w:rsid w:val="00696EFF"/>
    <w:rsid w:val="00697418"/>
    <w:rsid w:val="006977C6"/>
    <w:rsid w:val="006A037D"/>
    <w:rsid w:val="006A03CF"/>
    <w:rsid w:val="006A07EA"/>
    <w:rsid w:val="006A08A8"/>
    <w:rsid w:val="006A1146"/>
    <w:rsid w:val="006A1898"/>
    <w:rsid w:val="006A18F2"/>
    <w:rsid w:val="006A1F75"/>
    <w:rsid w:val="006A1FCB"/>
    <w:rsid w:val="006A3253"/>
    <w:rsid w:val="006A3ABF"/>
    <w:rsid w:val="006A3ECE"/>
    <w:rsid w:val="006A4137"/>
    <w:rsid w:val="006A4348"/>
    <w:rsid w:val="006A4642"/>
    <w:rsid w:val="006A4AC0"/>
    <w:rsid w:val="006A522C"/>
    <w:rsid w:val="006A531F"/>
    <w:rsid w:val="006A59D1"/>
    <w:rsid w:val="006A5C0C"/>
    <w:rsid w:val="006A5D54"/>
    <w:rsid w:val="006A5FE5"/>
    <w:rsid w:val="006A623F"/>
    <w:rsid w:val="006A664E"/>
    <w:rsid w:val="006A67A2"/>
    <w:rsid w:val="006A6975"/>
    <w:rsid w:val="006A6A0E"/>
    <w:rsid w:val="006A760D"/>
    <w:rsid w:val="006A7945"/>
    <w:rsid w:val="006B1E19"/>
    <w:rsid w:val="006B1EC6"/>
    <w:rsid w:val="006B2D99"/>
    <w:rsid w:val="006B3359"/>
    <w:rsid w:val="006B4086"/>
    <w:rsid w:val="006B4819"/>
    <w:rsid w:val="006B5103"/>
    <w:rsid w:val="006B5138"/>
    <w:rsid w:val="006B55DD"/>
    <w:rsid w:val="006B61F8"/>
    <w:rsid w:val="006B6D34"/>
    <w:rsid w:val="006B79CB"/>
    <w:rsid w:val="006C045C"/>
    <w:rsid w:val="006C06E4"/>
    <w:rsid w:val="006C0F28"/>
    <w:rsid w:val="006C1711"/>
    <w:rsid w:val="006C1891"/>
    <w:rsid w:val="006C2187"/>
    <w:rsid w:val="006C2762"/>
    <w:rsid w:val="006C2D13"/>
    <w:rsid w:val="006C2D2A"/>
    <w:rsid w:val="006C3A5B"/>
    <w:rsid w:val="006C4414"/>
    <w:rsid w:val="006C4A1E"/>
    <w:rsid w:val="006C58DB"/>
    <w:rsid w:val="006C5979"/>
    <w:rsid w:val="006C630A"/>
    <w:rsid w:val="006C63D5"/>
    <w:rsid w:val="006C6C35"/>
    <w:rsid w:val="006C7231"/>
    <w:rsid w:val="006D03AE"/>
    <w:rsid w:val="006D1310"/>
    <w:rsid w:val="006D14BB"/>
    <w:rsid w:val="006D17E8"/>
    <w:rsid w:val="006D1B3C"/>
    <w:rsid w:val="006D1F06"/>
    <w:rsid w:val="006D2832"/>
    <w:rsid w:val="006D356D"/>
    <w:rsid w:val="006D3A3B"/>
    <w:rsid w:val="006D3AA1"/>
    <w:rsid w:val="006D3FAB"/>
    <w:rsid w:val="006D4355"/>
    <w:rsid w:val="006D43D7"/>
    <w:rsid w:val="006D452F"/>
    <w:rsid w:val="006D489E"/>
    <w:rsid w:val="006D5154"/>
    <w:rsid w:val="006D5672"/>
    <w:rsid w:val="006D5E4E"/>
    <w:rsid w:val="006D617A"/>
    <w:rsid w:val="006D6564"/>
    <w:rsid w:val="006D6A0E"/>
    <w:rsid w:val="006D6A62"/>
    <w:rsid w:val="006D6B55"/>
    <w:rsid w:val="006D6BBC"/>
    <w:rsid w:val="006D6F4E"/>
    <w:rsid w:val="006D70AE"/>
    <w:rsid w:val="006D74B5"/>
    <w:rsid w:val="006D7733"/>
    <w:rsid w:val="006D7855"/>
    <w:rsid w:val="006D78AB"/>
    <w:rsid w:val="006D7F76"/>
    <w:rsid w:val="006E014D"/>
    <w:rsid w:val="006E1AF8"/>
    <w:rsid w:val="006E1CA7"/>
    <w:rsid w:val="006E1F8E"/>
    <w:rsid w:val="006E2254"/>
    <w:rsid w:val="006E2347"/>
    <w:rsid w:val="006E2529"/>
    <w:rsid w:val="006E2868"/>
    <w:rsid w:val="006E3410"/>
    <w:rsid w:val="006E3CBE"/>
    <w:rsid w:val="006E4205"/>
    <w:rsid w:val="006E430E"/>
    <w:rsid w:val="006E47E6"/>
    <w:rsid w:val="006E4866"/>
    <w:rsid w:val="006E4D48"/>
    <w:rsid w:val="006E4EE8"/>
    <w:rsid w:val="006E53C2"/>
    <w:rsid w:val="006E54B1"/>
    <w:rsid w:val="006E54D3"/>
    <w:rsid w:val="006E5D7D"/>
    <w:rsid w:val="006E60C2"/>
    <w:rsid w:val="006E60CC"/>
    <w:rsid w:val="006E6721"/>
    <w:rsid w:val="006E6A52"/>
    <w:rsid w:val="006E6C92"/>
    <w:rsid w:val="006E6F32"/>
    <w:rsid w:val="006E7DD4"/>
    <w:rsid w:val="006E7DF5"/>
    <w:rsid w:val="006F0733"/>
    <w:rsid w:val="006F0B6A"/>
    <w:rsid w:val="006F1529"/>
    <w:rsid w:val="006F16D9"/>
    <w:rsid w:val="006F1B35"/>
    <w:rsid w:val="006F1BC3"/>
    <w:rsid w:val="006F20F7"/>
    <w:rsid w:val="006F20FB"/>
    <w:rsid w:val="006F22BF"/>
    <w:rsid w:val="006F24EA"/>
    <w:rsid w:val="006F252B"/>
    <w:rsid w:val="006F29F1"/>
    <w:rsid w:val="006F2DE1"/>
    <w:rsid w:val="006F3148"/>
    <w:rsid w:val="006F345A"/>
    <w:rsid w:val="006F3DAA"/>
    <w:rsid w:val="006F4C1A"/>
    <w:rsid w:val="006F511A"/>
    <w:rsid w:val="006F532C"/>
    <w:rsid w:val="006F5BA8"/>
    <w:rsid w:val="006F6572"/>
    <w:rsid w:val="006F7049"/>
    <w:rsid w:val="006F7EE1"/>
    <w:rsid w:val="0070007D"/>
    <w:rsid w:val="007001E8"/>
    <w:rsid w:val="007006FE"/>
    <w:rsid w:val="00700A67"/>
    <w:rsid w:val="00700EEC"/>
    <w:rsid w:val="007011EF"/>
    <w:rsid w:val="00701972"/>
    <w:rsid w:val="00701B02"/>
    <w:rsid w:val="00701ED0"/>
    <w:rsid w:val="0070218C"/>
    <w:rsid w:val="00702234"/>
    <w:rsid w:val="007023E5"/>
    <w:rsid w:val="00702684"/>
    <w:rsid w:val="00702853"/>
    <w:rsid w:val="00702A52"/>
    <w:rsid w:val="00702B86"/>
    <w:rsid w:val="00703F65"/>
    <w:rsid w:val="007040D0"/>
    <w:rsid w:val="00704937"/>
    <w:rsid w:val="0070494A"/>
    <w:rsid w:val="00704B23"/>
    <w:rsid w:val="00705566"/>
    <w:rsid w:val="00705896"/>
    <w:rsid w:val="00705A0D"/>
    <w:rsid w:val="00705F34"/>
    <w:rsid w:val="0070601E"/>
    <w:rsid w:val="00706F60"/>
    <w:rsid w:val="0070768B"/>
    <w:rsid w:val="00707CDE"/>
    <w:rsid w:val="0071042E"/>
    <w:rsid w:val="0071056C"/>
    <w:rsid w:val="00710CEE"/>
    <w:rsid w:val="00710CF2"/>
    <w:rsid w:val="007111CC"/>
    <w:rsid w:val="007117E3"/>
    <w:rsid w:val="00711840"/>
    <w:rsid w:val="00711990"/>
    <w:rsid w:val="00711B66"/>
    <w:rsid w:val="00711DB9"/>
    <w:rsid w:val="00712396"/>
    <w:rsid w:val="007123D9"/>
    <w:rsid w:val="00712618"/>
    <w:rsid w:val="00712621"/>
    <w:rsid w:val="00712FF6"/>
    <w:rsid w:val="00713559"/>
    <w:rsid w:val="007136E5"/>
    <w:rsid w:val="0071372A"/>
    <w:rsid w:val="00713F79"/>
    <w:rsid w:val="007140B7"/>
    <w:rsid w:val="0071434D"/>
    <w:rsid w:val="00714417"/>
    <w:rsid w:val="007151AB"/>
    <w:rsid w:val="007152B7"/>
    <w:rsid w:val="00715715"/>
    <w:rsid w:val="0071580C"/>
    <w:rsid w:val="007158CB"/>
    <w:rsid w:val="00715993"/>
    <w:rsid w:val="00715ED4"/>
    <w:rsid w:val="0071662E"/>
    <w:rsid w:val="00716DC7"/>
    <w:rsid w:val="00717328"/>
    <w:rsid w:val="00717436"/>
    <w:rsid w:val="0071767F"/>
    <w:rsid w:val="00717CB8"/>
    <w:rsid w:val="0072004B"/>
    <w:rsid w:val="0072020F"/>
    <w:rsid w:val="0072082C"/>
    <w:rsid w:val="00720D21"/>
    <w:rsid w:val="007216D9"/>
    <w:rsid w:val="007221F3"/>
    <w:rsid w:val="00722DCC"/>
    <w:rsid w:val="0072356B"/>
    <w:rsid w:val="007237FA"/>
    <w:rsid w:val="007242AA"/>
    <w:rsid w:val="0072437E"/>
    <w:rsid w:val="0072473B"/>
    <w:rsid w:val="00724ED3"/>
    <w:rsid w:val="00725383"/>
    <w:rsid w:val="00725B2A"/>
    <w:rsid w:val="00725E34"/>
    <w:rsid w:val="0072630B"/>
    <w:rsid w:val="00726502"/>
    <w:rsid w:val="007266E8"/>
    <w:rsid w:val="00726997"/>
    <w:rsid w:val="00726B0F"/>
    <w:rsid w:val="0072702D"/>
    <w:rsid w:val="00727125"/>
    <w:rsid w:val="00727144"/>
    <w:rsid w:val="00727545"/>
    <w:rsid w:val="007275BB"/>
    <w:rsid w:val="00727C49"/>
    <w:rsid w:val="00727F66"/>
    <w:rsid w:val="007300DC"/>
    <w:rsid w:val="0073029F"/>
    <w:rsid w:val="00730444"/>
    <w:rsid w:val="00730880"/>
    <w:rsid w:val="00730D3A"/>
    <w:rsid w:val="007314B0"/>
    <w:rsid w:val="007326A7"/>
    <w:rsid w:val="00732737"/>
    <w:rsid w:val="007329E0"/>
    <w:rsid w:val="00732B51"/>
    <w:rsid w:val="007332E6"/>
    <w:rsid w:val="007334F2"/>
    <w:rsid w:val="0073383F"/>
    <w:rsid w:val="00733D37"/>
    <w:rsid w:val="00733ED7"/>
    <w:rsid w:val="0073491E"/>
    <w:rsid w:val="00734A91"/>
    <w:rsid w:val="00734AF8"/>
    <w:rsid w:val="007359D7"/>
    <w:rsid w:val="00735A73"/>
    <w:rsid w:val="00736447"/>
    <w:rsid w:val="0073690A"/>
    <w:rsid w:val="00736D6F"/>
    <w:rsid w:val="00736DFE"/>
    <w:rsid w:val="00737301"/>
    <w:rsid w:val="007376C9"/>
    <w:rsid w:val="00737E7A"/>
    <w:rsid w:val="0074020F"/>
    <w:rsid w:val="00740460"/>
    <w:rsid w:val="007405DB"/>
    <w:rsid w:val="007406A8"/>
    <w:rsid w:val="007412B3"/>
    <w:rsid w:val="0074141D"/>
    <w:rsid w:val="0074230C"/>
    <w:rsid w:val="00742D58"/>
    <w:rsid w:val="00742D6D"/>
    <w:rsid w:val="007436F9"/>
    <w:rsid w:val="00743702"/>
    <w:rsid w:val="00743B56"/>
    <w:rsid w:val="00743B69"/>
    <w:rsid w:val="00744B14"/>
    <w:rsid w:val="007452DE"/>
    <w:rsid w:val="00745372"/>
    <w:rsid w:val="0074567A"/>
    <w:rsid w:val="0074579B"/>
    <w:rsid w:val="00745935"/>
    <w:rsid w:val="00745B4F"/>
    <w:rsid w:val="00745C57"/>
    <w:rsid w:val="00745CFF"/>
    <w:rsid w:val="00745E43"/>
    <w:rsid w:val="00746034"/>
    <w:rsid w:val="007462E3"/>
    <w:rsid w:val="00746AA8"/>
    <w:rsid w:val="00747A33"/>
    <w:rsid w:val="0075037D"/>
    <w:rsid w:val="0075056D"/>
    <w:rsid w:val="007505B2"/>
    <w:rsid w:val="00750ED0"/>
    <w:rsid w:val="007515D0"/>
    <w:rsid w:val="00751665"/>
    <w:rsid w:val="0075185F"/>
    <w:rsid w:val="00751D66"/>
    <w:rsid w:val="00751D97"/>
    <w:rsid w:val="00752762"/>
    <w:rsid w:val="00752819"/>
    <w:rsid w:val="00752F46"/>
    <w:rsid w:val="00753767"/>
    <w:rsid w:val="00753829"/>
    <w:rsid w:val="00753C3C"/>
    <w:rsid w:val="00753EA3"/>
    <w:rsid w:val="00753F6A"/>
    <w:rsid w:val="0075448F"/>
    <w:rsid w:val="00754645"/>
    <w:rsid w:val="00754CD5"/>
    <w:rsid w:val="007553C6"/>
    <w:rsid w:val="00755D8D"/>
    <w:rsid w:val="00755ECC"/>
    <w:rsid w:val="007560D9"/>
    <w:rsid w:val="00756528"/>
    <w:rsid w:val="00756772"/>
    <w:rsid w:val="007568E8"/>
    <w:rsid w:val="00756901"/>
    <w:rsid w:val="00756C27"/>
    <w:rsid w:val="007571AE"/>
    <w:rsid w:val="007572B5"/>
    <w:rsid w:val="007579A2"/>
    <w:rsid w:val="007613B1"/>
    <w:rsid w:val="00761826"/>
    <w:rsid w:val="007618E6"/>
    <w:rsid w:val="00762368"/>
    <w:rsid w:val="0076246E"/>
    <w:rsid w:val="007625A5"/>
    <w:rsid w:val="00762E20"/>
    <w:rsid w:val="00763E19"/>
    <w:rsid w:val="00763F05"/>
    <w:rsid w:val="0076421D"/>
    <w:rsid w:val="00764318"/>
    <w:rsid w:val="007644E7"/>
    <w:rsid w:val="007648C5"/>
    <w:rsid w:val="00764B32"/>
    <w:rsid w:val="00764C47"/>
    <w:rsid w:val="00765560"/>
    <w:rsid w:val="00765887"/>
    <w:rsid w:val="00766AC2"/>
    <w:rsid w:val="00766FF5"/>
    <w:rsid w:val="0076701B"/>
    <w:rsid w:val="00767103"/>
    <w:rsid w:val="0076740E"/>
    <w:rsid w:val="00770424"/>
    <w:rsid w:val="00770803"/>
    <w:rsid w:val="007733CF"/>
    <w:rsid w:val="00774B44"/>
    <w:rsid w:val="00775162"/>
    <w:rsid w:val="007751C0"/>
    <w:rsid w:val="0077569A"/>
    <w:rsid w:val="00775867"/>
    <w:rsid w:val="00775896"/>
    <w:rsid w:val="007759E7"/>
    <w:rsid w:val="00775B35"/>
    <w:rsid w:val="00775B5D"/>
    <w:rsid w:val="007765AE"/>
    <w:rsid w:val="00776956"/>
    <w:rsid w:val="00776CB2"/>
    <w:rsid w:val="00776FBE"/>
    <w:rsid w:val="0077715B"/>
    <w:rsid w:val="0077731A"/>
    <w:rsid w:val="007776A0"/>
    <w:rsid w:val="007777FB"/>
    <w:rsid w:val="00777800"/>
    <w:rsid w:val="0078072A"/>
    <w:rsid w:val="00780D73"/>
    <w:rsid w:val="00780F57"/>
    <w:rsid w:val="00781335"/>
    <w:rsid w:val="00781873"/>
    <w:rsid w:val="00781F9E"/>
    <w:rsid w:val="00782105"/>
    <w:rsid w:val="00782280"/>
    <w:rsid w:val="007824D6"/>
    <w:rsid w:val="007826D2"/>
    <w:rsid w:val="00782E23"/>
    <w:rsid w:val="00782E47"/>
    <w:rsid w:val="0078312B"/>
    <w:rsid w:val="007835A1"/>
    <w:rsid w:val="00783CDF"/>
    <w:rsid w:val="0078438F"/>
    <w:rsid w:val="0078469C"/>
    <w:rsid w:val="007849A9"/>
    <w:rsid w:val="00784C0C"/>
    <w:rsid w:val="00784DE8"/>
    <w:rsid w:val="00784E51"/>
    <w:rsid w:val="00785420"/>
    <w:rsid w:val="007856F7"/>
    <w:rsid w:val="0078593A"/>
    <w:rsid w:val="00785CA2"/>
    <w:rsid w:val="00785E90"/>
    <w:rsid w:val="00785E9C"/>
    <w:rsid w:val="0078602D"/>
    <w:rsid w:val="00786492"/>
    <w:rsid w:val="00786780"/>
    <w:rsid w:val="00786A4C"/>
    <w:rsid w:val="00786D71"/>
    <w:rsid w:val="007871A7"/>
    <w:rsid w:val="0078748C"/>
    <w:rsid w:val="00787C7C"/>
    <w:rsid w:val="00787C86"/>
    <w:rsid w:val="00787DF0"/>
    <w:rsid w:val="007904D2"/>
    <w:rsid w:val="00790CDD"/>
    <w:rsid w:val="00791513"/>
    <w:rsid w:val="007916D8"/>
    <w:rsid w:val="007917A6"/>
    <w:rsid w:val="00791898"/>
    <w:rsid w:val="007919AB"/>
    <w:rsid w:val="00791D5B"/>
    <w:rsid w:val="007920B0"/>
    <w:rsid w:val="00792AD3"/>
    <w:rsid w:val="00793878"/>
    <w:rsid w:val="00793895"/>
    <w:rsid w:val="00793B55"/>
    <w:rsid w:val="00793FA7"/>
    <w:rsid w:val="00793FB1"/>
    <w:rsid w:val="00794328"/>
    <w:rsid w:val="00794479"/>
    <w:rsid w:val="007944F4"/>
    <w:rsid w:val="007945C1"/>
    <w:rsid w:val="00794697"/>
    <w:rsid w:val="00794A26"/>
    <w:rsid w:val="00794BFF"/>
    <w:rsid w:val="007953DD"/>
    <w:rsid w:val="007956B3"/>
    <w:rsid w:val="0079570A"/>
    <w:rsid w:val="00795ADB"/>
    <w:rsid w:val="00795B0A"/>
    <w:rsid w:val="0079619F"/>
    <w:rsid w:val="00796603"/>
    <w:rsid w:val="007968C5"/>
    <w:rsid w:val="00796B9C"/>
    <w:rsid w:val="00796DAC"/>
    <w:rsid w:val="0079741F"/>
    <w:rsid w:val="00797AC2"/>
    <w:rsid w:val="00797E8B"/>
    <w:rsid w:val="007A006C"/>
    <w:rsid w:val="007A0302"/>
    <w:rsid w:val="007A0AC4"/>
    <w:rsid w:val="007A1443"/>
    <w:rsid w:val="007A1A3E"/>
    <w:rsid w:val="007A1B0B"/>
    <w:rsid w:val="007A28CD"/>
    <w:rsid w:val="007A2B86"/>
    <w:rsid w:val="007A3239"/>
    <w:rsid w:val="007A38F6"/>
    <w:rsid w:val="007A3DDE"/>
    <w:rsid w:val="007A4513"/>
    <w:rsid w:val="007A45BC"/>
    <w:rsid w:val="007A45DA"/>
    <w:rsid w:val="007A4A4F"/>
    <w:rsid w:val="007A5287"/>
    <w:rsid w:val="007A6091"/>
    <w:rsid w:val="007A6401"/>
    <w:rsid w:val="007A6BF9"/>
    <w:rsid w:val="007A7968"/>
    <w:rsid w:val="007A7AB6"/>
    <w:rsid w:val="007A7D8D"/>
    <w:rsid w:val="007B042A"/>
    <w:rsid w:val="007B0937"/>
    <w:rsid w:val="007B0FDF"/>
    <w:rsid w:val="007B1161"/>
    <w:rsid w:val="007B1170"/>
    <w:rsid w:val="007B12D2"/>
    <w:rsid w:val="007B130E"/>
    <w:rsid w:val="007B14EA"/>
    <w:rsid w:val="007B1678"/>
    <w:rsid w:val="007B1832"/>
    <w:rsid w:val="007B2361"/>
    <w:rsid w:val="007B25BA"/>
    <w:rsid w:val="007B280B"/>
    <w:rsid w:val="007B2EB8"/>
    <w:rsid w:val="007B3884"/>
    <w:rsid w:val="007B3A4C"/>
    <w:rsid w:val="007B3D47"/>
    <w:rsid w:val="007B42E1"/>
    <w:rsid w:val="007B49F0"/>
    <w:rsid w:val="007B541F"/>
    <w:rsid w:val="007B54CF"/>
    <w:rsid w:val="007B58B7"/>
    <w:rsid w:val="007B58C2"/>
    <w:rsid w:val="007B5D0D"/>
    <w:rsid w:val="007B5D52"/>
    <w:rsid w:val="007B654F"/>
    <w:rsid w:val="007B6815"/>
    <w:rsid w:val="007B69AE"/>
    <w:rsid w:val="007B6A1D"/>
    <w:rsid w:val="007B7778"/>
    <w:rsid w:val="007B78D2"/>
    <w:rsid w:val="007B7D6C"/>
    <w:rsid w:val="007C0605"/>
    <w:rsid w:val="007C0DBF"/>
    <w:rsid w:val="007C19C1"/>
    <w:rsid w:val="007C1EB4"/>
    <w:rsid w:val="007C1EB5"/>
    <w:rsid w:val="007C294C"/>
    <w:rsid w:val="007C2D7E"/>
    <w:rsid w:val="007C2EC8"/>
    <w:rsid w:val="007C329C"/>
    <w:rsid w:val="007C391C"/>
    <w:rsid w:val="007C3C1D"/>
    <w:rsid w:val="007C4102"/>
    <w:rsid w:val="007C41C4"/>
    <w:rsid w:val="007C4499"/>
    <w:rsid w:val="007C5359"/>
    <w:rsid w:val="007C58A7"/>
    <w:rsid w:val="007C6208"/>
    <w:rsid w:val="007C626F"/>
    <w:rsid w:val="007C6515"/>
    <w:rsid w:val="007C683C"/>
    <w:rsid w:val="007C7295"/>
    <w:rsid w:val="007C787A"/>
    <w:rsid w:val="007C79A7"/>
    <w:rsid w:val="007C7A6E"/>
    <w:rsid w:val="007D03CD"/>
    <w:rsid w:val="007D04F5"/>
    <w:rsid w:val="007D07D9"/>
    <w:rsid w:val="007D0F3C"/>
    <w:rsid w:val="007D1582"/>
    <w:rsid w:val="007D1E44"/>
    <w:rsid w:val="007D299D"/>
    <w:rsid w:val="007D2BC7"/>
    <w:rsid w:val="007D2C56"/>
    <w:rsid w:val="007D3835"/>
    <w:rsid w:val="007D3A03"/>
    <w:rsid w:val="007D46B2"/>
    <w:rsid w:val="007D5358"/>
    <w:rsid w:val="007D5D3C"/>
    <w:rsid w:val="007D5D96"/>
    <w:rsid w:val="007D5F26"/>
    <w:rsid w:val="007D68C6"/>
    <w:rsid w:val="007D6A07"/>
    <w:rsid w:val="007D751D"/>
    <w:rsid w:val="007D77AD"/>
    <w:rsid w:val="007D7881"/>
    <w:rsid w:val="007D7F54"/>
    <w:rsid w:val="007E0343"/>
    <w:rsid w:val="007E035D"/>
    <w:rsid w:val="007E18BA"/>
    <w:rsid w:val="007E1A8D"/>
    <w:rsid w:val="007E1ACD"/>
    <w:rsid w:val="007E1D5E"/>
    <w:rsid w:val="007E2B0B"/>
    <w:rsid w:val="007E2E4B"/>
    <w:rsid w:val="007E30CF"/>
    <w:rsid w:val="007E3BD0"/>
    <w:rsid w:val="007E4225"/>
    <w:rsid w:val="007E478D"/>
    <w:rsid w:val="007E4FAE"/>
    <w:rsid w:val="007E513E"/>
    <w:rsid w:val="007E5205"/>
    <w:rsid w:val="007E52F9"/>
    <w:rsid w:val="007E53E1"/>
    <w:rsid w:val="007E54E9"/>
    <w:rsid w:val="007E5549"/>
    <w:rsid w:val="007E5CAA"/>
    <w:rsid w:val="007E5ED3"/>
    <w:rsid w:val="007E727D"/>
    <w:rsid w:val="007E7520"/>
    <w:rsid w:val="007E7C71"/>
    <w:rsid w:val="007E7DCE"/>
    <w:rsid w:val="007F02CE"/>
    <w:rsid w:val="007F0313"/>
    <w:rsid w:val="007F0763"/>
    <w:rsid w:val="007F116F"/>
    <w:rsid w:val="007F1673"/>
    <w:rsid w:val="007F209F"/>
    <w:rsid w:val="007F470D"/>
    <w:rsid w:val="007F4FA4"/>
    <w:rsid w:val="007F5151"/>
    <w:rsid w:val="007F53F7"/>
    <w:rsid w:val="007F55CD"/>
    <w:rsid w:val="007F569E"/>
    <w:rsid w:val="007F5DF0"/>
    <w:rsid w:val="007F6288"/>
    <w:rsid w:val="007F6345"/>
    <w:rsid w:val="007F6465"/>
    <w:rsid w:val="007F66AE"/>
    <w:rsid w:val="007F66C6"/>
    <w:rsid w:val="007F7382"/>
    <w:rsid w:val="007F739E"/>
    <w:rsid w:val="007F79DE"/>
    <w:rsid w:val="0080011C"/>
    <w:rsid w:val="00801E9E"/>
    <w:rsid w:val="008023BA"/>
    <w:rsid w:val="008025D8"/>
    <w:rsid w:val="00802A87"/>
    <w:rsid w:val="00802EF8"/>
    <w:rsid w:val="008036DC"/>
    <w:rsid w:val="00803944"/>
    <w:rsid w:val="00803EB2"/>
    <w:rsid w:val="00803EC3"/>
    <w:rsid w:val="008049D4"/>
    <w:rsid w:val="00804B60"/>
    <w:rsid w:val="00804B67"/>
    <w:rsid w:val="00804CA4"/>
    <w:rsid w:val="00804D10"/>
    <w:rsid w:val="00804D1A"/>
    <w:rsid w:val="008056C8"/>
    <w:rsid w:val="00805806"/>
    <w:rsid w:val="00805914"/>
    <w:rsid w:val="00805A85"/>
    <w:rsid w:val="00805EB3"/>
    <w:rsid w:val="00806309"/>
    <w:rsid w:val="008063F3"/>
    <w:rsid w:val="0080652A"/>
    <w:rsid w:val="008067F3"/>
    <w:rsid w:val="00806A19"/>
    <w:rsid w:val="00806B81"/>
    <w:rsid w:val="008071DC"/>
    <w:rsid w:val="008104DF"/>
    <w:rsid w:val="008108E9"/>
    <w:rsid w:val="00810C6D"/>
    <w:rsid w:val="008113EF"/>
    <w:rsid w:val="00811556"/>
    <w:rsid w:val="00811807"/>
    <w:rsid w:val="00811CC4"/>
    <w:rsid w:val="00812576"/>
    <w:rsid w:val="00812594"/>
    <w:rsid w:val="00812C3F"/>
    <w:rsid w:val="0081304B"/>
    <w:rsid w:val="0081307B"/>
    <w:rsid w:val="008132BA"/>
    <w:rsid w:val="0081340B"/>
    <w:rsid w:val="0081372A"/>
    <w:rsid w:val="00813748"/>
    <w:rsid w:val="00813818"/>
    <w:rsid w:val="00813C20"/>
    <w:rsid w:val="00813C3D"/>
    <w:rsid w:val="00814829"/>
    <w:rsid w:val="008148DB"/>
    <w:rsid w:val="00815332"/>
    <w:rsid w:val="0081580D"/>
    <w:rsid w:val="00815998"/>
    <w:rsid w:val="00815FA0"/>
    <w:rsid w:val="0081603E"/>
    <w:rsid w:val="00816287"/>
    <w:rsid w:val="00816407"/>
    <w:rsid w:val="00816D14"/>
    <w:rsid w:val="00817A32"/>
    <w:rsid w:val="00817A5B"/>
    <w:rsid w:val="00817CA2"/>
    <w:rsid w:val="00817EBD"/>
    <w:rsid w:val="008206B6"/>
    <w:rsid w:val="00820762"/>
    <w:rsid w:val="00820987"/>
    <w:rsid w:val="00820B36"/>
    <w:rsid w:val="00820F70"/>
    <w:rsid w:val="0082105E"/>
    <w:rsid w:val="008213DB"/>
    <w:rsid w:val="00821984"/>
    <w:rsid w:val="0082198D"/>
    <w:rsid w:val="00821A87"/>
    <w:rsid w:val="00821BB0"/>
    <w:rsid w:val="00821D90"/>
    <w:rsid w:val="008229B1"/>
    <w:rsid w:val="00822C79"/>
    <w:rsid w:val="00822D08"/>
    <w:rsid w:val="00822EE6"/>
    <w:rsid w:val="0082366E"/>
    <w:rsid w:val="00823940"/>
    <w:rsid w:val="00823D0D"/>
    <w:rsid w:val="00823D98"/>
    <w:rsid w:val="0082443E"/>
    <w:rsid w:val="00824A17"/>
    <w:rsid w:val="00826461"/>
    <w:rsid w:val="008268C3"/>
    <w:rsid w:val="00826DDC"/>
    <w:rsid w:val="00826EDF"/>
    <w:rsid w:val="00827014"/>
    <w:rsid w:val="0082704C"/>
    <w:rsid w:val="00827091"/>
    <w:rsid w:val="00827E41"/>
    <w:rsid w:val="00830A94"/>
    <w:rsid w:val="00830C44"/>
    <w:rsid w:val="00830E3B"/>
    <w:rsid w:val="00831D18"/>
    <w:rsid w:val="008325B5"/>
    <w:rsid w:val="00833184"/>
    <w:rsid w:val="00833709"/>
    <w:rsid w:val="008338AC"/>
    <w:rsid w:val="00833C2F"/>
    <w:rsid w:val="008340AA"/>
    <w:rsid w:val="008343F2"/>
    <w:rsid w:val="00834555"/>
    <w:rsid w:val="008349BB"/>
    <w:rsid w:val="00834A8B"/>
    <w:rsid w:val="00834B38"/>
    <w:rsid w:val="00834CFA"/>
    <w:rsid w:val="00834E4B"/>
    <w:rsid w:val="00835286"/>
    <w:rsid w:val="0083551F"/>
    <w:rsid w:val="00835872"/>
    <w:rsid w:val="00835EF6"/>
    <w:rsid w:val="00836009"/>
    <w:rsid w:val="00836533"/>
    <w:rsid w:val="008366C0"/>
    <w:rsid w:val="00837AD4"/>
    <w:rsid w:val="00837CEE"/>
    <w:rsid w:val="00837DAE"/>
    <w:rsid w:val="00837E52"/>
    <w:rsid w:val="00840365"/>
    <w:rsid w:val="00840512"/>
    <w:rsid w:val="0084071A"/>
    <w:rsid w:val="00840812"/>
    <w:rsid w:val="00840BFF"/>
    <w:rsid w:val="0084189E"/>
    <w:rsid w:val="00841B11"/>
    <w:rsid w:val="008421B2"/>
    <w:rsid w:val="008424C5"/>
    <w:rsid w:val="0084299C"/>
    <w:rsid w:val="00842DA8"/>
    <w:rsid w:val="00843431"/>
    <w:rsid w:val="008436A4"/>
    <w:rsid w:val="00843FF3"/>
    <w:rsid w:val="00844927"/>
    <w:rsid w:val="00845304"/>
    <w:rsid w:val="00846866"/>
    <w:rsid w:val="00846E35"/>
    <w:rsid w:val="00846ED9"/>
    <w:rsid w:val="008476CC"/>
    <w:rsid w:val="0084782E"/>
    <w:rsid w:val="0085032B"/>
    <w:rsid w:val="0085032C"/>
    <w:rsid w:val="00850528"/>
    <w:rsid w:val="008511EE"/>
    <w:rsid w:val="00851457"/>
    <w:rsid w:val="00851990"/>
    <w:rsid w:val="00852001"/>
    <w:rsid w:val="00852658"/>
    <w:rsid w:val="00852A28"/>
    <w:rsid w:val="008532BE"/>
    <w:rsid w:val="0085335F"/>
    <w:rsid w:val="0085337C"/>
    <w:rsid w:val="00853818"/>
    <w:rsid w:val="008539CD"/>
    <w:rsid w:val="00853F4E"/>
    <w:rsid w:val="00854055"/>
    <w:rsid w:val="00854505"/>
    <w:rsid w:val="00854DAC"/>
    <w:rsid w:val="00854EB9"/>
    <w:rsid w:val="008550C8"/>
    <w:rsid w:val="008554F5"/>
    <w:rsid w:val="00855A04"/>
    <w:rsid w:val="00855A64"/>
    <w:rsid w:val="00855B52"/>
    <w:rsid w:val="00855C36"/>
    <w:rsid w:val="008561BE"/>
    <w:rsid w:val="008568A0"/>
    <w:rsid w:val="00856977"/>
    <w:rsid w:val="00856A68"/>
    <w:rsid w:val="00857132"/>
    <w:rsid w:val="008572D4"/>
    <w:rsid w:val="00857B9D"/>
    <w:rsid w:val="0086014F"/>
    <w:rsid w:val="00860574"/>
    <w:rsid w:val="00860A9A"/>
    <w:rsid w:val="00860B29"/>
    <w:rsid w:val="0086103E"/>
    <w:rsid w:val="008625E9"/>
    <w:rsid w:val="00862A91"/>
    <w:rsid w:val="008632E9"/>
    <w:rsid w:val="008637C4"/>
    <w:rsid w:val="00863F2C"/>
    <w:rsid w:val="0086414F"/>
    <w:rsid w:val="0086425D"/>
    <w:rsid w:val="008643BD"/>
    <w:rsid w:val="00864912"/>
    <w:rsid w:val="00864ABC"/>
    <w:rsid w:val="008658A9"/>
    <w:rsid w:val="00865DAE"/>
    <w:rsid w:val="00865F74"/>
    <w:rsid w:val="00866036"/>
    <w:rsid w:val="00866687"/>
    <w:rsid w:val="008668CE"/>
    <w:rsid w:val="00866AAF"/>
    <w:rsid w:val="00866D42"/>
    <w:rsid w:val="00866F4E"/>
    <w:rsid w:val="0086737E"/>
    <w:rsid w:val="008674ED"/>
    <w:rsid w:val="00867690"/>
    <w:rsid w:val="00867D85"/>
    <w:rsid w:val="00870180"/>
    <w:rsid w:val="008707F5"/>
    <w:rsid w:val="00870D92"/>
    <w:rsid w:val="0087175D"/>
    <w:rsid w:val="00871C74"/>
    <w:rsid w:val="00871D69"/>
    <w:rsid w:val="00872302"/>
    <w:rsid w:val="008723E7"/>
    <w:rsid w:val="00872578"/>
    <w:rsid w:val="00872F22"/>
    <w:rsid w:val="008732AB"/>
    <w:rsid w:val="00873354"/>
    <w:rsid w:val="0087399F"/>
    <w:rsid w:val="00874396"/>
    <w:rsid w:val="00874D2F"/>
    <w:rsid w:val="00874F76"/>
    <w:rsid w:val="00875628"/>
    <w:rsid w:val="00875B34"/>
    <w:rsid w:val="00876723"/>
    <w:rsid w:val="00876845"/>
    <w:rsid w:val="00876D37"/>
    <w:rsid w:val="00876FAE"/>
    <w:rsid w:val="00876FF8"/>
    <w:rsid w:val="00877097"/>
    <w:rsid w:val="00877535"/>
    <w:rsid w:val="008775BD"/>
    <w:rsid w:val="00877662"/>
    <w:rsid w:val="008778F4"/>
    <w:rsid w:val="0087795F"/>
    <w:rsid w:val="00877C1C"/>
    <w:rsid w:val="0088019B"/>
    <w:rsid w:val="008801C6"/>
    <w:rsid w:val="008802C8"/>
    <w:rsid w:val="00880A9D"/>
    <w:rsid w:val="0088159A"/>
    <w:rsid w:val="008818A2"/>
    <w:rsid w:val="00881B07"/>
    <w:rsid w:val="00881E0C"/>
    <w:rsid w:val="00881E98"/>
    <w:rsid w:val="008820EA"/>
    <w:rsid w:val="008823DB"/>
    <w:rsid w:val="00882E2F"/>
    <w:rsid w:val="008834F6"/>
    <w:rsid w:val="008838BB"/>
    <w:rsid w:val="00883A5A"/>
    <w:rsid w:val="00883E41"/>
    <w:rsid w:val="00884000"/>
    <w:rsid w:val="008840BB"/>
    <w:rsid w:val="0088448D"/>
    <w:rsid w:val="0088480E"/>
    <w:rsid w:val="00884C50"/>
    <w:rsid w:val="00885B96"/>
    <w:rsid w:val="00886072"/>
    <w:rsid w:val="00886971"/>
    <w:rsid w:val="00886A19"/>
    <w:rsid w:val="008879EB"/>
    <w:rsid w:val="00887E93"/>
    <w:rsid w:val="00890290"/>
    <w:rsid w:val="008905EB"/>
    <w:rsid w:val="00890CF5"/>
    <w:rsid w:val="008912D8"/>
    <w:rsid w:val="00891332"/>
    <w:rsid w:val="008913B3"/>
    <w:rsid w:val="00891930"/>
    <w:rsid w:val="00892929"/>
    <w:rsid w:val="00892940"/>
    <w:rsid w:val="008931CA"/>
    <w:rsid w:val="0089360B"/>
    <w:rsid w:val="00893876"/>
    <w:rsid w:val="00893A88"/>
    <w:rsid w:val="00893CF9"/>
    <w:rsid w:val="00893FC2"/>
    <w:rsid w:val="00895215"/>
    <w:rsid w:val="00895E5D"/>
    <w:rsid w:val="00895F24"/>
    <w:rsid w:val="00896A1E"/>
    <w:rsid w:val="00897264"/>
    <w:rsid w:val="00897619"/>
    <w:rsid w:val="00897B44"/>
    <w:rsid w:val="008A09F8"/>
    <w:rsid w:val="008A135C"/>
    <w:rsid w:val="008A175A"/>
    <w:rsid w:val="008A1AD0"/>
    <w:rsid w:val="008A1AEE"/>
    <w:rsid w:val="008A1F30"/>
    <w:rsid w:val="008A2617"/>
    <w:rsid w:val="008A297E"/>
    <w:rsid w:val="008A2F39"/>
    <w:rsid w:val="008A34C0"/>
    <w:rsid w:val="008A47F0"/>
    <w:rsid w:val="008A4D9E"/>
    <w:rsid w:val="008A4E01"/>
    <w:rsid w:val="008A54CD"/>
    <w:rsid w:val="008A57E8"/>
    <w:rsid w:val="008A5C58"/>
    <w:rsid w:val="008A5EED"/>
    <w:rsid w:val="008A60B2"/>
    <w:rsid w:val="008A60D1"/>
    <w:rsid w:val="008A6C50"/>
    <w:rsid w:val="008A7153"/>
    <w:rsid w:val="008A7A06"/>
    <w:rsid w:val="008A7C22"/>
    <w:rsid w:val="008B0349"/>
    <w:rsid w:val="008B0450"/>
    <w:rsid w:val="008B0B3E"/>
    <w:rsid w:val="008B0D86"/>
    <w:rsid w:val="008B1242"/>
    <w:rsid w:val="008B140C"/>
    <w:rsid w:val="008B1F36"/>
    <w:rsid w:val="008B2005"/>
    <w:rsid w:val="008B20C4"/>
    <w:rsid w:val="008B222C"/>
    <w:rsid w:val="008B28B3"/>
    <w:rsid w:val="008B2CE1"/>
    <w:rsid w:val="008B2D0C"/>
    <w:rsid w:val="008B312E"/>
    <w:rsid w:val="008B331F"/>
    <w:rsid w:val="008B349E"/>
    <w:rsid w:val="008B427C"/>
    <w:rsid w:val="008B42C2"/>
    <w:rsid w:val="008B433F"/>
    <w:rsid w:val="008B4985"/>
    <w:rsid w:val="008B4F66"/>
    <w:rsid w:val="008B536D"/>
    <w:rsid w:val="008B58B4"/>
    <w:rsid w:val="008B5F33"/>
    <w:rsid w:val="008B65F6"/>
    <w:rsid w:val="008B67BB"/>
    <w:rsid w:val="008B6D39"/>
    <w:rsid w:val="008B6FD7"/>
    <w:rsid w:val="008B72D1"/>
    <w:rsid w:val="008B733D"/>
    <w:rsid w:val="008B7520"/>
    <w:rsid w:val="008B76F5"/>
    <w:rsid w:val="008B7781"/>
    <w:rsid w:val="008B7B89"/>
    <w:rsid w:val="008C0354"/>
    <w:rsid w:val="008C046A"/>
    <w:rsid w:val="008C04A7"/>
    <w:rsid w:val="008C0621"/>
    <w:rsid w:val="008C097D"/>
    <w:rsid w:val="008C0A89"/>
    <w:rsid w:val="008C0F1E"/>
    <w:rsid w:val="008C22CC"/>
    <w:rsid w:val="008C27E4"/>
    <w:rsid w:val="008C2961"/>
    <w:rsid w:val="008C2C48"/>
    <w:rsid w:val="008C2DCC"/>
    <w:rsid w:val="008C330D"/>
    <w:rsid w:val="008C336C"/>
    <w:rsid w:val="008C36E7"/>
    <w:rsid w:val="008C4119"/>
    <w:rsid w:val="008C4CBD"/>
    <w:rsid w:val="008C5330"/>
    <w:rsid w:val="008C54A1"/>
    <w:rsid w:val="008C5A63"/>
    <w:rsid w:val="008C6493"/>
    <w:rsid w:val="008C65D0"/>
    <w:rsid w:val="008C683B"/>
    <w:rsid w:val="008C695A"/>
    <w:rsid w:val="008C69D0"/>
    <w:rsid w:val="008C6DBB"/>
    <w:rsid w:val="008C727E"/>
    <w:rsid w:val="008C7F84"/>
    <w:rsid w:val="008D0A22"/>
    <w:rsid w:val="008D0BDE"/>
    <w:rsid w:val="008D0F54"/>
    <w:rsid w:val="008D15C3"/>
    <w:rsid w:val="008D1691"/>
    <w:rsid w:val="008D1E2D"/>
    <w:rsid w:val="008D21EC"/>
    <w:rsid w:val="008D270D"/>
    <w:rsid w:val="008D2977"/>
    <w:rsid w:val="008D3589"/>
    <w:rsid w:val="008D3C84"/>
    <w:rsid w:val="008D4208"/>
    <w:rsid w:val="008D45A0"/>
    <w:rsid w:val="008D46B5"/>
    <w:rsid w:val="008D4746"/>
    <w:rsid w:val="008D4D96"/>
    <w:rsid w:val="008D4F0F"/>
    <w:rsid w:val="008D5114"/>
    <w:rsid w:val="008D5ADB"/>
    <w:rsid w:val="008D5D38"/>
    <w:rsid w:val="008D5DCE"/>
    <w:rsid w:val="008D6395"/>
    <w:rsid w:val="008D6399"/>
    <w:rsid w:val="008D685D"/>
    <w:rsid w:val="008D7597"/>
    <w:rsid w:val="008D7C04"/>
    <w:rsid w:val="008E03A0"/>
    <w:rsid w:val="008E07CE"/>
    <w:rsid w:val="008E0C1B"/>
    <w:rsid w:val="008E1454"/>
    <w:rsid w:val="008E1F6D"/>
    <w:rsid w:val="008E273C"/>
    <w:rsid w:val="008E27D9"/>
    <w:rsid w:val="008E2D4E"/>
    <w:rsid w:val="008E2E90"/>
    <w:rsid w:val="008E33D1"/>
    <w:rsid w:val="008E3685"/>
    <w:rsid w:val="008E3CB0"/>
    <w:rsid w:val="008E3FC4"/>
    <w:rsid w:val="008E3FCC"/>
    <w:rsid w:val="008E42CA"/>
    <w:rsid w:val="008E4622"/>
    <w:rsid w:val="008E4665"/>
    <w:rsid w:val="008E4DF2"/>
    <w:rsid w:val="008E57A4"/>
    <w:rsid w:val="008E5D42"/>
    <w:rsid w:val="008E5E0F"/>
    <w:rsid w:val="008E60B4"/>
    <w:rsid w:val="008E6267"/>
    <w:rsid w:val="008E6AF6"/>
    <w:rsid w:val="008E6C31"/>
    <w:rsid w:val="008E7207"/>
    <w:rsid w:val="008E7460"/>
    <w:rsid w:val="008E7C4F"/>
    <w:rsid w:val="008E7C7C"/>
    <w:rsid w:val="008F0387"/>
    <w:rsid w:val="008F1C4C"/>
    <w:rsid w:val="008F24D2"/>
    <w:rsid w:val="008F3382"/>
    <w:rsid w:val="008F3B1D"/>
    <w:rsid w:val="008F3DD0"/>
    <w:rsid w:val="008F40B8"/>
    <w:rsid w:val="008F42FB"/>
    <w:rsid w:val="008F4800"/>
    <w:rsid w:val="008F4938"/>
    <w:rsid w:val="008F4D88"/>
    <w:rsid w:val="008F502B"/>
    <w:rsid w:val="008F55CD"/>
    <w:rsid w:val="008F55D9"/>
    <w:rsid w:val="008F5630"/>
    <w:rsid w:val="008F5E24"/>
    <w:rsid w:val="008F64E3"/>
    <w:rsid w:val="008F676E"/>
    <w:rsid w:val="008F67A1"/>
    <w:rsid w:val="008F6876"/>
    <w:rsid w:val="008F6E00"/>
    <w:rsid w:val="008F7070"/>
    <w:rsid w:val="008F7277"/>
    <w:rsid w:val="008F72EF"/>
    <w:rsid w:val="008F73F5"/>
    <w:rsid w:val="008F7CDE"/>
    <w:rsid w:val="00900064"/>
    <w:rsid w:val="009008A1"/>
    <w:rsid w:val="00900B45"/>
    <w:rsid w:val="00901820"/>
    <w:rsid w:val="00901A00"/>
    <w:rsid w:val="00901E93"/>
    <w:rsid w:val="0090216C"/>
    <w:rsid w:val="0090257D"/>
    <w:rsid w:val="009035E3"/>
    <w:rsid w:val="009039C8"/>
    <w:rsid w:val="00903DED"/>
    <w:rsid w:val="00904091"/>
    <w:rsid w:val="009043EE"/>
    <w:rsid w:val="00904545"/>
    <w:rsid w:val="009045A6"/>
    <w:rsid w:val="009045B6"/>
    <w:rsid w:val="0090498D"/>
    <w:rsid w:val="009050AD"/>
    <w:rsid w:val="009055AC"/>
    <w:rsid w:val="009056F6"/>
    <w:rsid w:val="00905CAF"/>
    <w:rsid w:val="00905F4C"/>
    <w:rsid w:val="0090617A"/>
    <w:rsid w:val="00906186"/>
    <w:rsid w:val="00906404"/>
    <w:rsid w:val="009067DF"/>
    <w:rsid w:val="0090682C"/>
    <w:rsid w:val="009068F6"/>
    <w:rsid w:val="00906981"/>
    <w:rsid w:val="00906B81"/>
    <w:rsid w:val="00906C93"/>
    <w:rsid w:val="00907F1D"/>
    <w:rsid w:val="009107EA"/>
    <w:rsid w:val="009126EA"/>
    <w:rsid w:val="009127B7"/>
    <w:rsid w:val="009128DD"/>
    <w:rsid w:val="0091322C"/>
    <w:rsid w:val="009134B4"/>
    <w:rsid w:val="00913A94"/>
    <w:rsid w:val="00913F37"/>
    <w:rsid w:val="009147CE"/>
    <w:rsid w:val="00914D12"/>
    <w:rsid w:val="00914D5D"/>
    <w:rsid w:val="00914E40"/>
    <w:rsid w:val="00915507"/>
    <w:rsid w:val="00915B2B"/>
    <w:rsid w:val="009165E1"/>
    <w:rsid w:val="00916703"/>
    <w:rsid w:val="009168A9"/>
    <w:rsid w:val="00916D7B"/>
    <w:rsid w:val="0091735B"/>
    <w:rsid w:val="0091746D"/>
    <w:rsid w:val="0092034C"/>
    <w:rsid w:val="00920D1C"/>
    <w:rsid w:val="00920E4E"/>
    <w:rsid w:val="00920FBD"/>
    <w:rsid w:val="009212A1"/>
    <w:rsid w:val="009212A6"/>
    <w:rsid w:val="00921408"/>
    <w:rsid w:val="00921945"/>
    <w:rsid w:val="0092286A"/>
    <w:rsid w:val="00922882"/>
    <w:rsid w:val="00922BE7"/>
    <w:rsid w:val="00922C01"/>
    <w:rsid w:val="00922EE6"/>
    <w:rsid w:val="00923117"/>
    <w:rsid w:val="00923314"/>
    <w:rsid w:val="009234F9"/>
    <w:rsid w:val="00923BB4"/>
    <w:rsid w:val="00923C22"/>
    <w:rsid w:val="00923EB2"/>
    <w:rsid w:val="009241CC"/>
    <w:rsid w:val="00924561"/>
    <w:rsid w:val="00924EEE"/>
    <w:rsid w:val="009252AD"/>
    <w:rsid w:val="0092592A"/>
    <w:rsid w:val="00925F5A"/>
    <w:rsid w:val="00926099"/>
    <w:rsid w:val="009263B2"/>
    <w:rsid w:val="009269A3"/>
    <w:rsid w:val="00926EF3"/>
    <w:rsid w:val="00927507"/>
    <w:rsid w:val="0092760C"/>
    <w:rsid w:val="00927651"/>
    <w:rsid w:val="00927743"/>
    <w:rsid w:val="00927965"/>
    <w:rsid w:val="009306EE"/>
    <w:rsid w:val="00930791"/>
    <w:rsid w:val="00931046"/>
    <w:rsid w:val="00931332"/>
    <w:rsid w:val="0093156B"/>
    <w:rsid w:val="009316E5"/>
    <w:rsid w:val="00931C03"/>
    <w:rsid w:val="009324C5"/>
    <w:rsid w:val="00932991"/>
    <w:rsid w:val="00933107"/>
    <w:rsid w:val="00933411"/>
    <w:rsid w:val="009334CE"/>
    <w:rsid w:val="0093373B"/>
    <w:rsid w:val="0093393E"/>
    <w:rsid w:val="00933D21"/>
    <w:rsid w:val="00933DFB"/>
    <w:rsid w:val="009342B7"/>
    <w:rsid w:val="009350BC"/>
    <w:rsid w:val="0093512B"/>
    <w:rsid w:val="009352D4"/>
    <w:rsid w:val="009358F1"/>
    <w:rsid w:val="00936477"/>
    <w:rsid w:val="009364F5"/>
    <w:rsid w:val="00937CD1"/>
    <w:rsid w:val="009402F4"/>
    <w:rsid w:val="009404B4"/>
    <w:rsid w:val="00940B04"/>
    <w:rsid w:val="0094108E"/>
    <w:rsid w:val="00941604"/>
    <w:rsid w:val="00941752"/>
    <w:rsid w:val="0094248D"/>
    <w:rsid w:val="00942592"/>
    <w:rsid w:val="00943187"/>
    <w:rsid w:val="00943992"/>
    <w:rsid w:val="00943FB8"/>
    <w:rsid w:val="00944070"/>
    <w:rsid w:val="00944256"/>
    <w:rsid w:val="00944D3D"/>
    <w:rsid w:val="009456C7"/>
    <w:rsid w:val="00945794"/>
    <w:rsid w:val="00946057"/>
    <w:rsid w:val="00946376"/>
    <w:rsid w:val="00946A57"/>
    <w:rsid w:val="00946B16"/>
    <w:rsid w:val="009470FE"/>
    <w:rsid w:val="0094762B"/>
    <w:rsid w:val="00947E68"/>
    <w:rsid w:val="0095056A"/>
    <w:rsid w:val="009512CB"/>
    <w:rsid w:val="009520DE"/>
    <w:rsid w:val="00952238"/>
    <w:rsid w:val="00952561"/>
    <w:rsid w:val="00952881"/>
    <w:rsid w:val="00952966"/>
    <w:rsid w:val="00952EF4"/>
    <w:rsid w:val="009532F4"/>
    <w:rsid w:val="00953A11"/>
    <w:rsid w:val="009543EF"/>
    <w:rsid w:val="00954B59"/>
    <w:rsid w:val="00954EA2"/>
    <w:rsid w:val="009550EA"/>
    <w:rsid w:val="009550F0"/>
    <w:rsid w:val="00955988"/>
    <w:rsid w:val="00955CBF"/>
    <w:rsid w:val="0095601B"/>
    <w:rsid w:val="0095689C"/>
    <w:rsid w:val="00956D9A"/>
    <w:rsid w:val="00956EE4"/>
    <w:rsid w:val="009579BB"/>
    <w:rsid w:val="00957A87"/>
    <w:rsid w:val="00957E45"/>
    <w:rsid w:val="00957E89"/>
    <w:rsid w:val="00960B14"/>
    <w:rsid w:val="0096105F"/>
    <w:rsid w:val="009610CB"/>
    <w:rsid w:val="00961C8D"/>
    <w:rsid w:val="00961DC0"/>
    <w:rsid w:val="0096217E"/>
    <w:rsid w:val="00962545"/>
    <w:rsid w:val="00963079"/>
    <w:rsid w:val="0096333C"/>
    <w:rsid w:val="009638F2"/>
    <w:rsid w:val="009639E7"/>
    <w:rsid w:val="00964AAF"/>
    <w:rsid w:val="00964CCE"/>
    <w:rsid w:val="00964FB0"/>
    <w:rsid w:val="009650CF"/>
    <w:rsid w:val="00965666"/>
    <w:rsid w:val="009656F4"/>
    <w:rsid w:val="00965BDD"/>
    <w:rsid w:val="00965EF1"/>
    <w:rsid w:val="0096625D"/>
    <w:rsid w:val="00967079"/>
    <w:rsid w:val="009670F8"/>
    <w:rsid w:val="009672B7"/>
    <w:rsid w:val="00967748"/>
    <w:rsid w:val="00967D80"/>
    <w:rsid w:val="00967D8A"/>
    <w:rsid w:val="00970180"/>
    <w:rsid w:val="00970512"/>
    <w:rsid w:val="00970B1F"/>
    <w:rsid w:val="00971AB8"/>
    <w:rsid w:val="00971E9F"/>
    <w:rsid w:val="00972219"/>
    <w:rsid w:val="0097236C"/>
    <w:rsid w:val="00972911"/>
    <w:rsid w:val="00972969"/>
    <w:rsid w:val="00972AE1"/>
    <w:rsid w:val="00972D52"/>
    <w:rsid w:val="00972F1C"/>
    <w:rsid w:val="009732A5"/>
    <w:rsid w:val="0097385B"/>
    <w:rsid w:val="00973A14"/>
    <w:rsid w:val="00973DF4"/>
    <w:rsid w:val="00974038"/>
    <w:rsid w:val="0097426C"/>
    <w:rsid w:val="00974449"/>
    <w:rsid w:val="00974CE3"/>
    <w:rsid w:val="00974FCD"/>
    <w:rsid w:val="00975891"/>
    <w:rsid w:val="00975C97"/>
    <w:rsid w:val="00975DAE"/>
    <w:rsid w:val="00975E31"/>
    <w:rsid w:val="00976B17"/>
    <w:rsid w:val="0097756C"/>
    <w:rsid w:val="009800C3"/>
    <w:rsid w:val="0098018B"/>
    <w:rsid w:val="00980AF6"/>
    <w:rsid w:val="00980D86"/>
    <w:rsid w:val="00980F06"/>
    <w:rsid w:val="009814B7"/>
    <w:rsid w:val="009816B2"/>
    <w:rsid w:val="00981BCA"/>
    <w:rsid w:val="00981C5E"/>
    <w:rsid w:val="00981D1F"/>
    <w:rsid w:val="0098204C"/>
    <w:rsid w:val="009822FE"/>
    <w:rsid w:val="0098271D"/>
    <w:rsid w:val="00982915"/>
    <w:rsid w:val="00982B52"/>
    <w:rsid w:val="00982BA4"/>
    <w:rsid w:val="00982E88"/>
    <w:rsid w:val="0098363A"/>
    <w:rsid w:val="00983A4A"/>
    <w:rsid w:val="00983C91"/>
    <w:rsid w:val="00983D5C"/>
    <w:rsid w:val="00983FF8"/>
    <w:rsid w:val="00984110"/>
    <w:rsid w:val="009842AE"/>
    <w:rsid w:val="009854B6"/>
    <w:rsid w:val="00985AF4"/>
    <w:rsid w:val="0098602E"/>
    <w:rsid w:val="00986474"/>
    <w:rsid w:val="0098668B"/>
    <w:rsid w:val="009866B4"/>
    <w:rsid w:val="009869FD"/>
    <w:rsid w:val="00987091"/>
    <w:rsid w:val="00990300"/>
    <w:rsid w:val="0099116B"/>
    <w:rsid w:val="0099138B"/>
    <w:rsid w:val="00991602"/>
    <w:rsid w:val="00991D6A"/>
    <w:rsid w:val="00991D9E"/>
    <w:rsid w:val="00991E7F"/>
    <w:rsid w:val="009920A9"/>
    <w:rsid w:val="009929F0"/>
    <w:rsid w:val="009932EF"/>
    <w:rsid w:val="00993404"/>
    <w:rsid w:val="00993831"/>
    <w:rsid w:val="0099389D"/>
    <w:rsid w:val="00993FE3"/>
    <w:rsid w:val="0099401C"/>
    <w:rsid w:val="009945B5"/>
    <w:rsid w:val="009946C6"/>
    <w:rsid w:val="00994893"/>
    <w:rsid w:val="00994E68"/>
    <w:rsid w:val="009951DF"/>
    <w:rsid w:val="009953E5"/>
    <w:rsid w:val="00996079"/>
    <w:rsid w:val="009970C1"/>
    <w:rsid w:val="009971E2"/>
    <w:rsid w:val="009973F0"/>
    <w:rsid w:val="00997D2F"/>
    <w:rsid w:val="00997F6D"/>
    <w:rsid w:val="00997FDE"/>
    <w:rsid w:val="009A075B"/>
    <w:rsid w:val="009A0EFC"/>
    <w:rsid w:val="009A0F2A"/>
    <w:rsid w:val="009A165E"/>
    <w:rsid w:val="009A1937"/>
    <w:rsid w:val="009A1D18"/>
    <w:rsid w:val="009A2CCB"/>
    <w:rsid w:val="009A344B"/>
    <w:rsid w:val="009A346E"/>
    <w:rsid w:val="009A36F1"/>
    <w:rsid w:val="009A3789"/>
    <w:rsid w:val="009A3ED0"/>
    <w:rsid w:val="009A40D1"/>
    <w:rsid w:val="009A434A"/>
    <w:rsid w:val="009A55B6"/>
    <w:rsid w:val="009A6103"/>
    <w:rsid w:val="009A6598"/>
    <w:rsid w:val="009A681B"/>
    <w:rsid w:val="009A69DA"/>
    <w:rsid w:val="009A6E8A"/>
    <w:rsid w:val="009A6FA7"/>
    <w:rsid w:val="009A756B"/>
    <w:rsid w:val="009A7572"/>
    <w:rsid w:val="009A758F"/>
    <w:rsid w:val="009A761B"/>
    <w:rsid w:val="009A77B4"/>
    <w:rsid w:val="009A795E"/>
    <w:rsid w:val="009B063E"/>
    <w:rsid w:val="009B0B54"/>
    <w:rsid w:val="009B0C0D"/>
    <w:rsid w:val="009B0FE3"/>
    <w:rsid w:val="009B1368"/>
    <w:rsid w:val="009B151E"/>
    <w:rsid w:val="009B15AC"/>
    <w:rsid w:val="009B18FC"/>
    <w:rsid w:val="009B1902"/>
    <w:rsid w:val="009B1969"/>
    <w:rsid w:val="009B1E22"/>
    <w:rsid w:val="009B1F4C"/>
    <w:rsid w:val="009B2ACE"/>
    <w:rsid w:val="009B2E33"/>
    <w:rsid w:val="009B33DF"/>
    <w:rsid w:val="009B3DAF"/>
    <w:rsid w:val="009B4003"/>
    <w:rsid w:val="009B4057"/>
    <w:rsid w:val="009B4566"/>
    <w:rsid w:val="009B4783"/>
    <w:rsid w:val="009B4D93"/>
    <w:rsid w:val="009B54B0"/>
    <w:rsid w:val="009B5602"/>
    <w:rsid w:val="009B595A"/>
    <w:rsid w:val="009B5EC4"/>
    <w:rsid w:val="009B63E0"/>
    <w:rsid w:val="009B6F13"/>
    <w:rsid w:val="009B6F62"/>
    <w:rsid w:val="009B76A6"/>
    <w:rsid w:val="009C0C3A"/>
    <w:rsid w:val="009C0D1C"/>
    <w:rsid w:val="009C155A"/>
    <w:rsid w:val="009C170A"/>
    <w:rsid w:val="009C1ACF"/>
    <w:rsid w:val="009C2C96"/>
    <w:rsid w:val="009C2C9B"/>
    <w:rsid w:val="009C32A7"/>
    <w:rsid w:val="009C33E1"/>
    <w:rsid w:val="009C342A"/>
    <w:rsid w:val="009C3955"/>
    <w:rsid w:val="009C3C84"/>
    <w:rsid w:val="009C4443"/>
    <w:rsid w:val="009C44F3"/>
    <w:rsid w:val="009C4C15"/>
    <w:rsid w:val="009C4FF4"/>
    <w:rsid w:val="009C5639"/>
    <w:rsid w:val="009C5695"/>
    <w:rsid w:val="009C56F5"/>
    <w:rsid w:val="009C5BE8"/>
    <w:rsid w:val="009C6376"/>
    <w:rsid w:val="009C6A8A"/>
    <w:rsid w:val="009C6E4E"/>
    <w:rsid w:val="009C70CE"/>
    <w:rsid w:val="009C783D"/>
    <w:rsid w:val="009D0FFE"/>
    <w:rsid w:val="009D1544"/>
    <w:rsid w:val="009D199B"/>
    <w:rsid w:val="009D1F20"/>
    <w:rsid w:val="009D25F1"/>
    <w:rsid w:val="009D2B27"/>
    <w:rsid w:val="009D2BF9"/>
    <w:rsid w:val="009D2EB3"/>
    <w:rsid w:val="009D3414"/>
    <w:rsid w:val="009D36DF"/>
    <w:rsid w:val="009D3C9B"/>
    <w:rsid w:val="009D3ECD"/>
    <w:rsid w:val="009D3F83"/>
    <w:rsid w:val="009D3FDE"/>
    <w:rsid w:val="009D44A0"/>
    <w:rsid w:val="009D46DA"/>
    <w:rsid w:val="009D4AD1"/>
    <w:rsid w:val="009D4EBC"/>
    <w:rsid w:val="009D4F67"/>
    <w:rsid w:val="009D5369"/>
    <w:rsid w:val="009D551B"/>
    <w:rsid w:val="009D5554"/>
    <w:rsid w:val="009D5963"/>
    <w:rsid w:val="009D6F18"/>
    <w:rsid w:val="009D736A"/>
    <w:rsid w:val="009D736C"/>
    <w:rsid w:val="009D739E"/>
    <w:rsid w:val="009D7D6C"/>
    <w:rsid w:val="009D7DAD"/>
    <w:rsid w:val="009E0119"/>
    <w:rsid w:val="009E0170"/>
    <w:rsid w:val="009E11FD"/>
    <w:rsid w:val="009E14B8"/>
    <w:rsid w:val="009E15CC"/>
    <w:rsid w:val="009E16C1"/>
    <w:rsid w:val="009E179A"/>
    <w:rsid w:val="009E1ED1"/>
    <w:rsid w:val="009E2691"/>
    <w:rsid w:val="009E2CD3"/>
    <w:rsid w:val="009E38B3"/>
    <w:rsid w:val="009E3DCE"/>
    <w:rsid w:val="009E3F08"/>
    <w:rsid w:val="009E4212"/>
    <w:rsid w:val="009E425F"/>
    <w:rsid w:val="009E49A3"/>
    <w:rsid w:val="009E4A20"/>
    <w:rsid w:val="009E55E2"/>
    <w:rsid w:val="009E5853"/>
    <w:rsid w:val="009E5A76"/>
    <w:rsid w:val="009E5BB8"/>
    <w:rsid w:val="009E65C4"/>
    <w:rsid w:val="009E73BA"/>
    <w:rsid w:val="009E73D9"/>
    <w:rsid w:val="009E73EC"/>
    <w:rsid w:val="009E74B4"/>
    <w:rsid w:val="009E7EDF"/>
    <w:rsid w:val="009F049D"/>
    <w:rsid w:val="009F06AD"/>
    <w:rsid w:val="009F07C4"/>
    <w:rsid w:val="009F08D1"/>
    <w:rsid w:val="009F08EA"/>
    <w:rsid w:val="009F0B74"/>
    <w:rsid w:val="009F0D60"/>
    <w:rsid w:val="009F13E8"/>
    <w:rsid w:val="009F15EC"/>
    <w:rsid w:val="009F1BD3"/>
    <w:rsid w:val="009F20F0"/>
    <w:rsid w:val="009F2124"/>
    <w:rsid w:val="009F2330"/>
    <w:rsid w:val="009F23EA"/>
    <w:rsid w:val="009F262A"/>
    <w:rsid w:val="009F28AE"/>
    <w:rsid w:val="009F305D"/>
    <w:rsid w:val="009F30CC"/>
    <w:rsid w:val="009F31CA"/>
    <w:rsid w:val="009F37CD"/>
    <w:rsid w:val="009F45CA"/>
    <w:rsid w:val="009F4D5A"/>
    <w:rsid w:val="009F5205"/>
    <w:rsid w:val="009F54F6"/>
    <w:rsid w:val="009F58F1"/>
    <w:rsid w:val="009F5B25"/>
    <w:rsid w:val="009F6890"/>
    <w:rsid w:val="009F6F4D"/>
    <w:rsid w:val="009F6F8A"/>
    <w:rsid w:val="009F78F0"/>
    <w:rsid w:val="009F7B6A"/>
    <w:rsid w:val="009F7D1C"/>
    <w:rsid w:val="009F7F0A"/>
    <w:rsid w:val="00A00D3A"/>
    <w:rsid w:val="00A01334"/>
    <w:rsid w:val="00A014AD"/>
    <w:rsid w:val="00A01D90"/>
    <w:rsid w:val="00A02399"/>
    <w:rsid w:val="00A032F0"/>
    <w:rsid w:val="00A03691"/>
    <w:rsid w:val="00A03A98"/>
    <w:rsid w:val="00A03C7A"/>
    <w:rsid w:val="00A03F49"/>
    <w:rsid w:val="00A0417F"/>
    <w:rsid w:val="00A041FE"/>
    <w:rsid w:val="00A04603"/>
    <w:rsid w:val="00A047C5"/>
    <w:rsid w:val="00A04A29"/>
    <w:rsid w:val="00A04A51"/>
    <w:rsid w:val="00A04B11"/>
    <w:rsid w:val="00A04EEE"/>
    <w:rsid w:val="00A05EB3"/>
    <w:rsid w:val="00A0616D"/>
    <w:rsid w:val="00A06625"/>
    <w:rsid w:val="00A06751"/>
    <w:rsid w:val="00A06808"/>
    <w:rsid w:val="00A07075"/>
    <w:rsid w:val="00A070B7"/>
    <w:rsid w:val="00A0798B"/>
    <w:rsid w:val="00A07B53"/>
    <w:rsid w:val="00A07FC1"/>
    <w:rsid w:val="00A1021D"/>
    <w:rsid w:val="00A1034D"/>
    <w:rsid w:val="00A1045B"/>
    <w:rsid w:val="00A10505"/>
    <w:rsid w:val="00A112FE"/>
    <w:rsid w:val="00A1160E"/>
    <w:rsid w:val="00A11D60"/>
    <w:rsid w:val="00A12194"/>
    <w:rsid w:val="00A129C5"/>
    <w:rsid w:val="00A13291"/>
    <w:rsid w:val="00A1346A"/>
    <w:rsid w:val="00A13DBA"/>
    <w:rsid w:val="00A13F3C"/>
    <w:rsid w:val="00A142CC"/>
    <w:rsid w:val="00A144B6"/>
    <w:rsid w:val="00A14788"/>
    <w:rsid w:val="00A15952"/>
    <w:rsid w:val="00A15BDB"/>
    <w:rsid w:val="00A15FA5"/>
    <w:rsid w:val="00A16068"/>
    <w:rsid w:val="00A16BDE"/>
    <w:rsid w:val="00A1728D"/>
    <w:rsid w:val="00A172BF"/>
    <w:rsid w:val="00A17E97"/>
    <w:rsid w:val="00A211DB"/>
    <w:rsid w:val="00A22765"/>
    <w:rsid w:val="00A23064"/>
    <w:rsid w:val="00A23A5C"/>
    <w:rsid w:val="00A246A3"/>
    <w:rsid w:val="00A246D4"/>
    <w:rsid w:val="00A24853"/>
    <w:rsid w:val="00A253FF"/>
    <w:rsid w:val="00A26481"/>
    <w:rsid w:val="00A266BF"/>
    <w:rsid w:val="00A266F2"/>
    <w:rsid w:val="00A26791"/>
    <w:rsid w:val="00A26AF7"/>
    <w:rsid w:val="00A26B8A"/>
    <w:rsid w:val="00A26EDC"/>
    <w:rsid w:val="00A26F65"/>
    <w:rsid w:val="00A270C8"/>
    <w:rsid w:val="00A27943"/>
    <w:rsid w:val="00A27DFB"/>
    <w:rsid w:val="00A27FE0"/>
    <w:rsid w:val="00A30649"/>
    <w:rsid w:val="00A30A74"/>
    <w:rsid w:val="00A30C96"/>
    <w:rsid w:val="00A30DC0"/>
    <w:rsid w:val="00A30EA7"/>
    <w:rsid w:val="00A31E7E"/>
    <w:rsid w:val="00A32572"/>
    <w:rsid w:val="00A326B6"/>
    <w:rsid w:val="00A328A9"/>
    <w:rsid w:val="00A32CEB"/>
    <w:rsid w:val="00A32EDF"/>
    <w:rsid w:val="00A344C0"/>
    <w:rsid w:val="00A3452A"/>
    <w:rsid w:val="00A3492B"/>
    <w:rsid w:val="00A3536A"/>
    <w:rsid w:val="00A35B06"/>
    <w:rsid w:val="00A35B82"/>
    <w:rsid w:val="00A3688D"/>
    <w:rsid w:val="00A36AB1"/>
    <w:rsid w:val="00A36B49"/>
    <w:rsid w:val="00A3740A"/>
    <w:rsid w:val="00A37855"/>
    <w:rsid w:val="00A378BF"/>
    <w:rsid w:val="00A37BE3"/>
    <w:rsid w:val="00A37C6C"/>
    <w:rsid w:val="00A37F33"/>
    <w:rsid w:val="00A401FD"/>
    <w:rsid w:val="00A4052A"/>
    <w:rsid w:val="00A41110"/>
    <w:rsid w:val="00A41124"/>
    <w:rsid w:val="00A41F68"/>
    <w:rsid w:val="00A420C1"/>
    <w:rsid w:val="00A4249B"/>
    <w:rsid w:val="00A43007"/>
    <w:rsid w:val="00A4344D"/>
    <w:rsid w:val="00A44284"/>
    <w:rsid w:val="00A444BE"/>
    <w:rsid w:val="00A4477D"/>
    <w:rsid w:val="00A44A20"/>
    <w:rsid w:val="00A452DB"/>
    <w:rsid w:val="00A457C7"/>
    <w:rsid w:val="00A45976"/>
    <w:rsid w:val="00A459E0"/>
    <w:rsid w:val="00A45CA2"/>
    <w:rsid w:val="00A46413"/>
    <w:rsid w:val="00A4665C"/>
    <w:rsid w:val="00A466DE"/>
    <w:rsid w:val="00A468C2"/>
    <w:rsid w:val="00A46FAF"/>
    <w:rsid w:val="00A47492"/>
    <w:rsid w:val="00A5066E"/>
    <w:rsid w:val="00A50B80"/>
    <w:rsid w:val="00A5101E"/>
    <w:rsid w:val="00A51242"/>
    <w:rsid w:val="00A516C8"/>
    <w:rsid w:val="00A525DF"/>
    <w:rsid w:val="00A54196"/>
    <w:rsid w:val="00A541BD"/>
    <w:rsid w:val="00A545BD"/>
    <w:rsid w:val="00A54700"/>
    <w:rsid w:val="00A54902"/>
    <w:rsid w:val="00A54AAA"/>
    <w:rsid w:val="00A55615"/>
    <w:rsid w:val="00A566D4"/>
    <w:rsid w:val="00A5687C"/>
    <w:rsid w:val="00A568C2"/>
    <w:rsid w:val="00A57111"/>
    <w:rsid w:val="00A60487"/>
    <w:rsid w:val="00A60608"/>
    <w:rsid w:val="00A6071B"/>
    <w:rsid w:val="00A60902"/>
    <w:rsid w:val="00A609A7"/>
    <w:rsid w:val="00A61093"/>
    <w:rsid w:val="00A62B3D"/>
    <w:rsid w:val="00A6349A"/>
    <w:rsid w:val="00A635E2"/>
    <w:rsid w:val="00A637A6"/>
    <w:rsid w:val="00A63AA6"/>
    <w:rsid w:val="00A644ED"/>
    <w:rsid w:val="00A644EF"/>
    <w:rsid w:val="00A65291"/>
    <w:rsid w:val="00A652A9"/>
    <w:rsid w:val="00A654EA"/>
    <w:rsid w:val="00A65550"/>
    <w:rsid w:val="00A6598D"/>
    <w:rsid w:val="00A65A37"/>
    <w:rsid w:val="00A6603E"/>
    <w:rsid w:val="00A66BA9"/>
    <w:rsid w:val="00A675D5"/>
    <w:rsid w:val="00A677E1"/>
    <w:rsid w:val="00A70167"/>
    <w:rsid w:val="00A702AF"/>
    <w:rsid w:val="00A709E6"/>
    <w:rsid w:val="00A70B30"/>
    <w:rsid w:val="00A70BD7"/>
    <w:rsid w:val="00A70CD9"/>
    <w:rsid w:val="00A70F4A"/>
    <w:rsid w:val="00A71124"/>
    <w:rsid w:val="00A72586"/>
    <w:rsid w:val="00A7349F"/>
    <w:rsid w:val="00A73571"/>
    <w:rsid w:val="00A735F3"/>
    <w:rsid w:val="00A73744"/>
    <w:rsid w:val="00A7375B"/>
    <w:rsid w:val="00A73A3E"/>
    <w:rsid w:val="00A74012"/>
    <w:rsid w:val="00A74105"/>
    <w:rsid w:val="00A741DC"/>
    <w:rsid w:val="00A74957"/>
    <w:rsid w:val="00A749CD"/>
    <w:rsid w:val="00A74FEA"/>
    <w:rsid w:val="00A753F8"/>
    <w:rsid w:val="00A75AA4"/>
    <w:rsid w:val="00A75C3B"/>
    <w:rsid w:val="00A75C77"/>
    <w:rsid w:val="00A7634C"/>
    <w:rsid w:val="00A764B6"/>
    <w:rsid w:val="00A765B6"/>
    <w:rsid w:val="00A76A96"/>
    <w:rsid w:val="00A76BAC"/>
    <w:rsid w:val="00A76C58"/>
    <w:rsid w:val="00A770E9"/>
    <w:rsid w:val="00A77407"/>
    <w:rsid w:val="00A774D9"/>
    <w:rsid w:val="00A775AC"/>
    <w:rsid w:val="00A77924"/>
    <w:rsid w:val="00A77ECF"/>
    <w:rsid w:val="00A80676"/>
    <w:rsid w:val="00A80D06"/>
    <w:rsid w:val="00A8138F"/>
    <w:rsid w:val="00A81692"/>
    <w:rsid w:val="00A81716"/>
    <w:rsid w:val="00A8214E"/>
    <w:rsid w:val="00A82248"/>
    <w:rsid w:val="00A8289F"/>
    <w:rsid w:val="00A82A58"/>
    <w:rsid w:val="00A82D27"/>
    <w:rsid w:val="00A834E2"/>
    <w:rsid w:val="00A83F0F"/>
    <w:rsid w:val="00A862CE"/>
    <w:rsid w:val="00A86352"/>
    <w:rsid w:val="00A86439"/>
    <w:rsid w:val="00A866EC"/>
    <w:rsid w:val="00A86A78"/>
    <w:rsid w:val="00A870D4"/>
    <w:rsid w:val="00A8765C"/>
    <w:rsid w:val="00A9022E"/>
    <w:rsid w:val="00A9066D"/>
    <w:rsid w:val="00A909F4"/>
    <w:rsid w:val="00A910F3"/>
    <w:rsid w:val="00A91356"/>
    <w:rsid w:val="00A915AA"/>
    <w:rsid w:val="00A917A9"/>
    <w:rsid w:val="00A91E71"/>
    <w:rsid w:val="00A91EA0"/>
    <w:rsid w:val="00A922E4"/>
    <w:rsid w:val="00A92737"/>
    <w:rsid w:val="00A92EF4"/>
    <w:rsid w:val="00A9369F"/>
    <w:rsid w:val="00A93FCB"/>
    <w:rsid w:val="00A9403D"/>
    <w:rsid w:val="00A94389"/>
    <w:rsid w:val="00A944B4"/>
    <w:rsid w:val="00A95263"/>
    <w:rsid w:val="00A95E27"/>
    <w:rsid w:val="00A96455"/>
    <w:rsid w:val="00A96C3B"/>
    <w:rsid w:val="00A96E0A"/>
    <w:rsid w:val="00A96FF6"/>
    <w:rsid w:val="00A97739"/>
    <w:rsid w:val="00AA00C7"/>
    <w:rsid w:val="00AA02E2"/>
    <w:rsid w:val="00AA0CDB"/>
    <w:rsid w:val="00AA10A5"/>
    <w:rsid w:val="00AA113A"/>
    <w:rsid w:val="00AA1338"/>
    <w:rsid w:val="00AA1E82"/>
    <w:rsid w:val="00AA2053"/>
    <w:rsid w:val="00AA25EA"/>
    <w:rsid w:val="00AA37BE"/>
    <w:rsid w:val="00AA3802"/>
    <w:rsid w:val="00AA3E71"/>
    <w:rsid w:val="00AA3EA3"/>
    <w:rsid w:val="00AA4066"/>
    <w:rsid w:val="00AA46A4"/>
    <w:rsid w:val="00AA5BFF"/>
    <w:rsid w:val="00AA5E28"/>
    <w:rsid w:val="00AA5E50"/>
    <w:rsid w:val="00AA6582"/>
    <w:rsid w:val="00AA66E5"/>
    <w:rsid w:val="00AA67A3"/>
    <w:rsid w:val="00AA6B5C"/>
    <w:rsid w:val="00AA6DB0"/>
    <w:rsid w:val="00AA7304"/>
    <w:rsid w:val="00AA7408"/>
    <w:rsid w:val="00AA75F5"/>
    <w:rsid w:val="00AB0130"/>
    <w:rsid w:val="00AB016A"/>
    <w:rsid w:val="00AB0DF0"/>
    <w:rsid w:val="00AB10AA"/>
    <w:rsid w:val="00AB1304"/>
    <w:rsid w:val="00AB16FA"/>
    <w:rsid w:val="00AB240E"/>
    <w:rsid w:val="00AB245C"/>
    <w:rsid w:val="00AB2583"/>
    <w:rsid w:val="00AB2E7E"/>
    <w:rsid w:val="00AB331E"/>
    <w:rsid w:val="00AB3788"/>
    <w:rsid w:val="00AB3AE2"/>
    <w:rsid w:val="00AB3F59"/>
    <w:rsid w:val="00AB4338"/>
    <w:rsid w:val="00AB4524"/>
    <w:rsid w:val="00AB4C5C"/>
    <w:rsid w:val="00AB585B"/>
    <w:rsid w:val="00AB5CBD"/>
    <w:rsid w:val="00AB6010"/>
    <w:rsid w:val="00AB61C7"/>
    <w:rsid w:val="00AB6E81"/>
    <w:rsid w:val="00AB75F5"/>
    <w:rsid w:val="00AB7EC2"/>
    <w:rsid w:val="00AC0052"/>
    <w:rsid w:val="00AC00A3"/>
    <w:rsid w:val="00AC068E"/>
    <w:rsid w:val="00AC1D32"/>
    <w:rsid w:val="00AC1D72"/>
    <w:rsid w:val="00AC1E00"/>
    <w:rsid w:val="00AC1FAF"/>
    <w:rsid w:val="00AC277E"/>
    <w:rsid w:val="00AC2EE2"/>
    <w:rsid w:val="00AC2F6F"/>
    <w:rsid w:val="00AC3841"/>
    <w:rsid w:val="00AC38EF"/>
    <w:rsid w:val="00AC4334"/>
    <w:rsid w:val="00AC4A96"/>
    <w:rsid w:val="00AC4BBC"/>
    <w:rsid w:val="00AC4CE6"/>
    <w:rsid w:val="00AC4DE1"/>
    <w:rsid w:val="00AC50B1"/>
    <w:rsid w:val="00AC5625"/>
    <w:rsid w:val="00AC572E"/>
    <w:rsid w:val="00AC5998"/>
    <w:rsid w:val="00AC5C76"/>
    <w:rsid w:val="00AC62FB"/>
    <w:rsid w:val="00AC67BA"/>
    <w:rsid w:val="00AC6F2A"/>
    <w:rsid w:val="00AC7108"/>
    <w:rsid w:val="00AC75EF"/>
    <w:rsid w:val="00AC76C4"/>
    <w:rsid w:val="00AC7B0D"/>
    <w:rsid w:val="00AC7C7B"/>
    <w:rsid w:val="00AC7D4A"/>
    <w:rsid w:val="00AD041F"/>
    <w:rsid w:val="00AD0579"/>
    <w:rsid w:val="00AD059C"/>
    <w:rsid w:val="00AD068F"/>
    <w:rsid w:val="00AD0BB2"/>
    <w:rsid w:val="00AD0DFB"/>
    <w:rsid w:val="00AD1625"/>
    <w:rsid w:val="00AD1D26"/>
    <w:rsid w:val="00AD20F3"/>
    <w:rsid w:val="00AD27E8"/>
    <w:rsid w:val="00AD281F"/>
    <w:rsid w:val="00AD290C"/>
    <w:rsid w:val="00AD2D4A"/>
    <w:rsid w:val="00AD2DE9"/>
    <w:rsid w:val="00AD32CD"/>
    <w:rsid w:val="00AD3B2F"/>
    <w:rsid w:val="00AD3D18"/>
    <w:rsid w:val="00AD4836"/>
    <w:rsid w:val="00AD4FCA"/>
    <w:rsid w:val="00AD546F"/>
    <w:rsid w:val="00AD55CF"/>
    <w:rsid w:val="00AD55DC"/>
    <w:rsid w:val="00AD5707"/>
    <w:rsid w:val="00AD59B0"/>
    <w:rsid w:val="00AD5EF8"/>
    <w:rsid w:val="00AD6364"/>
    <w:rsid w:val="00AD6696"/>
    <w:rsid w:val="00AD6703"/>
    <w:rsid w:val="00AD7058"/>
    <w:rsid w:val="00AD7766"/>
    <w:rsid w:val="00AE05BC"/>
    <w:rsid w:val="00AE08BC"/>
    <w:rsid w:val="00AE0A2B"/>
    <w:rsid w:val="00AE0BE1"/>
    <w:rsid w:val="00AE176D"/>
    <w:rsid w:val="00AE1F30"/>
    <w:rsid w:val="00AE1F5B"/>
    <w:rsid w:val="00AE2A03"/>
    <w:rsid w:val="00AE2B16"/>
    <w:rsid w:val="00AE37FD"/>
    <w:rsid w:val="00AE45F7"/>
    <w:rsid w:val="00AE524E"/>
    <w:rsid w:val="00AE564E"/>
    <w:rsid w:val="00AE592B"/>
    <w:rsid w:val="00AE5A18"/>
    <w:rsid w:val="00AE5DC2"/>
    <w:rsid w:val="00AE6204"/>
    <w:rsid w:val="00AE6606"/>
    <w:rsid w:val="00AE7929"/>
    <w:rsid w:val="00AE7B60"/>
    <w:rsid w:val="00AF018A"/>
    <w:rsid w:val="00AF0268"/>
    <w:rsid w:val="00AF0524"/>
    <w:rsid w:val="00AF0ABE"/>
    <w:rsid w:val="00AF0B3C"/>
    <w:rsid w:val="00AF0C4B"/>
    <w:rsid w:val="00AF1683"/>
    <w:rsid w:val="00AF1904"/>
    <w:rsid w:val="00AF1FE2"/>
    <w:rsid w:val="00AF38B3"/>
    <w:rsid w:val="00AF392B"/>
    <w:rsid w:val="00AF3C23"/>
    <w:rsid w:val="00AF4447"/>
    <w:rsid w:val="00AF453B"/>
    <w:rsid w:val="00AF485F"/>
    <w:rsid w:val="00AF56C0"/>
    <w:rsid w:val="00AF5960"/>
    <w:rsid w:val="00AF5AB1"/>
    <w:rsid w:val="00AF67B1"/>
    <w:rsid w:val="00AF6DC7"/>
    <w:rsid w:val="00AF6FD0"/>
    <w:rsid w:val="00AF743A"/>
    <w:rsid w:val="00AF74C5"/>
    <w:rsid w:val="00AF77EE"/>
    <w:rsid w:val="00AF7A46"/>
    <w:rsid w:val="00AF7A52"/>
    <w:rsid w:val="00B000E7"/>
    <w:rsid w:val="00B0051C"/>
    <w:rsid w:val="00B00EC1"/>
    <w:rsid w:val="00B012A5"/>
    <w:rsid w:val="00B01329"/>
    <w:rsid w:val="00B02120"/>
    <w:rsid w:val="00B0271B"/>
    <w:rsid w:val="00B032AD"/>
    <w:rsid w:val="00B033A5"/>
    <w:rsid w:val="00B03CA2"/>
    <w:rsid w:val="00B045DE"/>
    <w:rsid w:val="00B0470D"/>
    <w:rsid w:val="00B051DC"/>
    <w:rsid w:val="00B057E0"/>
    <w:rsid w:val="00B05F92"/>
    <w:rsid w:val="00B06189"/>
    <w:rsid w:val="00B0668C"/>
    <w:rsid w:val="00B072F8"/>
    <w:rsid w:val="00B07526"/>
    <w:rsid w:val="00B0772C"/>
    <w:rsid w:val="00B077EB"/>
    <w:rsid w:val="00B07B04"/>
    <w:rsid w:val="00B1076C"/>
    <w:rsid w:val="00B10E94"/>
    <w:rsid w:val="00B10FF4"/>
    <w:rsid w:val="00B112F1"/>
    <w:rsid w:val="00B11538"/>
    <w:rsid w:val="00B11A8C"/>
    <w:rsid w:val="00B11B20"/>
    <w:rsid w:val="00B1284E"/>
    <w:rsid w:val="00B12D95"/>
    <w:rsid w:val="00B13746"/>
    <w:rsid w:val="00B139A1"/>
    <w:rsid w:val="00B13ABD"/>
    <w:rsid w:val="00B13B41"/>
    <w:rsid w:val="00B14A06"/>
    <w:rsid w:val="00B15483"/>
    <w:rsid w:val="00B15501"/>
    <w:rsid w:val="00B156D2"/>
    <w:rsid w:val="00B15F10"/>
    <w:rsid w:val="00B17A98"/>
    <w:rsid w:val="00B17CBF"/>
    <w:rsid w:val="00B20824"/>
    <w:rsid w:val="00B20AE0"/>
    <w:rsid w:val="00B2113C"/>
    <w:rsid w:val="00B211E6"/>
    <w:rsid w:val="00B214DF"/>
    <w:rsid w:val="00B216A3"/>
    <w:rsid w:val="00B21746"/>
    <w:rsid w:val="00B21B2C"/>
    <w:rsid w:val="00B22002"/>
    <w:rsid w:val="00B22F44"/>
    <w:rsid w:val="00B22FF3"/>
    <w:rsid w:val="00B23202"/>
    <w:rsid w:val="00B249A0"/>
    <w:rsid w:val="00B24CB8"/>
    <w:rsid w:val="00B25363"/>
    <w:rsid w:val="00B26326"/>
    <w:rsid w:val="00B26A16"/>
    <w:rsid w:val="00B26CA7"/>
    <w:rsid w:val="00B26D8A"/>
    <w:rsid w:val="00B26E36"/>
    <w:rsid w:val="00B27867"/>
    <w:rsid w:val="00B27924"/>
    <w:rsid w:val="00B27E0F"/>
    <w:rsid w:val="00B30043"/>
    <w:rsid w:val="00B3025D"/>
    <w:rsid w:val="00B30D1D"/>
    <w:rsid w:val="00B31261"/>
    <w:rsid w:val="00B31631"/>
    <w:rsid w:val="00B3231A"/>
    <w:rsid w:val="00B32964"/>
    <w:rsid w:val="00B32B59"/>
    <w:rsid w:val="00B32C34"/>
    <w:rsid w:val="00B32FF8"/>
    <w:rsid w:val="00B3388B"/>
    <w:rsid w:val="00B34A0E"/>
    <w:rsid w:val="00B356CA"/>
    <w:rsid w:val="00B36D92"/>
    <w:rsid w:val="00B36EDB"/>
    <w:rsid w:val="00B36EFC"/>
    <w:rsid w:val="00B37CD9"/>
    <w:rsid w:val="00B4046E"/>
    <w:rsid w:val="00B404F4"/>
    <w:rsid w:val="00B40614"/>
    <w:rsid w:val="00B40AD8"/>
    <w:rsid w:val="00B40D71"/>
    <w:rsid w:val="00B41083"/>
    <w:rsid w:val="00B419F3"/>
    <w:rsid w:val="00B41C30"/>
    <w:rsid w:val="00B41D4D"/>
    <w:rsid w:val="00B41F9F"/>
    <w:rsid w:val="00B423A4"/>
    <w:rsid w:val="00B427FF"/>
    <w:rsid w:val="00B42999"/>
    <w:rsid w:val="00B431AF"/>
    <w:rsid w:val="00B431FD"/>
    <w:rsid w:val="00B4321D"/>
    <w:rsid w:val="00B437BD"/>
    <w:rsid w:val="00B43A11"/>
    <w:rsid w:val="00B43E0C"/>
    <w:rsid w:val="00B4467F"/>
    <w:rsid w:val="00B448FA"/>
    <w:rsid w:val="00B44C57"/>
    <w:rsid w:val="00B454DD"/>
    <w:rsid w:val="00B4557E"/>
    <w:rsid w:val="00B465C3"/>
    <w:rsid w:val="00B47198"/>
    <w:rsid w:val="00B47574"/>
    <w:rsid w:val="00B47851"/>
    <w:rsid w:val="00B47DCA"/>
    <w:rsid w:val="00B47EB3"/>
    <w:rsid w:val="00B5006C"/>
    <w:rsid w:val="00B50074"/>
    <w:rsid w:val="00B50267"/>
    <w:rsid w:val="00B50954"/>
    <w:rsid w:val="00B517ED"/>
    <w:rsid w:val="00B522C2"/>
    <w:rsid w:val="00B5250F"/>
    <w:rsid w:val="00B53CC9"/>
    <w:rsid w:val="00B53D82"/>
    <w:rsid w:val="00B53DE8"/>
    <w:rsid w:val="00B54260"/>
    <w:rsid w:val="00B544CE"/>
    <w:rsid w:val="00B549E8"/>
    <w:rsid w:val="00B54A70"/>
    <w:rsid w:val="00B54A74"/>
    <w:rsid w:val="00B54A9C"/>
    <w:rsid w:val="00B550E3"/>
    <w:rsid w:val="00B555ED"/>
    <w:rsid w:val="00B56046"/>
    <w:rsid w:val="00B576BB"/>
    <w:rsid w:val="00B609C6"/>
    <w:rsid w:val="00B611DF"/>
    <w:rsid w:val="00B61650"/>
    <w:rsid w:val="00B61FE1"/>
    <w:rsid w:val="00B62178"/>
    <w:rsid w:val="00B628EF"/>
    <w:rsid w:val="00B63403"/>
    <w:rsid w:val="00B63721"/>
    <w:rsid w:val="00B63A3B"/>
    <w:rsid w:val="00B64CDF"/>
    <w:rsid w:val="00B64E8E"/>
    <w:rsid w:val="00B65143"/>
    <w:rsid w:val="00B65543"/>
    <w:rsid w:val="00B65DBB"/>
    <w:rsid w:val="00B65FE1"/>
    <w:rsid w:val="00B66012"/>
    <w:rsid w:val="00B66042"/>
    <w:rsid w:val="00B6617C"/>
    <w:rsid w:val="00B664C3"/>
    <w:rsid w:val="00B6671B"/>
    <w:rsid w:val="00B66EBA"/>
    <w:rsid w:val="00B673E0"/>
    <w:rsid w:val="00B702E9"/>
    <w:rsid w:val="00B709BD"/>
    <w:rsid w:val="00B7133D"/>
    <w:rsid w:val="00B71975"/>
    <w:rsid w:val="00B71AA1"/>
    <w:rsid w:val="00B71C10"/>
    <w:rsid w:val="00B7241A"/>
    <w:rsid w:val="00B7255F"/>
    <w:rsid w:val="00B729E0"/>
    <w:rsid w:val="00B73095"/>
    <w:rsid w:val="00B730FC"/>
    <w:rsid w:val="00B73925"/>
    <w:rsid w:val="00B74273"/>
    <w:rsid w:val="00B744F7"/>
    <w:rsid w:val="00B749C8"/>
    <w:rsid w:val="00B755BE"/>
    <w:rsid w:val="00B75F7F"/>
    <w:rsid w:val="00B7693D"/>
    <w:rsid w:val="00B77695"/>
    <w:rsid w:val="00B77855"/>
    <w:rsid w:val="00B779CE"/>
    <w:rsid w:val="00B77E3A"/>
    <w:rsid w:val="00B8039F"/>
    <w:rsid w:val="00B80B80"/>
    <w:rsid w:val="00B810F8"/>
    <w:rsid w:val="00B819DA"/>
    <w:rsid w:val="00B823E5"/>
    <w:rsid w:val="00B82505"/>
    <w:rsid w:val="00B829C3"/>
    <w:rsid w:val="00B829E4"/>
    <w:rsid w:val="00B83239"/>
    <w:rsid w:val="00B83672"/>
    <w:rsid w:val="00B83F73"/>
    <w:rsid w:val="00B8473F"/>
    <w:rsid w:val="00B847CC"/>
    <w:rsid w:val="00B84A72"/>
    <w:rsid w:val="00B857EE"/>
    <w:rsid w:val="00B864F1"/>
    <w:rsid w:val="00B874E0"/>
    <w:rsid w:val="00B87605"/>
    <w:rsid w:val="00B87B4D"/>
    <w:rsid w:val="00B87DF5"/>
    <w:rsid w:val="00B9053D"/>
    <w:rsid w:val="00B910D1"/>
    <w:rsid w:val="00B911B6"/>
    <w:rsid w:val="00B91234"/>
    <w:rsid w:val="00B917CA"/>
    <w:rsid w:val="00B91A5D"/>
    <w:rsid w:val="00B91D5B"/>
    <w:rsid w:val="00B91DCA"/>
    <w:rsid w:val="00B91E29"/>
    <w:rsid w:val="00B920B3"/>
    <w:rsid w:val="00B9280B"/>
    <w:rsid w:val="00B92F8D"/>
    <w:rsid w:val="00B92FB4"/>
    <w:rsid w:val="00B932C2"/>
    <w:rsid w:val="00B93483"/>
    <w:rsid w:val="00B935CB"/>
    <w:rsid w:val="00B939AA"/>
    <w:rsid w:val="00B963FE"/>
    <w:rsid w:val="00B9677C"/>
    <w:rsid w:val="00B96806"/>
    <w:rsid w:val="00B96DF4"/>
    <w:rsid w:val="00B97082"/>
    <w:rsid w:val="00B97277"/>
    <w:rsid w:val="00B974DA"/>
    <w:rsid w:val="00B9754C"/>
    <w:rsid w:val="00B97AD5"/>
    <w:rsid w:val="00B97B5C"/>
    <w:rsid w:val="00BA06D4"/>
    <w:rsid w:val="00BA0E39"/>
    <w:rsid w:val="00BA0FB6"/>
    <w:rsid w:val="00BA1DF1"/>
    <w:rsid w:val="00BA22AB"/>
    <w:rsid w:val="00BA2412"/>
    <w:rsid w:val="00BA2C12"/>
    <w:rsid w:val="00BA2D56"/>
    <w:rsid w:val="00BA2EB9"/>
    <w:rsid w:val="00BA3F68"/>
    <w:rsid w:val="00BA419E"/>
    <w:rsid w:val="00BA4C2F"/>
    <w:rsid w:val="00BA4E1C"/>
    <w:rsid w:val="00BA4FB8"/>
    <w:rsid w:val="00BA5429"/>
    <w:rsid w:val="00BA5AEE"/>
    <w:rsid w:val="00BA5D6E"/>
    <w:rsid w:val="00BA62B5"/>
    <w:rsid w:val="00BA6EAA"/>
    <w:rsid w:val="00BA702C"/>
    <w:rsid w:val="00BA74BE"/>
    <w:rsid w:val="00BA7DC5"/>
    <w:rsid w:val="00BB0BFB"/>
    <w:rsid w:val="00BB1096"/>
    <w:rsid w:val="00BB1179"/>
    <w:rsid w:val="00BB1520"/>
    <w:rsid w:val="00BB159C"/>
    <w:rsid w:val="00BB16A8"/>
    <w:rsid w:val="00BB16C9"/>
    <w:rsid w:val="00BB1954"/>
    <w:rsid w:val="00BB19BD"/>
    <w:rsid w:val="00BB1A09"/>
    <w:rsid w:val="00BB1BB7"/>
    <w:rsid w:val="00BB21BB"/>
    <w:rsid w:val="00BB222C"/>
    <w:rsid w:val="00BB268E"/>
    <w:rsid w:val="00BB289E"/>
    <w:rsid w:val="00BB2988"/>
    <w:rsid w:val="00BB2FC1"/>
    <w:rsid w:val="00BB3308"/>
    <w:rsid w:val="00BB3F3E"/>
    <w:rsid w:val="00BB4526"/>
    <w:rsid w:val="00BB477A"/>
    <w:rsid w:val="00BB5908"/>
    <w:rsid w:val="00BB5A64"/>
    <w:rsid w:val="00BB67F9"/>
    <w:rsid w:val="00BB6BE9"/>
    <w:rsid w:val="00BB7534"/>
    <w:rsid w:val="00BB7AA0"/>
    <w:rsid w:val="00BB7F49"/>
    <w:rsid w:val="00BC0470"/>
    <w:rsid w:val="00BC16A7"/>
    <w:rsid w:val="00BC1D27"/>
    <w:rsid w:val="00BC21A4"/>
    <w:rsid w:val="00BC255B"/>
    <w:rsid w:val="00BC2F01"/>
    <w:rsid w:val="00BC320A"/>
    <w:rsid w:val="00BC323E"/>
    <w:rsid w:val="00BC4024"/>
    <w:rsid w:val="00BC4150"/>
    <w:rsid w:val="00BC42F4"/>
    <w:rsid w:val="00BC4499"/>
    <w:rsid w:val="00BC44D8"/>
    <w:rsid w:val="00BC673C"/>
    <w:rsid w:val="00BC6BD8"/>
    <w:rsid w:val="00BC75EE"/>
    <w:rsid w:val="00BC78C4"/>
    <w:rsid w:val="00BC799F"/>
    <w:rsid w:val="00BC7B02"/>
    <w:rsid w:val="00BC7D66"/>
    <w:rsid w:val="00BD038D"/>
    <w:rsid w:val="00BD065D"/>
    <w:rsid w:val="00BD0CFF"/>
    <w:rsid w:val="00BD1476"/>
    <w:rsid w:val="00BD1601"/>
    <w:rsid w:val="00BD1BE4"/>
    <w:rsid w:val="00BD2B01"/>
    <w:rsid w:val="00BD38C5"/>
    <w:rsid w:val="00BD4271"/>
    <w:rsid w:val="00BD4440"/>
    <w:rsid w:val="00BD46D0"/>
    <w:rsid w:val="00BD46F4"/>
    <w:rsid w:val="00BD4785"/>
    <w:rsid w:val="00BD556C"/>
    <w:rsid w:val="00BD58C2"/>
    <w:rsid w:val="00BD5B6F"/>
    <w:rsid w:val="00BD5C01"/>
    <w:rsid w:val="00BD5C77"/>
    <w:rsid w:val="00BD5F60"/>
    <w:rsid w:val="00BD5FBF"/>
    <w:rsid w:val="00BD6386"/>
    <w:rsid w:val="00BD66DC"/>
    <w:rsid w:val="00BD67CF"/>
    <w:rsid w:val="00BD6958"/>
    <w:rsid w:val="00BD6A8D"/>
    <w:rsid w:val="00BD6D8C"/>
    <w:rsid w:val="00BD6DD2"/>
    <w:rsid w:val="00BD7081"/>
    <w:rsid w:val="00BD7260"/>
    <w:rsid w:val="00BD76B1"/>
    <w:rsid w:val="00BD7722"/>
    <w:rsid w:val="00BD7745"/>
    <w:rsid w:val="00BD7966"/>
    <w:rsid w:val="00BD7C95"/>
    <w:rsid w:val="00BE0876"/>
    <w:rsid w:val="00BE0BF3"/>
    <w:rsid w:val="00BE0E44"/>
    <w:rsid w:val="00BE0E5A"/>
    <w:rsid w:val="00BE13CA"/>
    <w:rsid w:val="00BE1788"/>
    <w:rsid w:val="00BE1EEE"/>
    <w:rsid w:val="00BE1FF6"/>
    <w:rsid w:val="00BE2171"/>
    <w:rsid w:val="00BE2880"/>
    <w:rsid w:val="00BE28E9"/>
    <w:rsid w:val="00BE2F95"/>
    <w:rsid w:val="00BE38AB"/>
    <w:rsid w:val="00BE4508"/>
    <w:rsid w:val="00BE475A"/>
    <w:rsid w:val="00BE47C1"/>
    <w:rsid w:val="00BE4BF5"/>
    <w:rsid w:val="00BE5ACF"/>
    <w:rsid w:val="00BE5BFB"/>
    <w:rsid w:val="00BE6268"/>
    <w:rsid w:val="00BE63AB"/>
    <w:rsid w:val="00BE7466"/>
    <w:rsid w:val="00BE7A8A"/>
    <w:rsid w:val="00BE7ECB"/>
    <w:rsid w:val="00BF0480"/>
    <w:rsid w:val="00BF0A8E"/>
    <w:rsid w:val="00BF124E"/>
    <w:rsid w:val="00BF15D6"/>
    <w:rsid w:val="00BF18CB"/>
    <w:rsid w:val="00BF2037"/>
    <w:rsid w:val="00BF2440"/>
    <w:rsid w:val="00BF27AB"/>
    <w:rsid w:val="00BF2845"/>
    <w:rsid w:val="00BF2D6F"/>
    <w:rsid w:val="00BF2E61"/>
    <w:rsid w:val="00BF3BD3"/>
    <w:rsid w:val="00BF4097"/>
    <w:rsid w:val="00BF436A"/>
    <w:rsid w:val="00BF4905"/>
    <w:rsid w:val="00BF582F"/>
    <w:rsid w:val="00BF5F3F"/>
    <w:rsid w:val="00BF60E4"/>
    <w:rsid w:val="00BF63BF"/>
    <w:rsid w:val="00BF6AB7"/>
    <w:rsid w:val="00BF6B7E"/>
    <w:rsid w:val="00BF721B"/>
    <w:rsid w:val="00BF75D0"/>
    <w:rsid w:val="00BF79B5"/>
    <w:rsid w:val="00BF79D6"/>
    <w:rsid w:val="00C006E0"/>
    <w:rsid w:val="00C01417"/>
    <w:rsid w:val="00C0186F"/>
    <w:rsid w:val="00C01D5D"/>
    <w:rsid w:val="00C020DB"/>
    <w:rsid w:val="00C025AF"/>
    <w:rsid w:val="00C02D26"/>
    <w:rsid w:val="00C0313E"/>
    <w:rsid w:val="00C0337A"/>
    <w:rsid w:val="00C033FA"/>
    <w:rsid w:val="00C036D5"/>
    <w:rsid w:val="00C04CE9"/>
    <w:rsid w:val="00C05445"/>
    <w:rsid w:val="00C05469"/>
    <w:rsid w:val="00C054E4"/>
    <w:rsid w:val="00C0630F"/>
    <w:rsid w:val="00C06938"/>
    <w:rsid w:val="00C06F62"/>
    <w:rsid w:val="00C072A1"/>
    <w:rsid w:val="00C075C4"/>
    <w:rsid w:val="00C079FB"/>
    <w:rsid w:val="00C07A5C"/>
    <w:rsid w:val="00C07E2B"/>
    <w:rsid w:val="00C101F1"/>
    <w:rsid w:val="00C113FD"/>
    <w:rsid w:val="00C117BB"/>
    <w:rsid w:val="00C119EC"/>
    <w:rsid w:val="00C11C6C"/>
    <w:rsid w:val="00C1245D"/>
    <w:rsid w:val="00C1271A"/>
    <w:rsid w:val="00C12C4A"/>
    <w:rsid w:val="00C12C9B"/>
    <w:rsid w:val="00C12CE2"/>
    <w:rsid w:val="00C1302C"/>
    <w:rsid w:val="00C1307C"/>
    <w:rsid w:val="00C138E4"/>
    <w:rsid w:val="00C138E9"/>
    <w:rsid w:val="00C13F9D"/>
    <w:rsid w:val="00C14368"/>
    <w:rsid w:val="00C14404"/>
    <w:rsid w:val="00C154AC"/>
    <w:rsid w:val="00C159F0"/>
    <w:rsid w:val="00C16229"/>
    <w:rsid w:val="00C165FD"/>
    <w:rsid w:val="00C16604"/>
    <w:rsid w:val="00C166AA"/>
    <w:rsid w:val="00C16AED"/>
    <w:rsid w:val="00C16BEB"/>
    <w:rsid w:val="00C16E3A"/>
    <w:rsid w:val="00C175FC"/>
    <w:rsid w:val="00C179AE"/>
    <w:rsid w:val="00C203E3"/>
    <w:rsid w:val="00C206BC"/>
    <w:rsid w:val="00C20ADA"/>
    <w:rsid w:val="00C20F08"/>
    <w:rsid w:val="00C21642"/>
    <w:rsid w:val="00C21D29"/>
    <w:rsid w:val="00C21EEC"/>
    <w:rsid w:val="00C221B6"/>
    <w:rsid w:val="00C22CFF"/>
    <w:rsid w:val="00C2357B"/>
    <w:rsid w:val="00C23710"/>
    <w:rsid w:val="00C2394B"/>
    <w:rsid w:val="00C23C66"/>
    <w:rsid w:val="00C248A8"/>
    <w:rsid w:val="00C24A7F"/>
    <w:rsid w:val="00C25146"/>
    <w:rsid w:val="00C252D0"/>
    <w:rsid w:val="00C25B43"/>
    <w:rsid w:val="00C2668F"/>
    <w:rsid w:val="00C266B2"/>
    <w:rsid w:val="00C26874"/>
    <w:rsid w:val="00C26BAF"/>
    <w:rsid w:val="00C26E18"/>
    <w:rsid w:val="00C26E83"/>
    <w:rsid w:val="00C26F0C"/>
    <w:rsid w:val="00C277C1"/>
    <w:rsid w:val="00C27C40"/>
    <w:rsid w:val="00C27C5C"/>
    <w:rsid w:val="00C27F07"/>
    <w:rsid w:val="00C311B6"/>
    <w:rsid w:val="00C31770"/>
    <w:rsid w:val="00C3219C"/>
    <w:rsid w:val="00C32A27"/>
    <w:rsid w:val="00C32C0F"/>
    <w:rsid w:val="00C33ECA"/>
    <w:rsid w:val="00C3425E"/>
    <w:rsid w:val="00C34696"/>
    <w:rsid w:val="00C34D09"/>
    <w:rsid w:val="00C34EEC"/>
    <w:rsid w:val="00C34F13"/>
    <w:rsid w:val="00C35F2B"/>
    <w:rsid w:val="00C3608A"/>
    <w:rsid w:val="00C360FF"/>
    <w:rsid w:val="00C365DA"/>
    <w:rsid w:val="00C378B0"/>
    <w:rsid w:val="00C37A48"/>
    <w:rsid w:val="00C37F83"/>
    <w:rsid w:val="00C4005F"/>
    <w:rsid w:val="00C405D6"/>
    <w:rsid w:val="00C4060B"/>
    <w:rsid w:val="00C40939"/>
    <w:rsid w:val="00C40A28"/>
    <w:rsid w:val="00C4108E"/>
    <w:rsid w:val="00C41C35"/>
    <w:rsid w:val="00C41DBB"/>
    <w:rsid w:val="00C41F85"/>
    <w:rsid w:val="00C42BC0"/>
    <w:rsid w:val="00C439AE"/>
    <w:rsid w:val="00C440BE"/>
    <w:rsid w:val="00C44941"/>
    <w:rsid w:val="00C460A1"/>
    <w:rsid w:val="00C46FE8"/>
    <w:rsid w:val="00C4745A"/>
    <w:rsid w:val="00C47481"/>
    <w:rsid w:val="00C479C2"/>
    <w:rsid w:val="00C5026F"/>
    <w:rsid w:val="00C502B9"/>
    <w:rsid w:val="00C502CB"/>
    <w:rsid w:val="00C50802"/>
    <w:rsid w:val="00C50A04"/>
    <w:rsid w:val="00C50B30"/>
    <w:rsid w:val="00C51F6D"/>
    <w:rsid w:val="00C52686"/>
    <w:rsid w:val="00C52ADA"/>
    <w:rsid w:val="00C53C10"/>
    <w:rsid w:val="00C54C50"/>
    <w:rsid w:val="00C54D73"/>
    <w:rsid w:val="00C55698"/>
    <w:rsid w:val="00C55F92"/>
    <w:rsid w:val="00C5643D"/>
    <w:rsid w:val="00C5679A"/>
    <w:rsid w:val="00C56999"/>
    <w:rsid w:val="00C56A49"/>
    <w:rsid w:val="00C56C88"/>
    <w:rsid w:val="00C57022"/>
    <w:rsid w:val="00C57FD8"/>
    <w:rsid w:val="00C60677"/>
    <w:rsid w:val="00C60C94"/>
    <w:rsid w:val="00C60E8F"/>
    <w:rsid w:val="00C613EF"/>
    <w:rsid w:val="00C61FAE"/>
    <w:rsid w:val="00C61FFF"/>
    <w:rsid w:val="00C6229A"/>
    <w:rsid w:val="00C627DE"/>
    <w:rsid w:val="00C62DDC"/>
    <w:rsid w:val="00C62F1D"/>
    <w:rsid w:val="00C63370"/>
    <w:rsid w:val="00C63B1D"/>
    <w:rsid w:val="00C63DD8"/>
    <w:rsid w:val="00C64522"/>
    <w:rsid w:val="00C648E2"/>
    <w:rsid w:val="00C656C4"/>
    <w:rsid w:val="00C6576C"/>
    <w:rsid w:val="00C65799"/>
    <w:rsid w:val="00C661B6"/>
    <w:rsid w:val="00C6634A"/>
    <w:rsid w:val="00C66A85"/>
    <w:rsid w:val="00C66C6A"/>
    <w:rsid w:val="00C66CF6"/>
    <w:rsid w:val="00C67824"/>
    <w:rsid w:val="00C67BC7"/>
    <w:rsid w:val="00C70998"/>
    <w:rsid w:val="00C70DB3"/>
    <w:rsid w:val="00C70E8C"/>
    <w:rsid w:val="00C70FD2"/>
    <w:rsid w:val="00C7109B"/>
    <w:rsid w:val="00C71125"/>
    <w:rsid w:val="00C712D3"/>
    <w:rsid w:val="00C72028"/>
    <w:rsid w:val="00C721F8"/>
    <w:rsid w:val="00C72423"/>
    <w:rsid w:val="00C724AE"/>
    <w:rsid w:val="00C724F6"/>
    <w:rsid w:val="00C730AD"/>
    <w:rsid w:val="00C74626"/>
    <w:rsid w:val="00C74757"/>
    <w:rsid w:val="00C75300"/>
    <w:rsid w:val="00C75CF3"/>
    <w:rsid w:val="00C75EEF"/>
    <w:rsid w:val="00C7621F"/>
    <w:rsid w:val="00C769B6"/>
    <w:rsid w:val="00C7795F"/>
    <w:rsid w:val="00C80427"/>
    <w:rsid w:val="00C806B2"/>
    <w:rsid w:val="00C80956"/>
    <w:rsid w:val="00C81433"/>
    <w:rsid w:val="00C8164E"/>
    <w:rsid w:val="00C8187B"/>
    <w:rsid w:val="00C81BAF"/>
    <w:rsid w:val="00C81BEB"/>
    <w:rsid w:val="00C82272"/>
    <w:rsid w:val="00C82A0A"/>
    <w:rsid w:val="00C831A5"/>
    <w:rsid w:val="00C83DF6"/>
    <w:rsid w:val="00C83EA8"/>
    <w:rsid w:val="00C85D01"/>
    <w:rsid w:val="00C86179"/>
    <w:rsid w:val="00C8717B"/>
    <w:rsid w:val="00C87489"/>
    <w:rsid w:val="00C87E38"/>
    <w:rsid w:val="00C87F94"/>
    <w:rsid w:val="00C90361"/>
    <w:rsid w:val="00C905B9"/>
    <w:rsid w:val="00C907C8"/>
    <w:rsid w:val="00C90B34"/>
    <w:rsid w:val="00C90D93"/>
    <w:rsid w:val="00C91493"/>
    <w:rsid w:val="00C923BB"/>
    <w:rsid w:val="00C924A8"/>
    <w:rsid w:val="00C925F8"/>
    <w:rsid w:val="00C92687"/>
    <w:rsid w:val="00C92702"/>
    <w:rsid w:val="00C92FE0"/>
    <w:rsid w:val="00C9329C"/>
    <w:rsid w:val="00C9334B"/>
    <w:rsid w:val="00C93528"/>
    <w:rsid w:val="00C935D8"/>
    <w:rsid w:val="00C93BF5"/>
    <w:rsid w:val="00C946ED"/>
    <w:rsid w:val="00C94A84"/>
    <w:rsid w:val="00C955E2"/>
    <w:rsid w:val="00C95689"/>
    <w:rsid w:val="00C96270"/>
    <w:rsid w:val="00C9678F"/>
    <w:rsid w:val="00C96C9A"/>
    <w:rsid w:val="00C96F19"/>
    <w:rsid w:val="00CA08D7"/>
    <w:rsid w:val="00CA12F6"/>
    <w:rsid w:val="00CA1507"/>
    <w:rsid w:val="00CA1757"/>
    <w:rsid w:val="00CA1C03"/>
    <w:rsid w:val="00CA2062"/>
    <w:rsid w:val="00CA28AB"/>
    <w:rsid w:val="00CA2B85"/>
    <w:rsid w:val="00CA2D67"/>
    <w:rsid w:val="00CA2DA1"/>
    <w:rsid w:val="00CA2EA2"/>
    <w:rsid w:val="00CA3203"/>
    <w:rsid w:val="00CA35F9"/>
    <w:rsid w:val="00CA3AD6"/>
    <w:rsid w:val="00CA4096"/>
    <w:rsid w:val="00CA42D5"/>
    <w:rsid w:val="00CA4418"/>
    <w:rsid w:val="00CA4A9A"/>
    <w:rsid w:val="00CA4D46"/>
    <w:rsid w:val="00CA4FB0"/>
    <w:rsid w:val="00CA5818"/>
    <w:rsid w:val="00CA5963"/>
    <w:rsid w:val="00CA5F34"/>
    <w:rsid w:val="00CA6E01"/>
    <w:rsid w:val="00CA6EE2"/>
    <w:rsid w:val="00CA70F7"/>
    <w:rsid w:val="00CA7BF2"/>
    <w:rsid w:val="00CB028D"/>
    <w:rsid w:val="00CB04A7"/>
    <w:rsid w:val="00CB0CE7"/>
    <w:rsid w:val="00CB0D67"/>
    <w:rsid w:val="00CB0E68"/>
    <w:rsid w:val="00CB0EFB"/>
    <w:rsid w:val="00CB102D"/>
    <w:rsid w:val="00CB117B"/>
    <w:rsid w:val="00CB130B"/>
    <w:rsid w:val="00CB155F"/>
    <w:rsid w:val="00CB1978"/>
    <w:rsid w:val="00CB1A51"/>
    <w:rsid w:val="00CB26B3"/>
    <w:rsid w:val="00CB276B"/>
    <w:rsid w:val="00CB28EF"/>
    <w:rsid w:val="00CB2FB6"/>
    <w:rsid w:val="00CB39DA"/>
    <w:rsid w:val="00CB3DFB"/>
    <w:rsid w:val="00CB42E7"/>
    <w:rsid w:val="00CB43A5"/>
    <w:rsid w:val="00CB4930"/>
    <w:rsid w:val="00CB5505"/>
    <w:rsid w:val="00CB5E72"/>
    <w:rsid w:val="00CB5ED0"/>
    <w:rsid w:val="00CB6232"/>
    <w:rsid w:val="00CB624A"/>
    <w:rsid w:val="00CB6652"/>
    <w:rsid w:val="00CB6EC4"/>
    <w:rsid w:val="00CB723A"/>
    <w:rsid w:val="00CB7283"/>
    <w:rsid w:val="00CB7506"/>
    <w:rsid w:val="00CB76D4"/>
    <w:rsid w:val="00CB7724"/>
    <w:rsid w:val="00CB78CC"/>
    <w:rsid w:val="00CB7BE0"/>
    <w:rsid w:val="00CB7D42"/>
    <w:rsid w:val="00CC00BC"/>
    <w:rsid w:val="00CC0322"/>
    <w:rsid w:val="00CC05CA"/>
    <w:rsid w:val="00CC05DD"/>
    <w:rsid w:val="00CC08C8"/>
    <w:rsid w:val="00CC0C80"/>
    <w:rsid w:val="00CC0DB3"/>
    <w:rsid w:val="00CC238E"/>
    <w:rsid w:val="00CC298B"/>
    <w:rsid w:val="00CC2DE4"/>
    <w:rsid w:val="00CC2FEE"/>
    <w:rsid w:val="00CC30E0"/>
    <w:rsid w:val="00CC33B5"/>
    <w:rsid w:val="00CC36E0"/>
    <w:rsid w:val="00CC3782"/>
    <w:rsid w:val="00CC3A91"/>
    <w:rsid w:val="00CC3CC5"/>
    <w:rsid w:val="00CC3E3C"/>
    <w:rsid w:val="00CC3F1C"/>
    <w:rsid w:val="00CC439E"/>
    <w:rsid w:val="00CC4BF5"/>
    <w:rsid w:val="00CC51C6"/>
    <w:rsid w:val="00CC5387"/>
    <w:rsid w:val="00CC5616"/>
    <w:rsid w:val="00CC582F"/>
    <w:rsid w:val="00CC593C"/>
    <w:rsid w:val="00CC594A"/>
    <w:rsid w:val="00CC5D9C"/>
    <w:rsid w:val="00CC617C"/>
    <w:rsid w:val="00CC640B"/>
    <w:rsid w:val="00CC64A2"/>
    <w:rsid w:val="00CC668C"/>
    <w:rsid w:val="00CC69C8"/>
    <w:rsid w:val="00CC750C"/>
    <w:rsid w:val="00CC7599"/>
    <w:rsid w:val="00CC79EE"/>
    <w:rsid w:val="00CC7BF0"/>
    <w:rsid w:val="00CD0798"/>
    <w:rsid w:val="00CD1258"/>
    <w:rsid w:val="00CD160C"/>
    <w:rsid w:val="00CD182C"/>
    <w:rsid w:val="00CD1831"/>
    <w:rsid w:val="00CD19C8"/>
    <w:rsid w:val="00CD1B77"/>
    <w:rsid w:val="00CD2431"/>
    <w:rsid w:val="00CD2479"/>
    <w:rsid w:val="00CD28D4"/>
    <w:rsid w:val="00CD2AE0"/>
    <w:rsid w:val="00CD2C81"/>
    <w:rsid w:val="00CD2D7C"/>
    <w:rsid w:val="00CD2D9E"/>
    <w:rsid w:val="00CD3313"/>
    <w:rsid w:val="00CD3351"/>
    <w:rsid w:val="00CD348B"/>
    <w:rsid w:val="00CD349F"/>
    <w:rsid w:val="00CD39BB"/>
    <w:rsid w:val="00CD469B"/>
    <w:rsid w:val="00CD4898"/>
    <w:rsid w:val="00CD56E3"/>
    <w:rsid w:val="00CD573D"/>
    <w:rsid w:val="00CD574D"/>
    <w:rsid w:val="00CD5E6B"/>
    <w:rsid w:val="00CD5EEB"/>
    <w:rsid w:val="00CD5FA1"/>
    <w:rsid w:val="00CD62F3"/>
    <w:rsid w:val="00CD646B"/>
    <w:rsid w:val="00CD77FA"/>
    <w:rsid w:val="00CD7903"/>
    <w:rsid w:val="00CE0622"/>
    <w:rsid w:val="00CE0C98"/>
    <w:rsid w:val="00CE1201"/>
    <w:rsid w:val="00CE22B4"/>
    <w:rsid w:val="00CE2765"/>
    <w:rsid w:val="00CE290F"/>
    <w:rsid w:val="00CE2F8B"/>
    <w:rsid w:val="00CE3769"/>
    <w:rsid w:val="00CE383E"/>
    <w:rsid w:val="00CE46ED"/>
    <w:rsid w:val="00CE4947"/>
    <w:rsid w:val="00CE4CD9"/>
    <w:rsid w:val="00CE5EB8"/>
    <w:rsid w:val="00CE5ED2"/>
    <w:rsid w:val="00CE60AD"/>
    <w:rsid w:val="00CE61B3"/>
    <w:rsid w:val="00CE6D0E"/>
    <w:rsid w:val="00CE722C"/>
    <w:rsid w:val="00CE7288"/>
    <w:rsid w:val="00CE7767"/>
    <w:rsid w:val="00CE7AE4"/>
    <w:rsid w:val="00CE7FCD"/>
    <w:rsid w:val="00CF046B"/>
    <w:rsid w:val="00CF0C5F"/>
    <w:rsid w:val="00CF1003"/>
    <w:rsid w:val="00CF15D0"/>
    <w:rsid w:val="00CF1E57"/>
    <w:rsid w:val="00CF31A9"/>
    <w:rsid w:val="00CF32D3"/>
    <w:rsid w:val="00CF33E4"/>
    <w:rsid w:val="00CF35BD"/>
    <w:rsid w:val="00CF3D6B"/>
    <w:rsid w:val="00CF4178"/>
    <w:rsid w:val="00CF469C"/>
    <w:rsid w:val="00CF4857"/>
    <w:rsid w:val="00CF4DF9"/>
    <w:rsid w:val="00CF5601"/>
    <w:rsid w:val="00CF5C56"/>
    <w:rsid w:val="00CF64EE"/>
    <w:rsid w:val="00CF678D"/>
    <w:rsid w:val="00CF6FC3"/>
    <w:rsid w:val="00CF754B"/>
    <w:rsid w:val="00CF79FA"/>
    <w:rsid w:val="00D0033D"/>
    <w:rsid w:val="00D009AB"/>
    <w:rsid w:val="00D01FE9"/>
    <w:rsid w:val="00D020ED"/>
    <w:rsid w:val="00D021F6"/>
    <w:rsid w:val="00D02203"/>
    <w:rsid w:val="00D023B6"/>
    <w:rsid w:val="00D025E3"/>
    <w:rsid w:val="00D02774"/>
    <w:rsid w:val="00D02F7C"/>
    <w:rsid w:val="00D0345B"/>
    <w:rsid w:val="00D03F89"/>
    <w:rsid w:val="00D040B4"/>
    <w:rsid w:val="00D04539"/>
    <w:rsid w:val="00D04A32"/>
    <w:rsid w:val="00D04C67"/>
    <w:rsid w:val="00D057AA"/>
    <w:rsid w:val="00D05AA2"/>
    <w:rsid w:val="00D06284"/>
    <w:rsid w:val="00D063F6"/>
    <w:rsid w:val="00D063F8"/>
    <w:rsid w:val="00D06F37"/>
    <w:rsid w:val="00D06FAE"/>
    <w:rsid w:val="00D0703D"/>
    <w:rsid w:val="00D07198"/>
    <w:rsid w:val="00D0743A"/>
    <w:rsid w:val="00D07579"/>
    <w:rsid w:val="00D077BF"/>
    <w:rsid w:val="00D07D23"/>
    <w:rsid w:val="00D10243"/>
    <w:rsid w:val="00D10593"/>
    <w:rsid w:val="00D10BF3"/>
    <w:rsid w:val="00D10D69"/>
    <w:rsid w:val="00D10E5F"/>
    <w:rsid w:val="00D11553"/>
    <w:rsid w:val="00D11C77"/>
    <w:rsid w:val="00D11CCB"/>
    <w:rsid w:val="00D12341"/>
    <w:rsid w:val="00D1273A"/>
    <w:rsid w:val="00D12AB4"/>
    <w:rsid w:val="00D13869"/>
    <w:rsid w:val="00D138F7"/>
    <w:rsid w:val="00D13EA5"/>
    <w:rsid w:val="00D146D2"/>
    <w:rsid w:val="00D1480C"/>
    <w:rsid w:val="00D14B0B"/>
    <w:rsid w:val="00D1555B"/>
    <w:rsid w:val="00D1559D"/>
    <w:rsid w:val="00D15D45"/>
    <w:rsid w:val="00D1618A"/>
    <w:rsid w:val="00D161EE"/>
    <w:rsid w:val="00D16739"/>
    <w:rsid w:val="00D170F6"/>
    <w:rsid w:val="00D174AA"/>
    <w:rsid w:val="00D175D7"/>
    <w:rsid w:val="00D20502"/>
    <w:rsid w:val="00D2105C"/>
    <w:rsid w:val="00D22126"/>
    <w:rsid w:val="00D2281A"/>
    <w:rsid w:val="00D22A68"/>
    <w:rsid w:val="00D22EEC"/>
    <w:rsid w:val="00D23F51"/>
    <w:rsid w:val="00D245CA"/>
    <w:rsid w:val="00D24709"/>
    <w:rsid w:val="00D2487E"/>
    <w:rsid w:val="00D260FF"/>
    <w:rsid w:val="00D269D0"/>
    <w:rsid w:val="00D26B68"/>
    <w:rsid w:val="00D302C9"/>
    <w:rsid w:val="00D3065F"/>
    <w:rsid w:val="00D31DCC"/>
    <w:rsid w:val="00D3310B"/>
    <w:rsid w:val="00D33234"/>
    <w:rsid w:val="00D335A5"/>
    <w:rsid w:val="00D33BA6"/>
    <w:rsid w:val="00D33C96"/>
    <w:rsid w:val="00D34017"/>
    <w:rsid w:val="00D34540"/>
    <w:rsid w:val="00D34689"/>
    <w:rsid w:val="00D347F1"/>
    <w:rsid w:val="00D34A7F"/>
    <w:rsid w:val="00D350DB"/>
    <w:rsid w:val="00D35279"/>
    <w:rsid w:val="00D355C3"/>
    <w:rsid w:val="00D35CB1"/>
    <w:rsid w:val="00D362E2"/>
    <w:rsid w:val="00D364F4"/>
    <w:rsid w:val="00D36B52"/>
    <w:rsid w:val="00D3703C"/>
    <w:rsid w:val="00D377B6"/>
    <w:rsid w:val="00D400A8"/>
    <w:rsid w:val="00D405A9"/>
    <w:rsid w:val="00D40622"/>
    <w:rsid w:val="00D40A75"/>
    <w:rsid w:val="00D40B87"/>
    <w:rsid w:val="00D41386"/>
    <w:rsid w:val="00D41EE5"/>
    <w:rsid w:val="00D421BC"/>
    <w:rsid w:val="00D426EF"/>
    <w:rsid w:val="00D42BB9"/>
    <w:rsid w:val="00D42C22"/>
    <w:rsid w:val="00D42D70"/>
    <w:rsid w:val="00D42DE2"/>
    <w:rsid w:val="00D431A9"/>
    <w:rsid w:val="00D43411"/>
    <w:rsid w:val="00D439D3"/>
    <w:rsid w:val="00D4463E"/>
    <w:rsid w:val="00D44A8F"/>
    <w:rsid w:val="00D4635A"/>
    <w:rsid w:val="00D46451"/>
    <w:rsid w:val="00D467D8"/>
    <w:rsid w:val="00D471AF"/>
    <w:rsid w:val="00D472A1"/>
    <w:rsid w:val="00D472E1"/>
    <w:rsid w:val="00D47595"/>
    <w:rsid w:val="00D47953"/>
    <w:rsid w:val="00D47DEA"/>
    <w:rsid w:val="00D47F33"/>
    <w:rsid w:val="00D5039A"/>
    <w:rsid w:val="00D50981"/>
    <w:rsid w:val="00D50D7B"/>
    <w:rsid w:val="00D51038"/>
    <w:rsid w:val="00D51620"/>
    <w:rsid w:val="00D516DD"/>
    <w:rsid w:val="00D5170B"/>
    <w:rsid w:val="00D517BC"/>
    <w:rsid w:val="00D521CC"/>
    <w:rsid w:val="00D521D8"/>
    <w:rsid w:val="00D52342"/>
    <w:rsid w:val="00D52A10"/>
    <w:rsid w:val="00D52AD8"/>
    <w:rsid w:val="00D52CF4"/>
    <w:rsid w:val="00D531A7"/>
    <w:rsid w:val="00D53AD8"/>
    <w:rsid w:val="00D549C5"/>
    <w:rsid w:val="00D54B68"/>
    <w:rsid w:val="00D54BC9"/>
    <w:rsid w:val="00D5532C"/>
    <w:rsid w:val="00D55422"/>
    <w:rsid w:val="00D556D0"/>
    <w:rsid w:val="00D55DBA"/>
    <w:rsid w:val="00D55DFA"/>
    <w:rsid w:val="00D55DFB"/>
    <w:rsid w:val="00D560D1"/>
    <w:rsid w:val="00D5669E"/>
    <w:rsid w:val="00D56853"/>
    <w:rsid w:val="00D56AB5"/>
    <w:rsid w:val="00D56BF5"/>
    <w:rsid w:val="00D572C3"/>
    <w:rsid w:val="00D57C90"/>
    <w:rsid w:val="00D57F36"/>
    <w:rsid w:val="00D600FD"/>
    <w:rsid w:val="00D60167"/>
    <w:rsid w:val="00D60289"/>
    <w:rsid w:val="00D60491"/>
    <w:rsid w:val="00D60961"/>
    <w:rsid w:val="00D60A2F"/>
    <w:rsid w:val="00D60B16"/>
    <w:rsid w:val="00D60E57"/>
    <w:rsid w:val="00D613C0"/>
    <w:rsid w:val="00D62960"/>
    <w:rsid w:val="00D62C08"/>
    <w:rsid w:val="00D62ED2"/>
    <w:rsid w:val="00D6361F"/>
    <w:rsid w:val="00D636A4"/>
    <w:rsid w:val="00D6377A"/>
    <w:rsid w:val="00D64790"/>
    <w:rsid w:val="00D64AE9"/>
    <w:rsid w:val="00D64FF3"/>
    <w:rsid w:val="00D651DF"/>
    <w:rsid w:val="00D65677"/>
    <w:rsid w:val="00D66D2B"/>
    <w:rsid w:val="00D66D40"/>
    <w:rsid w:val="00D70913"/>
    <w:rsid w:val="00D70CB4"/>
    <w:rsid w:val="00D718F7"/>
    <w:rsid w:val="00D71A41"/>
    <w:rsid w:val="00D71CD1"/>
    <w:rsid w:val="00D722A0"/>
    <w:rsid w:val="00D72341"/>
    <w:rsid w:val="00D72A7A"/>
    <w:rsid w:val="00D73018"/>
    <w:rsid w:val="00D733F2"/>
    <w:rsid w:val="00D7365B"/>
    <w:rsid w:val="00D7369C"/>
    <w:rsid w:val="00D74A4B"/>
    <w:rsid w:val="00D755AC"/>
    <w:rsid w:val="00D75F23"/>
    <w:rsid w:val="00D76205"/>
    <w:rsid w:val="00D772E8"/>
    <w:rsid w:val="00D7761D"/>
    <w:rsid w:val="00D77BCF"/>
    <w:rsid w:val="00D77D90"/>
    <w:rsid w:val="00D77F1A"/>
    <w:rsid w:val="00D8020A"/>
    <w:rsid w:val="00D80F7C"/>
    <w:rsid w:val="00D81179"/>
    <w:rsid w:val="00D811AE"/>
    <w:rsid w:val="00D81594"/>
    <w:rsid w:val="00D816D5"/>
    <w:rsid w:val="00D81A0F"/>
    <w:rsid w:val="00D820CC"/>
    <w:rsid w:val="00D82154"/>
    <w:rsid w:val="00D827D1"/>
    <w:rsid w:val="00D828E9"/>
    <w:rsid w:val="00D82D8D"/>
    <w:rsid w:val="00D82FCF"/>
    <w:rsid w:val="00D831E4"/>
    <w:rsid w:val="00D8418D"/>
    <w:rsid w:val="00D84531"/>
    <w:rsid w:val="00D84686"/>
    <w:rsid w:val="00D846F3"/>
    <w:rsid w:val="00D855CA"/>
    <w:rsid w:val="00D85A06"/>
    <w:rsid w:val="00D87415"/>
    <w:rsid w:val="00D87EC9"/>
    <w:rsid w:val="00D90001"/>
    <w:rsid w:val="00D90059"/>
    <w:rsid w:val="00D909C2"/>
    <w:rsid w:val="00D90AD8"/>
    <w:rsid w:val="00D912C0"/>
    <w:rsid w:val="00D915E8"/>
    <w:rsid w:val="00D91DF9"/>
    <w:rsid w:val="00D91F87"/>
    <w:rsid w:val="00D925D0"/>
    <w:rsid w:val="00D92745"/>
    <w:rsid w:val="00D9304F"/>
    <w:rsid w:val="00D934BF"/>
    <w:rsid w:val="00D938FC"/>
    <w:rsid w:val="00D93DB0"/>
    <w:rsid w:val="00D94069"/>
    <w:rsid w:val="00D94577"/>
    <w:rsid w:val="00D94711"/>
    <w:rsid w:val="00D948C8"/>
    <w:rsid w:val="00D952A0"/>
    <w:rsid w:val="00D956FB"/>
    <w:rsid w:val="00D959D3"/>
    <w:rsid w:val="00D95AC5"/>
    <w:rsid w:val="00D95CF7"/>
    <w:rsid w:val="00D95F67"/>
    <w:rsid w:val="00D96A7B"/>
    <w:rsid w:val="00D97510"/>
    <w:rsid w:val="00D97E20"/>
    <w:rsid w:val="00D97F1B"/>
    <w:rsid w:val="00DA01D0"/>
    <w:rsid w:val="00DA0267"/>
    <w:rsid w:val="00DA0282"/>
    <w:rsid w:val="00DA0753"/>
    <w:rsid w:val="00DA075C"/>
    <w:rsid w:val="00DA1EF2"/>
    <w:rsid w:val="00DA20CC"/>
    <w:rsid w:val="00DA22C3"/>
    <w:rsid w:val="00DA230A"/>
    <w:rsid w:val="00DA3E0C"/>
    <w:rsid w:val="00DA4132"/>
    <w:rsid w:val="00DA4BFE"/>
    <w:rsid w:val="00DA4CA6"/>
    <w:rsid w:val="00DA4E37"/>
    <w:rsid w:val="00DA520D"/>
    <w:rsid w:val="00DA5DE5"/>
    <w:rsid w:val="00DA6086"/>
    <w:rsid w:val="00DA61E4"/>
    <w:rsid w:val="00DA683F"/>
    <w:rsid w:val="00DA749A"/>
    <w:rsid w:val="00DB0121"/>
    <w:rsid w:val="00DB05FE"/>
    <w:rsid w:val="00DB097E"/>
    <w:rsid w:val="00DB0D2D"/>
    <w:rsid w:val="00DB0E4C"/>
    <w:rsid w:val="00DB176A"/>
    <w:rsid w:val="00DB1881"/>
    <w:rsid w:val="00DB1D3C"/>
    <w:rsid w:val="00DB1D78"/>
    <w:rsid w:val="00DB2828"/>
    <w:rsid w:val="00DB2C40"/>
    <w:rsid w:val="00DB3348"/>
    <w:rsid w:val="00DB3D7B"/>
    <w:rsid w:val="00DB3FFA"/>
    <w:rsid w:val="00DB4721"/>
    <w:rsid w:val="00DB4A02"/>
    <w:rsid w:val="00DB4F4A"/>
    <w:rsid w:val="00DB53A2"/>
    <w:rsid w:val="00DB579A"/>
    <w:rsid w:val="00DB58A4"/>
    <w:rsid w:val="00DB5A86"/>
    <w:rsid w:val="00DB6A55"/>
    <w:rsid w:val="00DB6D16"/>
    <w:rsid w:val="00DB7704"/>
    <w:rsid w:val="00DC165C"/>
    <w:rsid w:val="00DC19A2"/>
    <w:rsid w:val="00DC2075"/>
    <w:rsid w:val="00DC22E3"/>
    <w:rsid w:val="00DC235A"/>
    <w:rsid w:val="00DC2AA0"/>
    <w:rsid w:val="00DC2C97"/>
    <w:rsid w:val="00DC3364"/>
    <w:rsid w:val="00DC3B0C"/>
    <w:rsid w:val="00DC3D56"/>
    <w:rsid w:val="00DC4011"/>
    <w:rsid w:val="00DC40A8"/>
    <w:rsid w:val="00DC45A4"/>
    <w:rsid w:val="00DC4738"/>
    <w:rsid w:val="00DC47DC"/>
    <w:rsid w:val="00DC4EE7"/>
    <w:rsid w:val="00DC526E"/>
    <w:rsid w:val="00DC5631"/>
    <w:rsid w:val="00DC5FD5"/>
    <w:rsid w:val="00DC6F57"/>
    <w:rsid w:val="00DC73B3"/>
    <w:rsid w:val="00DC76C6"/>
    <w:rsid w:val="00DC7A6C"/>
    <w:rsid w:val="00DC7D64"/>
    <w:rsid w:val="00DD0061"/>
    <w:rsid w:val="00DD0754"/>
    <w:rsid w:val="00DD0BC9"/>
    <w:rsid w:val="00DD1152"/>
    <w:rsid w:val="00DD135E"/>
    <w:rsid w:val="00DD15CF"/>
    <w:rsid w:val="00DD1ED7"/>
    <w:rsid w:val="00DD1F93"/>
    <w:rsid w:val="00DD38EF"/>
    <w:rsid w:val="00DD408D"/>
    <w:rsid w:val="00DD6033"/>
    <w:rsid w:val="00DD63FC"/>
    <w:rsid w:val="00DD6823"/>
    <w:rsid w:val="00DD748D"/>
    <w:rsid w:val="00DD7B84"/>
    <w:rsid w:val="00DD7EB3"/>
    <w:rsid w:val="00DE0204"/>
    <w:rsid w:val="00DE0464"/>
    <w:rsid w:val="00DE0B51"/>
    <w:rsid w:val="00DE0C87"/>
    <w:rsid w:val="00DE100A"/>
    <w:rsid w:val="00DE13ED"/>
    <w:rsid w:val="00DE1E1E"/>
    <w:rsid w:val="00DE2071"/>
    <w:rsid w:val="00DE258C"/>
    <w:rsid w:val="00DE26C5"/>
    <w:rsid w:val="00DE29D1"/>
    <w:rsid w:val="00DE2BE3"/>
    <w:rsid w:val="00DE2E22"/>
    <w:rsid w:val="00DE30E4"/>
    <w:rsid w:val="00DE3344"/>
    <w:rsid w:val="00DE35C3"/>
    <w:rsid w:val="00DE3697"/>
    <w:rsid w:val="00DE4A9C"/>
    <w:rsid w:val="00DE53C6"/>
    <w:rsid w:val="00DE54F1"/>
    <w:rsid w:val="00DE570E"/>
    <w:rsid w:val="00DE5B2B"/>
    <w:rsid w:val="00DE5B81"/>
    <w:rsid w:val="00DE604C"/>
    <w:rsid w:val="00DE6398"/>
    <w:rsid w:val="00DE66CF"/>
    <w:rsid w:val="00DE66EB"/>
    <w:rsid w:val="00DE6A43"/>
    <w:rsid w:val="00DE6E6A"/>
    <w:rsid w:val="00DE7A49"/>
    <w:rsid w:val="00DF0076"/>
    <w:rsid w:val="00DF02D2"/>
    <w:rsid w:val="00DF06AB"/>
    <w:rsid w:val="00DF08B6"/>
    <w:rsid w:val="00DF0C1D"/>
    <w:rsid w:val="00DF0FCB"/>
    <w:rsid w:val="00DF19E5"/>
    <w:rsid w:val="00DF1D64"/>
    <w:rsid w:val="00DF1DE1"/>
    <w:rsid w:val="00DF1F88"/>
    <w:rsid w:val="00DF2279"/>
    <w:rsid w:val="00DF241B"/>
    <w:rsid w:val="00DF266C"/>
    <w:rsid w:val="00DF28C1"/>
    <w:rsid w:val="00DF2BB2"/>
    <w:rsid w:val="00DF34B6"/>
    <w:rsid w:val="00DF399D"/>
    <w:rsid w:val="00DF3A3A"/>
    <w:rsid w:val="00DF3E68"/>
    <w:rsid w:val="00DF3F28"/>
    <w:rsid w:val="00DF406E"/>
    <w:rsid w:val="00DF40A2"/>
    <w:rsid w:val="00DF470B"/>
    <w:rsid w:val="00DF4AA8"/>
    <w:rsid w:val="00DF4B68"/>
    <w:rsid w:val="00DF511F"/>
    <w:rsid w:val="00DF5F8F"/>
    <w:rsid w:val="00DF6C1D"/>
    <w:rsid w:val="00DF6CF5"/>
    <w:rsid w:val="00DF6FF9"/>
    <w:rsid w:val="00DF723A"/>
    <w:rsid w:val="00DF7242"/>
    <w:rsid w:val="00DF73F0"/>
    <w:rsid w:val="00E00394"/>
    <w:rsid w:val="00E00629"/>
    <w:rsid w:val="00E00E60"/>
    <w:rsid w:val="00E00E94"/>
    <w:rsid w:val="00E02430"/>
    <w:rsid w:val="00E02790"/>
    <w:rsid w:val="00E027C9"/>
    <w:rsid w:val="00E02A49"/>
    <w:rsid w:val="00E033F3"/>
    <w:rsid w:val="00E03F68"/>
    <w:rsid w:val="00E043E1"/>
    <w:rsid w:val="00E04791"/>
    <w:rsid w:val="00E048A3"/>
    <w:rsid w:val="00E04B3B"/>
    <w:rsid w:val="00E04C13"/>
    <w:rsid w:val="00E05A03"/>
    <w:rsid w:val="00E060B7"/>
    <w:rsid w:val="00E063AC"/>
    <w:rsid w:val="00E06889"/>
    <w:rsid w:val="00E06C3D"/>
    <w:rsid w:val="00E06F6A"/>
    <w:rsid w:val="00E0726D"/>
    <w:rsid w:val="00E1066A"/>
    <w:rsid w:val="00E10B37"/>
    <w:rsid w:val="00E1113E"/>
    <w:rsid w:val="00E1170B"/>
    <w:rsid w:val="00E11BCB"/>
    <w:rsid w:val="00E1238D"/>
    <w:rsid w:val="00E126B6"/>
    <w:rsid w:val="00E12AE4"/>
    <w:rsid w:val="00E13B27"/>
    <w:rsid w:val="00E142D9"/>
    <w:rsid w:val="00E145B2"/>
    <w:rsid w:val="00E14861"/>
    <w:rsid w:val="00E14AA6"/>
    <w:rsid w:val="00E154C4"/>
    <w:rsid w:val="00E15506"/>
    <w:rsid w:val="00E159C2"/>
    <w:rsid w:val="00E15C6B"/>
    <w:rsid w:val="00E16664"/>
    <w:rsid w:val="00E16771"/>
    <w:rsid w:val="00E171A7"/>
    <w:rsid w:val="00E17207"/>
    <w:rsid w:val="00E17482"/>
    <w:rsid w:val="00E175E2"/>
    <w:rsid w:val="00E178F9"/>
    <w:rsid w:val="00E17970"/>
    <w:rsid w:val="00E17F2C"/>
    <w:rsid w:val="00E209A1"/>
    <w:rsid w:val="00E20CF9"/>
    <w:rsid w:val="00E20D9C"/>
    <w:rsid w:val="00E20FEF"/>
    <w:rsid w:val="00E21144"/>
    <w:rsid w:val="00E21571"/>
    <w:rsid w:val="00E21777"/>
    <w:rsid w:val="00E21943"/>
    <w:rsid w:val="00E21A10"/>
    <w:rsid w:val="00E21DB4"/>
    <w:rsid w:val="00E231B0"/>
    <w:rsid w:val="00E234EC"/>
    <w:rsid w:val="00E23717"/>
    <w:rsid w:val="00E24252"/>
    <w:rsid w:val="00E2429B"/>
    <w:rsid w:val="00E243C1"/>
    <w:rsid w:val="00E244D7"/>
    <w:rsid w:val="00E248D6"/>
    <w:rsid w:val="00E24C7B"/>
    <w:rsid w:val="00E24E19"/>
    <w:rsid w:val="00E25A53"/>
    <w:rsid w:val="00E25DF5"/>
    <w:rsid w:val="00E26001"/>
    <w:rsid w:val="00E260A4"/>
    <w:rsid w:val="00E27350"/>
    <w:rsid w:val="00E27373"/>
    <w:rsid w:val="00E27526"/>
    <w:rsid w:val="00E27DA3"/>
    <w:rsid w:val="00E30023"/>
    <w:rsid w:val="00E30034"/>
    <w:rsid w:val="00E304C0"/>
    <w:rsid w:val="00E30727"/>
    <w:rsid w:val="00E30899"/>
    <w:rsid w:val="00E30FB1"/>
    <w:rsid w:val="00E313B0"/>
    <w:rsid w:val="00E31DB4"/>
    <w:rsid w:val="00E31EF9"/>
    <w:rsid w:val="00E31FB2"/>
    <w:rsid w:val="00E32861"/>
    <w:rsid w:val="00E32D06"/>
    <w:rsid w:val="00E3335A"/>
    <w:rsid w:val="00E33405"/>
    <w:rsid w:val="00E33855"/>
    <w:rsid w:val="00E33888"/>
    <w:rsid w:val="00E34B21"/>
    <w:rsid w:val="00E35022"/>
    <w:rsid w:val="00E351F7"/>
    <w:rsid w:val="00E35674"/>
    <w:rsid w:val="00E36321"/>
    <w:rsid w:val="00E3669A"/>
    <w:rsid w:val="00E36A64"/>
    <w:rsid w:val="00E37DD5"/>
    <w:rsid w:val="00E37F51"/>
    <w:rsid w:val="00E40774"/>
    <w:rsid w:val="00E4093D"/>
    <w:rsid w:val="00E40F72"/>
    <w:rsid w:val="00E414F0"/>
    <w:rsid w:val="00E418EC"/>
    <w:rsid w:val="00E41CA2"/>
    <w:rsid w:val="00E41FE3"/>
    <w:rsid w:val="00E420F9"/>
    <w:rsid w:val="00E42B6D"/>
    <w:rsid w:val="00E42D2B"/>
    <w:rsid w:val="00E436E0"/>
    <w:rsid w:val="00E43763"/>
    <w:rsid w:val="00E43877"/>
    <w:rsid w:val="00E43EA7"/>
    <w:rsid w:val="00E447E7"/>
    <w:rsid w:val="00E44B10"/>
    <w:rsid w:val="00E44EC8"/>
    <w:rsid w:val="00E455F7"/>
    <w:rsid w:val="00E457F4"/>
    <w:rsid w:val="00E458FB"/>
    <w:rsid w:val="00E45A9A"/>
    <w:rsid w:val="00E45CD5"/>
    <w:rsid w:val="00E4637A"/>
    <w:rsid w:val="00E4655C"/>
    <w:rsid w:val="00E46B98"/>
    <w:rsid w:val="00E46C89"/>
    <w:rsid w:val="00E46CEE"/>
    <w:rsid w:val="00E4747A"/>
    <w:rsid w:val="00E47E41"/>
    <w:rsid w:val="00E508E8"/>
    <w:rsid w:val="00E51266"/>
    <w:rsid w:val="00E51367"/>
    <w:rsid w:val="00E51838"/>
    <w:rsid w:val="00E51D4C"/>
    <w:rsid w:val="00E527F4"/>
    <w:rsid w:val="00E52C5F"/>
    <w:rsid w:val="00E538F7"/>
    <w:rsid w:val="00E539DB"/>
    <w:rsid w:val="00E53F86"/>
    <w:rsid w:val="00E545AE"/>
    <w:rsid w:val="00E54689"/>
    <w:rsid w:val="00E55589"/>
    <w:rsid w:val="00E558AD"/>
    <w:rsid w:val="00E55922"/>
    <w:rsid w:val="00E55940"/>
    <w:rsid w:val="00E55993"/>
    <w:rsid w:val="00E55CF4"/>
    <w:rsid w:val="00E55DA9"/>
    <w:rsid w:val="00E5635E"/>
    <w:rsid w:val="00E56841"/>
    <w:rsid w:val="00E568FA"/>
    <w:rsid w:val="00E56A1B"/>
    <w:rsid w:val="00E56AB5"/>
    <w:rsid w:val="00E576C9"/>
    <w:rsid w:val="00E57786"/>
    <w:rsid w:val="00E57B6B"/>
    <w:rsid w:val="00E57C1B"/>
    <w:rsid w:val="00E6042E"/>
    <w:rsid w:val="00E61074"/>
    <w:rsid w:val="00E6169A"/>
    <w:rsid w:val="00E63DCD"/>
    <w:rsid w:val="00E6442B"/>
    <w:rsid w:val="00E6468A"/>
    <w:rsid w:val="00E64811"/>
    <w:rsid w:val="00E650EC"/>
    <w:rsid w:val="00E65CA7"/>
    <w:rsid w:val="00E668B0"/>
    <w:rsid w:val="00E66CCC"/>
    <w:rsid w:val="00E6788A"/>
    <w:rsid w:val="00E67AC3"/>
    <w:rsid w:val="00E67EEF"/>
    <w:rsid w:val="00E67F77"/>
    <w:rsid w:val="00E70003"/>
    <w:rsid w:val="00E709D6"/>
    <w:rsid w:val="00E70D5B"/>
    <w:rsid w:val="00E711E0"/>
    <w:rsid w:val="00E712A2"/>
    <w:rsid w:val="00E718FE"/>
    <w:rsid w:val="00E71EE3"/>
    <w:rsid w:val="00E72489"/>
    <w:rsid w:val="00E72636"/>
    <w:rsid w:val="00E73172"/>
    <w:rsid w:val="00E73A8F"/>
    <w:rsid w:val="00E740F9"/>
    <w:rsid w:val="00E746B9"/>
    <w:rsid w:val="00E747A9"/>
    <w:rsid w:val="00E748CD"/>
    <w:rsid w:val="00E74F2D"/>
    <w:rsid w:val="00E751B1"/>
    <w:rsid w:val="00E755CF"/>
    <w:rsid w:val="00E755FD"/>
    <w:rsid w:val="00E756AE"/>
    <w:rsid w:val="00E75B41"/>
    <w:rsid w:val="00E765C9"/>
    <w:rsid w:val="00E77300"/>
    <w:rsid w:val="00E77E00"/>
    <w:rsid w:val="00E77F2F"/>
    <w:rsid w:val="00E808C1"/>
    <w:rsid w:val="00E80D89"/>
    <w:rsid w:val="00E81460"/>
    <w:rsid w:val="00E816D9"/>
    <w:rsid w:val="00E8191F"/>
    <w:rsid w:val="00E8194B"/>
    <w:rsid w:val="00E81AFB"/>
    <w:rsid w:val="00E82100"/>
    <w:rsid w:val="00E8241D"/>
    <w:rsid w:val="00E824C7"/>
    <w:rsid w:val="00E824F4"/>
    <w:rsid w:val="00E84075"/>
    <w:rsid w:val="00E8455C"/>
    <w:rsid w:val="00E845AB"/>
    <w:rsid w:val="00E84A61"/>
    <w:rsid w:val="00E84B9F"/>
    <w:rsid w:val="00E84C23"/>
    <w:rsid w:val="00E84C3F"/>
    <w:rsid w:val="00E85665"/>
    <w:rsid w:val="00E8573A"/>
    <w:rsid w:val="00E858B1"/>
    <w:rsid w:val="00E866BB"/>
    <w:rsid w:val="00E8694D"/>
    <w:rsid w:val="00E86A54"/>
    <w:rsid w:val="00E86BA0"/>
    <w:rsid w:val="00E86EB2"/>
    <w:rsid w:val="00E871FD"/>
    <w:rsid w:val="00E872D2"/>
    <w:rsid w:val="00E873A9"/>
    <w:rsid w:val="00E87B9B"/>
    <w:rsid w:val="00E901D0"/>
    <w:rsid w:val="00E90447"/>
    <w:rsid w:val="00E90888"/>
    <w:rsid w:val="00E909A1"/>
    <w:rsid w:val="00E90BA0"/>
    <w:rsid w:val="00E9107F"/>
    <w:rsid w:val="00E920F8"/>
    <w:rsid w:val="00E92F2E"/>
    <w:rsid w:val="00E93974"/>
    <w:rsid w:val="00E93C09"/>
    <w:rsid w:val="00E943C6"/>
    <w:rsid w:val="00E948CC"/>
    <w:rsid w:val="00E94DFE"/>
    <w:rsid w:val="00E966DD"/>
    <w:rsid w:val="00E97708"/>
    <w:rsid w:val="00E97973"/>
    <w:rsid w:val="00E979AC"/>
    <w:rsid w:val="00E97F3D"/>
    <w:rsid w:val="00EA01D1"/>
    <w:rsid w:val="00EA16DE"/>
    <w:rsid w:val="00EA2A96"/>
    <w:rsid w:val="00EA361E"/>
    <w:rsid w:val="00EA3846"/>
    <w:rsid w:val="00EA4115"/>
    <w:rsid w:val="00EA42AE"/>
    <w:rsid w:val="00EA4BF4"/>
    <w:rsid w:val="00EA4EC9"/>
    <w:rsid w:val="00EA52E7"/>
    <w:rsid w:val="00EA6112"/>
    <w:rsid w:val="00EA6333"/>
    <w:rsid w:val="00EA6577"/>
    <w:rsid w:val="00EA67C1"/>
    <w:rsid w:val="00EA67D4"/>
    <w:rsid w:val="00EA68EA"/>
    <w:rsid w:val="00EA7303"/>
    <w:rsid w:val="00EA7B05"/>
    <w:rsid w:val="00EA7D50"/>
    <w:rsid w:val="00EA7DE0"/>
    <w:rsid w:val="00EB0BC3"/>
    <w:rsid w:val="00EB0E63"/>
    <w:rsid w:val="00EB112D"/>
    <w:rsid w:val="00EB1182"/>
    <w:rsid w:val="00EB27C2"/>
    <w:rsid w:val="00EB2B10"/>
    <w:rsid w:val="00EB2F6D"/>
    <w:rsid w:val="00EB44C6"/>
    <w:rsid w:val="00EB4542"/>
    <w:rsid w:val="00EB45AA"/>
    <w:rsid w:val="00EB4631"/>
    <w:rsid w:val="00EB55C8"/>
    <w:rsid w:val="00EB57CA"/>
    <w:rsid w:val="00EB5DC9"/>
    <w:rsid w:val="00EB6060"/>
    <w:rsid w:val="00EB60BC"/>
    <w:rsid w:val="00EB68C2"/>
    <w:rsid w:val="00EB78E6"/>
    <w:rsid w:val="00EB7CC6"/>
    <w:rsid w:val="00EB7D0E"/>
    <w:rsid w:val="00EB7D86"/>
    <w:rsid w:val="00EC00D2"/>
    <w:rsid w:val="00EC04C0"/>
    <w:rsid w:val="00EC0543"/>
    <w:rsid w:val="00EC076B"/>
    <w:rsid w:val="00EC076F"/>
    <w:rsid w:val="00EC0DBE"/>
    <w:rsid w:val="00EC128E"/>
    <w:rsid w:val="00EC15F7"/>
    <w:rsid w:val="00EC17BF"/>
    <w:rsid w:val="00EC1F0E"/>
    <w:rsid w:val="00EC2163"/>
    <w:rsid w:val="00EC2A49"/>
    <w:rsid w:val="00EC2BC0"/>
    <w:rsid w:val="00EC318F"/>
    <w:rsid w:val="00EC3C58"/>
    <w:rsid w:val="00EC4025"/>
    <w:rsid w:val="00EC414B"/>
    <w:rsid w:val="00EC41BD"/>
    <w:rsid w:val="00EC44FD"/>
    <w:rsid w:val="00EC47CA"/>
    <w:rsid w:val="00EC4F23"/>
    <w:rsid w:val="00EC4F9D"/>
    <w:rsid w:val="00EC5564"/>
    <w:rsid w:val="00EC55AD"/>
    <w:rsid w:val="00EC595C"/>
    <w:rsid w:val="00EC5B07"/>
    <w:rsid w:val="00EC5E7D"/>
    <w:rsid w:val="00EC791B"/>
    <w:rsid w:val="00EC7936"/>
    <w:rsid w:val="00EC7BC1"/>
    <w:rsid w:val="00EC7D3C"/>
    <w:rsid w:val="00ED0143"/>
    <w:rsid w:val="00ED07EA"/>
    <w:rsid w:val="00ED0E3D"/>
    <w:rsid w:val="00ED160C"/>
    <w:rsid w:val="00ED20F7"/>
    <w:rsid w:val="00ED222F"/>
    <w:rsid w:val="00ED23A8"/>
    <w:rsid w:val="00ED2A13"/>
    <w:rsid w:val="00ED2F57"/>
    <w:rsid w:val="00ED3632"/>
    <w:rsid w:val="00ED3B42"/>
    <w:rsid w:val="00ED3F97"/>
    <w:rsid w:val="00ED4008"/>
    <w:rsid w:val="00ED434C"/>
    <w:rsid w:val="00ED438B"/>
    <w:rsid w:val="00ED4621"/>
    <w:rsid w:val="00ED4658"/>
    <w:rsid w:val="00ED4847"/>
    <w:rsid w:val="00ED5046"/>
    <w:rsid w:val="00ED5C17"/>
    <w:rsid w:val="00ED671D"/>
    <w:rsid w:val="00ED68DA"/>
    <w:rsid w:val="00ED7276"/>
    <w:rsid w:val="00ED7929"/>
    <w:rsid w:val="00ED7A53"/>
    <w:rsid w:val="00ED7B53"/>
    <w:rsid w:val="00ED7C2E"/>
    <w:rsid w:val="00ED7C3F"/>
    <w:rsid w:val="00EE08F4"/>
    <w:rsid w:val="00EE0F5D"/>
    <w:rsid w:val="00EE0F5E"/>
    <w:rsid w:val="00EE1CCC"/>
    <w:rsid w:val="00EE1DF9"/>
    <w:rsid w:val="00EE1E6D"/>
    <w:rsid w:val="00EE214B"/>
    <w:rsid w:val="00EE2CF3"/>
    <w:rsid w:val="00EE335E"/>
    <w:rsid w:val="00EE3B4F"/>
    <w:rsid w:val="00EE3BD3"/>
    <w:rsid w:val="00EE3C64"/>
    <w:rsid w:val="00EE3DED"/>
    <w:rsid w:val="00EE3F0C"/>
    <w:rsid w:val="00EE414F"/>
    <w:rsid w:val="00EE4425"/>
    <w:rsid w:val="00EE4BF8"/>
    <w:rsid w:val="00EE4E68"/>
    <w:rsid w:val="00EE4EE0"/>
    <w:rsid w:val="00EE4F3D"/>
    <w:rsid w:val="00EE51BC"/>
    <w:rsid w:val="00EE542E"/>
    <w:rsid w:val="00EE54EF"/>
    <w:rsid w:val="00EE5A5C"/>
    <w:rsid w:val="00EE5E59"/>
    <w:rsid w:val="00EE6173"/>
    <w:rsid w:val="00EE62DE"/>
    <w:rsid w:val="00EE79FE"/>
    <w:rsid w:val="00EF009D"/>
    <w:rsid w:val="00EF00A9"/>
    <w:rsid w:val="00EF0410"/>
    <w:rsid w:val="00EF05E9"/>
    <w:rsid w:val="00EF184B"/>
    <w:rsid w:val="00EF19FF"/>
    <w:rsid w:val="00EF1C9C"/>
    <w:rsid w:val="00EF30AE"/>
    <w:rsid w:val="00EF31A7"/>
    <w:rsid w:val="00EF37B3"/>
    <w:rsid w:val="00EF3DAA"/>
    <w:rsid w:val="00EF4405"/>
    <w:rsid w:val="00EF4E2E"/>
    <w:rsid w:val="00EF574E"/>
    <w:rsid w:val="00EF5DBB"/>
    <w:rsid w:val="00EF5EBD"/>
    <w:rsid w:val="00EF603A"/>
    <w:rsid w:val="00EF6CEA"/>
    <w:rsid w:val="00EF6F7B"/>
    <w:rsid w:val="00EF6FFC"/>
    <w:rsid w:val="00EF77AF"/>
    <w:rsid w:val="00EF792A"/>
    <w:rsid w:val="00EF7976"/>
    <w:rsid w:val="00EF7D49"/>
    <w:rsid w:val="00EF7DCB"/>
    <w:rsid w:val="00EF7DEA"/>
    <w:rsid w:val="00EF7F7A"/>
    <w:rsid w:val="00F003FE"/>
    <w:rsid w:val="00F005A2"/>
    <w:rsid w:val="00F00634"/>
    <w:rsid w:val="00F0066E"/>
    <w:rsid w:val="00F00759"/>
    <w:rsid w:val="00F00980"/>
    <w:rsid w:val="00F00AF5"/>
    <w:rsid w:val="00F0109D"/>
    <w:rsid w:val="00F01646"/>
    <w:rsid w:val="00F01A6B"/>
    <w:rsid w:val="00F0255A"/>
    <w:rsid w:val="00F02B44"/>
    <w:rsid w:val="00F02C55"/>
    <w:rsid w:val="00F03CD4"/>
    <w:rsid w:val="00F04534"/>
    <w:rsid w:val="00F045D9"/>
    <w:rsid w:val="00F054C6"/>
    <w:rsid w:val="00F05638"/>
    <w:rsid w:val="00F07924"/>
    <w:rsid w:val="00F07931"/>
    <w:rsid w:val="00F07A23"/>
    <w:rsid w:val="00F10DE1"/>
    <w:rsid w:val="00F114B8"/>
    <w:rsid w:val="00F12A32"/>
    <w:rsid w:val="00F12A72"/>
    <w:rsid w:val="00F12BB1"/>
    <w:rsid w:val="00F12E1F"/>
    <w:rsid w:val="00F13278"/>
    <w:rsid w:val="00F13BD2"/>
    <w:rsid w:val="00F14621"/>
    <w:rsid w:val="00F14742"/>
    <w:rsid w:val="00F14999"/>
    <w:rsid w:val="00F14F30"/>
    <w:rsid w:val="00F14F67"/>
    <w:rsid w:val="00F15845"/>
    <w:rsid w:val="00F1585B"/>
    <w:rsid w:val="00F158A9"/>
    <w:rsid w:val="00F15AA2"/>
    <w:rsid w:val="00F15AC3"/>
    <w:rsid w:val="00F15BD5"/>
    <w:rsid w:val="00F15E04"/>
    <w:rsid w:val="00F16C0A"/>
    <w:rsid w:val="00F16C65"/>
    <w:rsid w:val="00F16E62"/>
    <w:rsid w:val="00F16E65"/>
    <w:rsid w:val="00F17BEC"/>
    <w:rsid w:val="00F203BE"/>
    <w:rsid w:val="00F2058B"/>
    <w:rsid w:val="00F205AD"/>
    <w:rsid w:val="00F20671"/>
    <w:rsid w:val="00F2079E"/>
    <w:rsid w:val="00F209E7"/>
    <w:rsid w:val="00F20B24"/>
    <w:rsid w:val="00F21155"/>
    <w:rsid w:val="00F21267"/>
    <w:rsid w:val="00F217AA"/>
    <w:rsid w:val="00F21935"/>
    <w:rsid w:val="00F21BEF"/>
    <w:rsid w:val="00F2308B"/>
    <w:rsid w:val="00F2390F"/>
    <w:rsid w:val="00F23A6A"/>
    <w:rsid w:val="00F23C0C"/>
    <w:rsid w:val="00F23CE3"/>
    <w:rsid w:val="00F242A4"/>
    <w:rsid w:val="00F243CE"/>
    <w:rsid w:val="00F24C62"/>
    <w:rsid w:val="00F24CC3"/>
    <w:rsid w:val="00F25C2A"/>
    <w:rsid w:val="00F25E1B"/>
    <w:rsid w:val="00F2600B"/>
    <w:rsid w:val="00F26187"/>
    <w:rsid w:val="00F27111"/>
    <w:rsid w:val="00F27231"/>
    <w:rsid w:val="00F27B70"/>
    <w:rsid w:val="00F307BA"/>
    <w:rsid w:val="00F30C83"/>
    <w:rsid w:val="00F30E1F"/>
    <w:rsid w:val="00F314E9"/>
    <w:rsid w:val="00F31680"/>
    <w:rsid w:val="00F3171A"/>
    <w:rsid w:val="00F31963"/>
    <w:rsid w:val="00F3199D"/>
    <w:rsid w:val="00F31C6C"/>
    <w:rsid w:val="00F32433"/>
    <w:rsid w:val="00F32CB0"/>
    <w:rsid w:val="00F32FF9"/>
    <w:rsid w:val="00F33C7A"/>
    <w:rsid w:val="00F33DC1"/>
    <w:rsid w:val="00F34173"/>
    <w:rsid w:val="00F3443A"/>
    <w:rsid w:val="00F35251"/>
    <w:rsid w:val="00F35357"/>
    <w:rsid w:val="00F35712"/>
    <w:rsid w:val="00F35CEA"/>
    <w:rsid w:val="00F35DD1"/>
    <w:rsid w:val="00F3616C"/>
    <w:rsid w:val="00F36584"/>
    <w:rsid w:val="00F36AFC"/>
    <w:rsid w:val="00F371AE"/>
    <w:rsid w:val="00F373A1"/>
    <w:rsid w:val="00F37AB5"/>
    <w:rsid w:val="00F37DC6"/>
    <w:rsid w:val="00F40136"/>
    <w:rsid w:val="00F4056B"/>
    <w:rsid w:val="00F40A1D"/>
    <w:rsid w:val="00F41D03"/>
    <w:rsid w:val="00F42135"/>
    <w:rsid w:val="00F42914"/>
    <w:rsid w:val="00F42D62"/>
    <w:rsid w:val="00F42EA1"/>
    <w:rsid w:val="00F436AC"/>
    <w:rsid w:val="00F4371E"/>
    <w:rsid w:val="00F43A24"/>
    <w:rsid w:val="00F443C9"/>
    <w:rsid w:val="00F447F9"/>
    <w:rsid w:val="00F44F28"/>
    <w:rsid w:val="00F45D67"/>
    <w:rsid w:val="00F4626D"/>
    <w:rsid w:val="00F4630A"/>
    <w:rsid w:val="00F472B3"/>
    <w:rsid w:val="00F479D5"/>
    <w:rsid w:val="00F50020"/>
    <w:rsid w:val="00F500DD"/>
    <w:rsid w:val="00F51158"/>
    <w:rsid w:val="00F512DB"/>
    <w:rsid w:val="00F5130F"/>
    <w:rsid w:val="00F51384"/>
    <w:rsid w:val="00F515BC"/>
    <w:rsid w:val="00F521F0"/>
    <w:rsid w:val="00F52754"/>
    <w:rsid w:val="00F527F8"/>
    <w:rsid w:val="00F5283E"/>
    <w:rsid w:val="00F52A9E"/>
    <w:rsid w:val="00F52B51"/>
    <w:rsid w:val="00F52DEF"/>
    <w:rsid w:val="00F52E37"/>
    <w:rsid w:val="00F52E54"/>
    <w:rsid w:val="00F52FED"/>
    <w:rsid w:val="00F5376A"/>
    <w:rsid w:val="00F544BC"/>
    <w:rsid w:val="00F54B7E"/>
    <w:rsid w:val="00F551BA"/>
    <w:rsid w:val="00F5566C"/>
    <w:rsid w:val="00F55859"/>
    <w:rsid w:val="00F55D74"/>
    <w:rsid w:val="00F55F0A"/>
    <w:rsid w:val="00F564E7"/>
    <w:rsid w:val="00F56AED"/>
    <w:rsid w:val="00F56B8E"/>
    <w:rsid w:val="00F576AB"/>
    <w:rsid w:val="00F5787E"/>
    <w:rsid w:val="00F57A0D"/>
    <w:rsid w:val="00F57B16"/>
    <w:rsid w:val="00F57CAB"/>
    <w:rsid w:val="00F60245"/>
    <w:rsid w:val="00F6049D"/>
    <w:rsid w:val="00F60FA8"/>
    <w:rsid w:val="00F61E85"/>
    <w:rsid w:val="00F61F7D"/>
    <w:rsid w:val="00F621E0"/>
    <w:rsid w:val="00F62C15"/>
    <w:rsid w:val="00F62FFE"/>
    <w:rsid w:val="00F632E8"/>
    <w:rsid w:val="00F63BC9"/>
    <w:rsid w:val="00F63C6B"/>
    <w:rsid w:val="00F63CBA"/>
    <w:rsid w:val="00F63D28"/>
    <w:rsid w:val="00F63E06"/>
    <w:rsid w:val="00F63FB6"/>
    <w:rsid w:val="00F641F9"/>
    <w:rsid w:val="00F642E1"/>
    <w:rsid w:val="00F64A6D"/>
    <w:rsid w:val="00F6509F"/>
    <w:rsid w:val="00F656AE"/>
    <w:rsid w:val="00F65A94"/>
    <w:rsid w:val="00F66973"/>
    <w:rsid w:val="00F674BA"/>
    <w:rsid w:val="00F6760F"/>
    <w:rsid w:val="00F679E7"/>
    <w:rsid w:val="00F67BA3"/>
    <w:rsid w:val="00F67C02"/>
    <w:rsid w:val="00F67C95"/>
    <w:rsid w:val="00F67CBA"/>
    <w:rsid w:val="00F70048"/>
    <w:rsid w:val="00F70789"/>
    <w:rsid w:val="00F70859"/>
    <w:rsid w:val="00F7089A"/>
    <w:rsid w:val="00F708B8"/>
    <w:rsid w:val="00F711EA"/>
    <w:rsid w:val="00F71258"/>
    <w:rsid w:val="00F716FD"/>
    <w:rsid w:val="00F7173C"/>
    <w:rsid w:val="00F7230B"/>
    <w:rsid w:val="00F723E5"/>
    <w:rsid w:val="00F72B5D"/>
    <w:rsid w:val="00F72FBB"/>
    <w:rsid w:val="00F73167"/>
    <w:rsid w:val="00F73682"/>
    <w:rsid w:val="00F73D21"/>
    <w:rsid w:val="00F73F4D"/>
    <w:rsid w:val="00F74B44"/>
    <w:rsid w:val="00F756D3"/>
    <w:rsid w:val="00F7598F"/>
    <w:rsid w:val="00F75EB2"/>
    <w:rsid w:val="00F76246"/>
    <w:rsid w:val="00F76614"/>
    <w:rsid w:val="00F766A7"/>
    <w:rsid w:val="00F76BA2"/>
    <w:rsid w:val="00F77A0C"/>
    <w:rsid w:val="00F77E1E"/>
    <w:rsid w:val="00F80A00"/>
    <w:rsid w:val="00F80D68"/>
    <w:rsid w:val="00F80E09"/>
    <w:rsid w:val="00F81103"/>
    <w:rsid w:val="00F81A43"/>
    <w:rsid w:val="00F82022"/>
    <w:rsid w:val="00F82503"/>
    <w:rsid w:val="00F82948"/>
    <w:rsid w:val="00F82B41"/>
    <w:rsid w:val="00F82D06"/>
    <w:rsid w:val="00F8317D"/>
    <w:rsid w:val="00F83D79"/>
    <w:rsid w:val="00F84F09"/>
    <w:rsid w:val="00F85965"/>
    <w:rsid w:val="00F86327"/>
    <w:rsid w:val="00F86D6F"/>
    <w:rsid w:val="00F875DF"/>
    <w:rsid w:val="00F900AA"/>
    <w:rsid w:val="00F9087C"/>
    <w:rsid w:val="00F908A2"/>
    <w:rsid w:val="00F90AF5"/>
    <w:rsid w:val="00F90B97"/>
    <w:rsid w:val="00F90C55"/>
    <w:rsid w:val="00F9134D"/>
    <w:rsid w:val="00F91429"/>
    <w:rsid w:val="00F91DA9"/>
    <w:rsid w:val="00F91FB8"/>
    <w:rsid w:val="00F92C02"/>
    <w:rsid w:val="00F92E65"/>
    <w:rsid w:val="00F934A6"/>
    <w:rsid w:val="00F934D1"/>
    <w:rsid w:val="00F93B30"/>
    <w:rsid w:val="00F93E14"/>
    <w:rsid w:val="00F940A8"/>
    <w:rsid w:val="00F942AF"/>
    <w:rsid w:val="00F947E2"/>
    <w:rsid w:val="00F95AF7"/>
    <w:rsid w:val="00F95F77"/>
    <w:rsid w:val="00F96455"/>
    <w:rsid w:val="00F965DA"/>
    <w:rsid w:val="00F96D34"/>
    <w:rsid w:val="00F96D66"/>
    <w:rsid w:val="00F9711D"/>
    <w:rsid w:val="00F97665"/>
    <w:rsid w:val="00FA0230"/>
    <w:rsid w:val="00FA0376"/>
    <w:rsid w:val="00FA0422"/>
    <w:rsid w:val="00FA087B"/>
    <w:rsid w:val="00FA0C5C"/>
    <w:rsid w:val="00FA1AD1"/>
    <w:rsid w:val="00FA25CD"/>
    <w:rsid w:val="00FA2C2D"/>
    <w:rsid w:val="00FA2F22"/>
    <w:rsid w:val="00FA333C"/>
    <w:rsid w:val="00FA3944"/>
    <w:rsid w:val="00FA3AAB"/>
    <w:rsid w:val="00FA451C"/>
    <w:rsid w:val="00FA4A5D"/>
    <w:rsid w:val="00FA50C9"/>
    <w:rsid w:val="00FA5B62"/>
    <w:rsid w:val="00FA611A"/>
    <w:rsid w:val="00FA64B7"/>
    <w:rsid w:val="00FA6747"/>
    <w:rsid w:val="00FA6793"/>
    <w:rsid w:val="00FA7272"/>
    <w:rsid w:val="00FA74DE"/>
    <w:rsid w:val="00FA77E0"/>
    <w:rsid w:val="00FA7B9B"/>
    <w:rsid w:val="00FA7EF7"/>
    <w:rsid w:val="00FB01A9"/>
    <w:rsid w:val="00FB0C59"/>
    <w:rsid w:val="00FB11ED"/>
    <w:rsid w:val="00FB1DF2"/>
    <w:rsid w:val="00FB20D4"/>
    <w:rsid w:val="00FB20F4"/>
    <w:rsid w:val="00FB22B4"/>
    <w:rsid w:val="00FB2515"/>
    <w:rsid w:val="00FB26C2"/>
    <w:rsid w:val="00FB2A0C"/>
    <w:rsid w:val="00FB317D"/>
    <w:rsid w:val="00FB3314"/>
    <w:rsid w:val="00FB3368"/>
    <w:rsid w:val="00FB3BFC"/>
    <w:rsid w:val="00FB3C64"/>
    <w:rsid w:val="00FB3F0F"/>
    <w:rsid w:val="00FB43C0"/>
    <w:rsid w:val="00FB49C6"/>
    <w:rsid w:val="00FB4DE7"/>
    <w:rsid w:val="00FB654F"/>
    <w:rsid w:val="00FB67E0"/>
    <w:rsid w:val="00FB6AB7"/>
    <w:rsid w:val="00FB75A1"/>
    <w:rsid w:val="00FC0222"/>
    <w:rsid w:val="00FC0243"/>
    <w:rsid w:val="00FC0665"/>
    <w:rsid w:val="00FC0782"/>
    <w:rsid w:val="00FC0A46"/>
    <w:rsid w:val="00FC1268"/>
    <w:rsid w:val="00FC1363"/>
    <w:rsid w:val="00FC13AB"/>
    <w:rsid w:val="00FC1536"/>
    <w:rsid w:val="00FC24D9"/>
    <w:rsid w:val="00FC2A50"/>
    <w:rsid w:val="00FC310A"/>
    <w:rsid w:val="00FC3362"/>
    <w:rsid w:val="00FC4667"/>
    <w:rsid w:val="00FC492D"/>
    <w:rsid w:val="00FC4987"/>
    <w:rsid w:val="00FC4B1F"/>
    <w:rsid w:val="00FC4CBF"/>
    <w:rsid w:val="00FC52AE"/>
    <w:rsid w:val="00FC5E81"/>
    <w:rsid w:val="00FC6024"/>
    <w:rsid w:val="00FC67AB"/>
    <w:rsid w:val="00FC72B9"/>
    <w:rsid w:val="00FC745E"/>
    <w:rsid w:val="00FC7C7E"/>
    <w:rsid w:val="00FC7C9C"/>
    <w:rsid w:val="00FD0426"/>
    <w:rsid w:val="00FD0741"/>
    <w:rsid w:val="00FD084B"/>
    <w:rsid w:val="00FD13E4"/>
    <w:rsid w:val="00FD14A6"/>
    <w:rsid w:val="00FD14EB"/>
    <w:rsid w:val="00FD31E1"/>
    <w:rsid w:val="00FD3524"/>
    <w:rsid w:val="00FD3644"/>
    <w:rsid w:val="00FD395C"/>
    <w:rsid w:val="00FD3CB3"/>
    <w:rsid w:val="00FD4314"/>
    <w:rsid w:val="00FD4328"/>
    <w:rsid w:val="00FD43AF"/>
    <w:rsid w:val="00FD4594"/>
    <w:rsid w:val="00FD4615"/>
    <w:rsid w:val="00FD4CF3"/>
    <w:rsid w:val="00FD5E0A"/>
    <w:rsid w:val="00FD613F"/>
    <w:rsid w:val="00FD66A5"/>
    <w:rsid w:val="00FD679B"/>
    <w:rsid w:val="00FD6BFD"/>
    <w:rsid w:val="00FD6CA9"/>
    <w:rsid w:val="00FD6CE3"/>
    <w:rsid w:val="00FD6F8A"/>
    <w:rsid w:val="00FD7042"/>
    <w:rsid w:val="00FD707D"/>
    <w:rsid w:val="00FD7CE6"/>
    <w:rsid w:val="00FE0349"/>
    <w:rsid w:val="00FE0553"/>
    <w:rsid w:val="00FE0A31"/>
    <w:rsid w:val="00FE0C78"/>
    <w:rsid w:val="00FE0D3F"/>
    <w:rsid w:val="00FE0DB0"/>
    <w:rsid w:val="00FE0E38"/>
    <w:rsid w:val="00FE11FA"/>
    <w:rsid w:val="00FE1232"/>
    <w:rsid w:val="00FE1596"/>
    <w:rsid w:val="00FE1AA8"/>
    <w:rsid w:val="00FE1D57"/>
    <w:rsid w:val="00FE1EDA"/>
    <w:rsid w:val="00FE2121"/>
    <w:rsid w:val="00FE242F"/>
    <w:rsid w:val="00FE256C"/>
    <w:rsid w:val="00FE3270"/>
    <w:rsid w:val="00FE33E1"/>
    <w:rsid w:val="00FE37C5"/>
    <w:rsid w:val="00FE4520"/>
    <w:rsid w:val="00FE4914"/>
    <w:rsid w:val="00FE4B4E"/>
    <w:rsid w:val="00FE4B6F"/>
    <w:rsid w:val="00FE5B05"/>
    <w:rsid w:val="00FE5DCC"/>
    <w:rsid w:val="00FE60D8"/>
    <w:rsid w:val="00FE625C"/>
    <w:rsid w:val="00FE65DB"/>
    <w:rsid w:val="00FE6DF4"/>
    <w:rsid w:val="00FE78DB"/>
    <w:rsid w:val="00FF00B8"/>
    <w:rsid w:val="00FF00E4"/>
    <w:rsid w:val="00FF0D50"/>
    <w:rsid w:val="00FF0D6F"/>
    <w:rsid w:val="00FF10EE"/>
    <w:rsid w:val="00FF1AAE"/>
    <w:rsid w:val="00FF2099"/>
    <w:rsid w:val="00FF20C3"/>
    <w:rsid w:val="00FF2676"/>
    <w:rsid w:val="00FF2C41"/>
    <w:rsid w:val="00FF3472"/>
    <w:rsid w:val="00FF37F8"/>
    <w:rsid w:val="00FF3AAE"/>
    <w:rsid w:val="00FF3C8C"/>
    <w:rsid w:val="00FF4274"/>
    <w:rsid w:val="00FF4694"/>
    <w:rsid w:val="00FF5D53"/>
    <w:rsid w:val="00FF5E1D"/>
    <w:rsid w:val="00FF6134"/>
    <w:rsid w:val="00FF65E4"/>
    <w:rsid w:val="00FF6EFD"/>
    <w:rsid w:val="00FF7A29"/>
    <w:rsid w:val="010E8280"/>
    <w:rsid w:val="016AF660"/>
    <w:rsid w:val="01E99A5C"/>
    <w:rsid w:val="01F835D7"/>
    <w:rsid w:val="025B3C60"/>
    <w:rsid w:val="025FB56F"/>
    <w:rsid w:val="0263D069"/>
    <w:rsid w:val="037A9B2C"/>
    <w:rsid w:val="037ED405"/>
    <w:rsid w:val="03C036DA"/>
    <w:rsid w:val="03CDAD52"/>
    <w:rsid w:val="03D407A8"/>
    <w:rsid w:val="03F5058C"/>
    <w:rsid w:val="04035C58"/>
    <w:rsid w:val="043097D3"/>
    <w:rsid w:val="047C9A09"/>
    <w:rsid w:val="04A92F94"/>
    <w:rsid w:val="04AE802D"/>
    <w:rsid w:val="04B8DD44"/>
    <w:rsid w:val="0531ACA1"/>
    <w:rsid w:val="05A4B435"/>
    <w:rsid w:val="064B3EF5"/>
    <w:rsid w:val="065E4B58"/>
    <w:rsid w:val="0661D5E9"/>
    <w:rsid w:val="067AB39C"/>
    <w:rsid w:val="067F83F9"/>
    <w:rsid w:val="0712B28B"/>
    <w:rsid w:val="0743DCD4"/>
    <w:rsid w:val="07CA1C90"/>
    <w:rsid w:val="07EA42F8"/>
    <w:rsid w:val="08156E0D"/>
    <w:rsid w:val="082DB3F6"/>
    <w:rsid w:val="08F596E6"/>
    <w:rsid w:val="094D123C"/>
    <w:rsid w:val="095238DF"/>
    <w:rsid w:val="0996A967"/>
    <w:rsid w:val="099782C8"/>
    <w:rsid w:val="09CBBB1C"/>
    <w:rsid w:val="09D33CC1"/>
    <w:rsid w:val="09D72B2E"/>
    <w:rsid w:val="0A0553EF"/>
    <w:rsid w:val="0A11E8A8"/>
    <w:rsid w:val="0A2709B5"/>
    <w:rsid w:val="0A2CE5A9"/>
    <w:rsid w:val="0A8564E8"/>
    <w:rsid w:val="0A8F1089"/>
    <w:rsid w:val="0A92B665"/>
    <w:rsid w:val="0AAC217C"/>
    <w:rsid w:val="0AC5DB11"/>
    <w:rsid w:val="0ACE8134"/>
    <w:rsid w:val="0B0C5FB7"/>
    <w:rsid w:val="0B77D948"/>
    <w:rsid w:val="0B901907"/>
    <w:rsid w:val="0BBDB1F2"/>
    <w:rsid w:val="0BE28210"/>
    <w:rsid w:val="0BFBA021"/>
    <w:rsid w:val="0C59D252"/>
    <w:rsid w:val="0CAFCFBF"/>
    <w:rsid w:val="0D10A114"/>
    <w:rsid w:val="0D49A763"/>
    <w:rsid w:val="0DAF07D4"/>
    <w:rsid w:val="0DB81143"/>
    <w:rsid w:val="0DC0D649"/>
    <w:rsid w:val="0DC96364"/>
    <w:rsid w:val="0E904C60"/>
    <w:rsid w:val="0F3439E7"/>
    <w:rsid w:val="0F39AAE3"/>
    <w:rsid w:val="0F583CDD"/>
    <w:rsid w:val="0F8E7FA3"/>
    <w:rsid w:val="0FD04566"/>
    <w:rsid w:val="10F1FEA6"/>
    <w:rsid w:val="1108483C"/>
    <w:rsid w:val="111B1805"/>
    <w:rsid w:val="11401C24"/>
    <w:rsid w:val="119FAB3A"/>
    <w:rsid w:val="11F50BDE"/>
    <w:rsid w:val="123E90D8"/>
    <w:rsid w:val="12D98745"/>
    <w:rsid w:val="13472003"/>
    <w:rsid w:val="13D59101"/>
    <w:rsid w:val="142BFF48"/>
    <w:rsid w:val="144B0B77"/>
    <w:rsid w:val="1474094E"/>
    <w:rsid w:val="14A84411"/>
    <w:rsid w:val="14D741B1"/>
    <w:rsid w:val="152AA72A"/>
    <w:rsid w:val="158418EE"/>
    <w:rsid w:val="166A59A1"/>
    <w:rsid w:val="166E4F25"/>
    <w:rsid w:val="16BFD7A7"/>
    <w:rsid w:val="16C22158"/>
    <w:rsid w:val="16DBAB8C"/>
    <w:rsid w:val="17161466"/>
    <w:rsid w:val="1732EFAA"/>
    <w:rsid w:val="1753AAEA"/>
    <w:rsid w:val="1780ECEC"/>
    <w:rsid w:val="1787DB9C"/>
    <w:rsid w:val="178FDEC3"/>
    <w:rsid w:val="17AEEBE2"/>
    <w:rsid w:val="17D46F52"/>
    <w:rsid w:val="18167638"/>
    <w:rsid w:val="18ABB737"/>
    <w:rsid w:val="18E7C6E8"/>
    <w:rsid w:val="18FA97CB"/>
    <w:rsid w:val="194A2386"/>
    <w:rsid w:val="1A6C78F5"/>
    <w:rsid w:val="1B2F8F68"/>
    <w:rsid w:val="1B5968FC"/>
    <w:rsid w:val="1B782604"/>
    <w:rsid w:val="1BBA4458"/>
    <w:rsid w:val="1BF5E98C"/>
    <w:rsid w:val="1BFC107F"/>
    <w:rsid w:val="1C09D907"/>
    <w:rsid w:val="1C101E47"/>
    <w:rsid w:val="1C2496DE"/>
    <w:rsid w:val="1C72BC64"/>
    <w:rsid w:val="1D07940E"/>
    <w:rsid w:val="1DB81283"/>
    <w:rsid w:val="1DBA157F"/>
    <w:rsid w:val="1DD41A54"/>
    <w:rsid w:val="1E10AEE4"/>
    <w:rsid w:val="1EEFC0C1"/>
    <w:rsid w:val="1EF222EC"/>
    <w:rsid w:val="1F752D10"/>
    <w:rsid w:val="1F8052C9"/>
    <w:rsid w:val="1F8FBD47"/>
    <w:rsid w:val="1FB7DE4D"/>
    <w:rsid w:val="1FE618A2"/>
    <w:rsid w:val="20678629"/>
    <w:rsid w:val="207E3DD3"/>
    <w:rsid w:val="209AA463"/>
    <w:rsid w:val="20E519A0"/>
    <w:rsid w:val="2130D1DC"/>
    <w:rsid w:val="21803D7E"/>
    <w:rsid w:val="219B8B1D"/>
    <w:rsid w:val="21AA6843"/>
    <w:rsid w:val="21CD6CDC"/>
    <w:rsid w:val="21CF1D5B"/>
    <w:rsid w:val="21D1FBB9"/>
    <w:rsid w:val="227625E2"/>
    <w:rsid w:val="22C63D4D"/>
    <w:rsid w:val="232C21BF"/>
    <w:rsid w:val="233BA8D2"/>
    <w:rsid w:val="23913BE3"/>
    <w:rsid w:val="23C8421A"/>
    <w:rsid w:val="23E50C81"/>
    <w:rsid w:val="23EFC993"/>
    <w:rsid w:val="240C4A0D"/>
    <w:rsid w:val="2423B30C"/>
    <w:rsid w:val="243922F0"/>
    <w:rsid w:val="24632B17"/>
    <w:rsid w:val="247F5526"/>
    <w:rsid w:val="2503E3EC"/>
    <w:rsid w:val="252C0147"/>
    <w:rsid w:val="2563EDDF"/>
    <w:rsid w:val="256D4661"/>
    <w:rsid w:val="25B01CB3"/>
    <w:rsid w:val="25E98E60"/>
    <w:rsid w:val="2629794F"/>
    <w:rsid w:val="26473699"/>
    <w:rsid w:val="26E8C35A"/>
    <w:rsid w:val="26ED229E"/>
    <w:rsid w:val="2762BA30"/>
    <w:rsid w:val="2783002D"/>
    <w:rsid w:val="27E49B5D"/>
    <w:rsid w:val="2872BF8F"/>
    <w:rsid w:val="287392B7"/>
    <w:rsid w:val="28FC7E16"/>
    <w:rsid w:val="29101AB8"/>
    <w:rsid w:val="2916BBED"/>
    <w:rsid w:val="294E62E7"/>
    <w:rsid w:val="297C6813"/>
    <w:rsid w:val="29CB74F7"/>
    <w:rsid w:val="29ED0BEB"/>
    <w:rsid w:val="2A18FDC4"/>
    <w:rsid w:val="2A6CB4DE"/>
    <w:rsid w:val="2A701F8D"/>
    <w:rsid w:val="2AB3C82B"/>
    <w:rsid w:val="2AEA84FF"/>
    <w:rsid w:val="2B7B7BC0"/>
    <w:rsid w:val="2BFF0397"/>
    <w:rsid w:val="2C01F3D8"/>
    <w:rsid w:val="2C022969"/>
    <w:rsid w:val="2C8FD744"/>
    <w:rsid w:val="2C9A3B6D"/>
    <w:rsid w:val="2D0A6BBF"/>
    <w:rsid w:val="2D0FA857"/>
    <w:rsid w:val="2D2DD44E"/>
    <w:rsid w:val="2D30FF34"/>
    <w:rsid w:val="2D772ED8"/>
    <w:rsid w:val="2D8536B0"/>
    <w:rsid w:val="2DDF27FB"/>
    <w:rsid w:val="2E63D9AD"/>
    <w:rsid w:val="2E8DF35D"/>
    <w:rsid w:val="2F3266EB"/>
    <w:rsid w:val="2FC367A6"/>
    <w:rsid w:val="2FF23335"/>
    <w:rsid w:val="304D5478"/>
    <w:rsid w:val="304EEA57"/>
    <w:rsid w:val="30A4CE86"/>
    <w:rsid w:val="312144A1"/>
    <w:rsid w:val="31285D37"/>
    <w:rsid w:val="3132A6B9"/>
    <w:rsid w:val="31FAD343"/>
    <w:rsid w:val="3266A76C"/>
    <w:rsid w:val="326F51DF"/>
    <w:rsid w:val="329CEC98"/>
    <w:rsid w:val="32ED7240"/>
    <w:rsid w:val="333FD756"/>
    <w:rsid w:val="33D15D27"/>
    <w:rsid w:val="3509D578"/>
    <w:rsid w:val="35549E38"/>
    <w:rsid w:val="358FB91C"/>
    <w:rsid w:val="35A58464"/>
    <w:rsid w:val="35FF7554"/>
    <w:rsid w:val="363FC2E3"/>
    <w:rsid w:val="36A0613F"/>
    <w:rsid w:val="36F01A41"/>
    <w:rsid w:val="3741711E"/>
    <w:rsid w:val="374D5E01"/>
    <w:rsid w:val="378F7A8F"/>
    <w:rsid w:val="37F956DB"/>
    <w:rsid w:val="380F99E0"/>
    <w:rsid w:val="3850540F"/>
    <w:rsid w:val="387FB50E"/>
    <w:rsid w:val="3882A321"/>
    <w:rsid w:val="38D0CDC7"/>
    <w:rsid w:val="39081AB7"/>
    <w:rsid w:val="396290AE"/>
    <w:rsid w:val="39756580"/>
    <w:rsid w:val="39EDAE7B"/>
    <w:rsid w:val="3A24F2A5"/>
    <w:rsid w:val="3A4D348C"/>
    <w:rsid w:val="3A62CDC6"/>
    <w:rsid w:val="3AD740D1"/>
    <w:rsid w:val="3B016573"/>
    <w:rsid w:val="3B573431"/>
    <w:rsid w:val="3B6663B7"/>
    <w:rsid w:val="3B68C155"/>
    <w:rsid w:val="3B930604"/>
    <w:rsid w:val="3BE52D60"/>
    <w:rsid w:val="3C4FF422"/>
    <w:rsid w:val="3C504403"/>
    <w:rsid w:val="3C58ACDF"/>
    <w:rsid w:val="3C750B26"/>
    <w:rsid w:val="3CBE72B3"/>
    <w:rsid w:val="3CC86E30"/>
    <w:rsid w:val="3D11B283"/>
    <w:rsid w:val="3D46A37F"/>
    <w:rsid w:val="3D66D215"/>
    <w:rsid w:val="3D6E5E72"/>
    <w:rsid w:val="3D7E83AD"/>
    <w:rsid w:val="3DA0337B"/>
    <w:rsid w:val="3DAA94D5"/>
    <w:rsid w:val="3DAB7876"/>
    <w:rsid w:val="3DABCB1B"/>
    <w:rsid w:val="3DD0456B"/>
    <w:rsid w:val="3E2EC8BF"/>
    <w:rsid w:val="3E303045"/>
    <w:rsid w:val="3E3FFC58"/>
    <w:rsid w:val="3EAB77F4"/>
    <w:rsid w:val="3EB2165B"/>
    <w:rsid w:val="3ED21114"/>
    <w:rsid w:val="3ED648AD"/>
    <w:rsid w:val="3EDF80A6"/>
    <w:rsid w:val="3F08DEA1"/>
    <w:rsid w:val="3F1050A1"/>
    <w:rsid w:val="3F1BFE42"/>
    <w:rsid w:val="3F42FC28"/>
    <w:rsid w:val="3F4E038D"/>
    <w:rsid w:val="3FAB83FB"/>
    <w:rsid w:val="40075714"/>
    <w:rsid w:val="40649CE8"/>
    <w:rsid w:val="406C02A5"/>
    <w:rsid w:val="40C2412B"/>
    <w:rsid w:val="413CF5E7"/>
    <w:rsid w:val="414580F6"/>
    <w:rsid w:val="414EF8F7"/>
    <w:rsid w:val="4199E751"/>
    <w:rsid w:val="41D6788F"/>
    <w:rsid w:val="41DB8BB2"/>
    <w:rsid w:val="42505D06"/>
    <w:rsid w:val="429411A4"/>
    <w:rsid w:val="42AD173A"/>
    <w:rsid w:val="42B3DAAE"/>
    <w:rsid w:val="4324FDF6"/>
    <w:rsid w:val="43272051"/>
    <w:rsid w:val="438D411D"/>
    <w:rsid w:val="43C5607F"/>
    <w:rsid w:val="43E6EE0E"/>
    <w:rsid w:val="43FE0B23"/>
    <w:rsid w:val="440ACBC1"/>
    <w:rsid w:val="44162109"/>
    <w:rsid w:val="44B30989"/>
    <w:rsid w:val="44D7A6B9"/>
    <w:rsid w:val="4510FEEF"/>
    <w:rsid w:val="45871230"/>
    <w:rsid w:val="45951F36"/>
    <w:rsid w:val="45C6FB23"/>
    <w:rsid w:val="45E6B8BD"/>
    <w:rsid w:val="466D5F4F"/>
    <w:rsid w:val="4675AC20"/>
    <w:rsid w:val="4724D640"/>
    <w:rsid w:val="481483D4"/>
    <w:rsid w:val="482622C7"/>
    <w:rsid w:val="4879E42A"/>
    <w:rsid w:val="48D10D74"/>
    <w:rsid w:val="48E33313"/>
    <w:rsid w:val="48E6239D"/>
    <w:rsid w:val="49225DBE"/>
    <w:rsid w:val="498BAAF2"/>
    <w:rsid w:val="49AE8E42"/>
    <w:rsid w:val="49C1602F"/>
    <w:rsid w:val="4A3FEB2F"/>
    <w:rsid w:val="4A98F618"/>
    <w:rsid w:val="4AC09D49"/>
    <w:rsid w:val="4B7F6098"/>
    <w:rsid w:val="4BC36BC2"/>
    <w:rsid w:val="4C00BB17"/>
    <w:rsid w:val="4C0A7B15"/>
    <w:rsid w:val="4C39ECE0"/>
    <w:rsid w:val="4C3DB462"/>
    <w:rsid w:val="4C532D51"/>
    <w:rsid w:val="4C74B17D"/>
    <w:rsid w:val="4C7B00BF"/>
    <w:rsid w:val="4C9C8C08"/>
    <w:rsid w:val="4CB49F3A"/>
    <w:rsid w:val="4D1B45ED"/>
    <w:rsid w:val="4D297045"/>
    <w:rsid w:val="4D55B47E"/>
    <w:rsid w:val="4DB5603A"/>
    <w:rsid w:val="4DB63C90"/>
    <w:rsid w:val="4E2069D4"/>
    <w:rsid w:val="4E515563"/>
    <w:rsid w:val="4EE1B52D"/>
    <w:rsid w:val="4F2C50B1"/>
    <w:rsid w:val="4F53F122"/>
    <w:rsid w:val="4F6C1A8A"/>
    <w:rsid w:val="4F824779"/>
    <w:rsid w:val="4FEC4974"/>
    <w:rsid w:val="50321CFF"/>
    <w:rsid w:val="506830A9"/>
    <w:rsid w:val="50851576"/>
    <w:rsid w:val="50AB712F"/>
    <w:rsid w:val="50B9EA70"/>
    <w:rsid w:val="50FD89D8"/>
    <w:rsid w:val="51527A11"/>
    <w:rsid w:val="516DAB13"/>
    <w:rsid w:val="5216A2E7"/>
    <w:rsid w:val="5274C034"/>
    <w:rsid w:val="52C09D73"/>
    <w:rsid w:val="52F6084B"/>
    <w:rsid w:val="53908897"/>
    <w:rsid w:val="53CCCC67"/>
    <w:rsid w:val="53E5C4B9"/>
    <w:rsid w:val="542B924F"/>
    <w:rsid w:val="54428F3A"/>
    <w:rsid w:val="5446BDF4"/>
    <w:rsid w:val="547F8D77"/>
    <w:rsid w:val="548629EE"/>
    <w:rsid w:val="54887FE3"/>
    <w:rsid w:val="54AFFFAB"/>
    <w:rsid w:val="54C490BF"/>
    <w:rsid w:val="5520B9F8"/>
    <w:rsid w:val="552E98EB"/>
    <w:rsid w:val="559D73D1"/>
    <w:rsid w:val="55D891C2"/>
    <w:rsid w:val="56E859AF"/>
    <w:rsid w:val="57601C95"/>
    <w:rsid w:val="578E52FC"/>
    <w:rsid w:val="5790BA6B"/>
    <w:rsid w:val="579E1D1C"/>
    <w:rsid w:val="57B90FC3"/>
    <w:rsid w:val="57E98378"/>
    <w:rsid w:val="57EE8DFD"/>
    <w:rsid w:val="583727C1"/>
    <w:rsid w:val="589B5D61"/>
    <w:rsid w:val="58EE108F"/>
    <w:rsid w:val="58F8D462"/>
    <w:rsid w:val="58F9A584"/>
    <w:rsid w:val="590BA98A"/>
    <w:rsid w:val="59217EED"/>
    <w:rsid w:val="5928CA26"/>
    <w:rsid w:val="593F8AA1"/>
    <w:rsid w:val="594CF0E3"/>
    <w:rsid w:val="596B3ED1"/>
    <w:rsid w:val="598642F6"/>
    <w:rsid w:val="5A5615C3"/>
    <w:rsid w:val="5A79C402"/>
    <w:rsid w:val="5A7A0D7C"/>
    <w:rsid w:val="5A9EE0A5"/>
    <w:rsid w:val="5AC120B9"/>
    <w:rsid w:val="5AF8D096"/>
    <w:rsid w:val="5AFEB2A9"/>
    <w:rsid w:val="5B27E036"/>
    <w:rsid w:val="5B42BE0C"/>
    <w:rsid w:val="5B6BB86F"/>
    <w:rsid w:val="5BA94005"/>
    <w:rsid w:val="5BF9926A"/>
    <w:rsid w:val="5CCBF218"/>
    <w:rsid w:val="5CD41AD2"/>
    <w:rsid w:val="5D4AA3A5"/>
    <w:rsid w:val="5DE9ECA7"/>
    <w:rsid w:val="5E75D235"/>
    <w:rsid w:val="5E84433F"/>
    <w:rsid w:val="5F4698DA"/>
    <w:rsid w:val="5FB9F2ED"/>
    <w:rsid w:val="5FD42CE0"/>
    <w:rsid w:val="5FEA5F6E"/>
    <w:rsid w:val="60125092"/>
    <w:rsid w:val="6063AF6E"/>
    <w:rsid w:val="6088E92F"/>
    <w:rsid w:val="60A4AFF5"/>
    <w:rsid w:val="60A7CF70"/>
    <w:rsid w:val="6124B8CF"/>
    <w:rsid w:val="62098556"/>
    <w:rsid w:val="623CA8AE"/>
    <w:rsid w:val="624017C5"/>
    <w:rsid w:val="624CDEBD"/>
    <w:rsid w:val="62562734"/>
    <w:rsid w:val="6278CFD0"/>
    <w:rsid w:val="627E7DA3"/>
    <w:rsid w:val="629BC3DC"/>
    <w:rsid w:val="62BC55E2"/>
    <w:rsid w:val="62D76500"/>
    <w:rsid w:val="6329E28D"/>
    <w:rsid w:val="634B1725"/>
    <w:rsid w:val="6396FA8D"/>
    <w:rsid w:val="63AB7AD0"/>
    <w:rsid w:val="641B40BE"/>
    <w:rsid w:val="6452EF65"/>
    <w:rsid w:val="64B4C9A2"/>
    <w:rsid w:val="64CCC5A9"/>
    <w:rsid w:val="65AE7085"/>
    <w:rsid w:val="65B58AEB"/>
    <w:rsid w:val="65F529C7"/>
    <w:rsid w:val="6608C394"/>
    <w:rsid w:val="660AF62A"/>
    <w:rsid w:val="6633F3F2"/>
    <w:rsid w:val="66D230E1"/>
    <w:rsid w:val="670B83BD"/>
    <w:rsid w:val="672EEF11"/>
    <w:rsid w:val="67F18DFE"/>
    <w:rsid w:val="68106271"/>
    <w:rsid w:val="68196BDA"/>
    <w:rsid w:val="68332734"/>
    <w:rsid w:val="68359223"/>
    <w:rsid w:val="6877A1BA"/>
    <w:rsid w:val="6897AB25"/>
    <w:rsid w:val="68BA9981"/>
    <w:rsid w:val="68CC081E"/>
    <w:rsid w:val="68E98856"/>
    <w:rsid w:val="69009650"/>
    <w:rsid w:val="6937508C"/>
    <w:rsid w:val="696366BB"/>
    <w:rsid w:val="69794BD3"/>
    <w:rsid w:val="6993F12C"/>
    <w:rsid w:val="69B4F6F8"/>
    <w:rsid w:val="6A866DF4"/>
    <w:rsid w:val="6AD68BB4"/>
    <w:rsid w:val="6B239D09"/>
    <w:rsid w:val="6B543065"/>
    <w:rsid w:val="6B56F900"/>
    <w:rsid w:val="6B65178C"/>
    <w:rsid w:val="6C47F4EF"/>
    <w:rsid w:val="6C808A86"/>
    <w:rsid w:val="6D32BF90"/>
    <w:rsid w:val="6D5041BE"/>
    <w:rsid w:val="6D8AAB82"/>
    <w:rsid w:val="6DE0C0C6"/>
    <w:rsid w:val="6E4BEA6C"/>
    <w:rsid w:val="6E754ACA"/>
    <w:rsid w:val="6E76EA78"/>
    <w:rsid w:val="6E84BA89"/>
    <w:rsid w:val="6E85A894"/>
    <w:rsid w:val="6E938A3E"/>
    <w:rsid w:val="6ECA3F1C"/>
    <w:rsid w:val="6FC54404"/>
    <w:rsid w:val="6FDD106D"/>
    <w:rsid w:val="705F3B77"/>
    <w:rsid w:val="707B4E5C"/>
    <w:rsid w:val="70853083"/>
    <w:rsid w:val="70940A3A"/>
    <w:rsid w:val="7098C179"/>
    <w:rsid w:val="70A3083F"/>
    <w:rsid w:val="70FAF5D6"/>
    <w:rsid w:val="714B2B80"/>
    <w:rsid w:val="71D1072D"/>
    <w:rsid w:val="7252144E"/>
    <w:rsid w:val="72539FDB"/>
    <w:rsid w:val="726B1166"/>
    <w:rsid w:val="728C0EB0"/>
    <w:rsid w:val="72D26037"/>
    <w:rsid w:val="72FF6F0C"/>
    <w:rsid w:val="731F610F"/>
    <w:rsid w:val="736F0F55"/>
    <w:rsid w:val="737E7BF3"/>
    <w:rsid w:val="738864BB"/>
    <w:rsid w:val="73FB9A7F"/>
    <w:rsid w:val="7404341A"/>
    <w:rsid w:val="741A88FA"/>
    <w:rsid w:val="745BB094"/>
    <w:rsid w:val="7499A301"/>
    <w:rsid w:val="74E277B2"/>
    <w:rsid w:val="74F4DDCE"/>
    <w:rsid w:val="7548C234"/>
    <w:rsid w:val="758088D4"/>
    <w:rsid w:val="7586BF78"/>
    <w:rsid w:val="758D331D"/>
    <w:rsid w:val="75BEB36D"/>
    <w:rsid w:val="7657E62C"/>
    <w:rsid w:val="766FF58A"/>
    <w:rsid w:val="768997C0"/>
    <w:rsid w:val="77013DC4"/>
    <w:rsid w:val="77136369"/>
    <w:rsid w:val="778121AD"/>
    <w:rsid w:val="77C65B95"/>
    <w:rsid w:val="77C765D5"/>
    <w:rsid w:val="77CABD5C"/>
    <w:rsid w:val="77F95A6D"/>
    <w:rsid w:val="788414BE"/>
    <w:rsid w:val="78D99C5D"/>
    <w:rsid w:val="78EBF66D"/>
    <w:rsid w:val="7915DCF0"/>
    <w:rsid w:val="79437D5C"/>
    <w:rsid w:val="7991CF80"/>
    <w:rsid w:val="79ADC822"/>
    <w:rsid w:val="79CA0EDB"/>
    <w:rsid w:val="79F04219"/>
    <w:rsid w:val="7A824721"/>
    <w:rsid w:val="7AB4C9A4"/>
    <w:rsid w:val="7AC5DF91"/>
    <w:rsid w:val="7ACB8573"/>
    <w:rsid w:val="7ADE5D09"/>
    <w:rsid w:val="7B1C3308"/>
    <w:rsid w:val="7BE7AA5A"/>
    <w:rsid w:val="7BE9BC1C"/>
    <w:rsid w:val="7CA1A91D"/>
    <w:rsid w:val="7CF3F2BA"/>
    <w:rsid w:val="7D00C2EC"/>
    <w:rsid w:val="7D14BEA1"/>
    <w:rsid w:val="7D6E0B2A"/>
    <w:rsid w:val="7D907396"/>
    <w:rsid w:val="7D975D3D"/>
    <w:rsid w:val="7DE29D3A"/>
    <w:rsid w:val="7E19D049"/>
    <w:rsid w:val="7E4A9B71"/>
    <w:rsid w:val="7E919F66"/>
    <w:rsid w:val="7E9A5BBE"/>
    <w:rsid w:val="7EDE716C"/>
    <w:rsid w:val="7F3BE90E"/>
    <w:rsid w:val="7F580EF4"/>
    <w:rsid w:val="7F5EA7D9"/>
    <w:rsid w:val="7FBE3364"/>
    <w:rsid w:val="7FE3CC9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D6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890"/>
    <w:pPr>
      <w:spacing w:before="120" w:after="240" w:line="288" w:lineRule="auto"/>
    </w:pPr>
    <w:rPr>
      <w:sz w:val="24"/>
    </w:rPr>
  </w:style>
  <w:style w:type="paragraph" w:styleId="Heading1">
    <w:name w:val="heading 1"/>
    <w:basedOn w:val="Normal"/>
    <w:next w:val="Normal"/>
    <w:link w:val="Heading1Char"/>
    <w:uiPriority w:val="4"/>
    <w:qFormat/>
    <w:rsid w:val="00651A06"/>
    <w:pPr>
      <w:keepNext/>
      <w:keepLines/>
      <w:spacing w:before="480" w:after="120"/>
      <w:outlineLvl w:val="0"/>
    </w:pPr>
    <w:rPr>
      <w:rFonts w:asciiTheme="majorHAnsi" w:eastAsiaTheme="majorEastAsia" w:hAnsiTheme="majorHAnsi" w:cstheme="majorBidi"/>
      <w:b/>
      <w:color w:val="15284C" w:themeColor="text2"/>
      <w:sz w:val="52"/>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A1728D"/>
    <w:pPr>
      <w:keepNext/>
      <w:keepLines/>
      <w:spacing w:before="360" w:after="120"/>
      <w:outlineLvl w:val="2"/>
    </w:pPr>
    <w:rPr>
      <w:rFonts w:asciiTheme="majorHAnsi" w:eastAsiaTheme="majorEastAsia" w:hAnsiTheme="majorHAnsi" w:cstheme="majorBidi"/>
      <w:color w:val="000000" w:themeColor="text1"/>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6F532C"/>
    <w:pPr>
      <w:spacing w:before="0" w:after="0" w:line="240" w:lineRule="auto"/>
      <w:contextualSpacing/>
    </w:pPr>
    <w:rPr>
      <w:rFonts w:asciiTheme="majorHAnsi" w:eastAsiaTheme="majorEastAsia" w:hAnsiTheme="majorHAnsi" w:cstheme="majorBidi"/>
      <w:b/>
      <w:color w:val="F6F4EC" w:themeColor="background2"/>
      <w:spacing w:val="-10"/>
      <w:kern w:val="28"/>
      <w:sz w:val="96"/>
      <w:szCs w:val="56"/>
    </w:rPr>
  </w:style>
  <w:style w:type="character" w:customStyle="1" w:styleId="TitleChar">
    <w:name w:val="Title Char"/>
    <w:basedOn w:val="DefaultParagraphFont"/>
    <w:link w:val="Title"/>
    <w:uiPriority w:val="99"/>
    <w:rsid w:val="006F532C"/>
    <w:rPr>
      <w:rFonts w:asciiTheme="majorHAnsi" w:eastAsiaTheme="majorEastAsia" w:hAnsiTheme="majorHAnsi" w:cstheme="majorBidi"/>
      <w:b/>
      <w:color w:val="F6F4EC" w:themeColor="background2"/>
      <w:spacing w:val="-10"/>
      <w:kern w:val="28"/>
      <w:sz w:val="96"/>
      <w:szCs w:val="56"/>
    </w:rPr>
  </w:style>
  <w:style w:type="paragraph" w:styleId="Subtitle">
    <w:name w:val="Subtitle"/>
    <w:basedOn w:val="Normal"/>
    <w:next w:val="Normal"/>
    <w:link w:val="SubtitleChar"/>
    <w:uiPriority w:val="99"/>
    <w:qFormat/>
    <w:rsid w:val="006F532C"/>
    <w:pPr>
      <w:numPr>
        <w:ilvl w:val="1"/>
      </w:numPr>
      <w:spacing w:before="160"/>
    </w:pPr>
    <w:rPr>
      <w:rFonts w:eastAsiaTheme="minorEastAsia"/>
      <w:b/>
      <w:color w:val="F6F4EC" w:themeColor="background2"/>
      <w:sz w:val="52"/>
    </w:rPr>
  </w:style>
  <w:style w:type="character" w:customStyle="1" w:styleId="SubtitleChar">
    <w:name w:val="Subtitle Char"/>
    <w:basedOn w:val="DefaultParagraphFont"/>
    <w:link w:val="Subtitle"/>
    <w:uiPriority w:val="99"/>
    <w:rsid w:val="006F532C"/>
    <w:rPr>
      <w:rFonts w:eastAsiaTheme="minorEastAsia"/>
      <w:b/>
      <w:color w:val="F6F4EC" w:themeColor="background2"/>
      <w:sz w:val="52"/>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715993"/>
    <w:rPr>
      <w:rFonts w:asciiTheme="majorHAnsi" w:eastAsiaTheme="majorEastAsia" w:hAnsiTheme="majorHAnsi" w:cstheme="majorBidi"/>
      <w:b/>
      <w:color w:val="15284C" w:themeColor="text2"/>
      <w:sz w:val="52"/>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715993"/>
    <w:rPr>
      <w:rFonts w:asciiTheme="majorHAnsi" w:eastAsiaTheme="majorEastAsia" w:hAnsiTheme="majorHAnsi" w:cstheme="majorBidi"/>
      <w:color w:val="000000" w:themeColor="text1"/>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5674E8"/>
    <w:pPr>
      <w:tabs>
        <w:tab w:val="right" w:leader="dot" w:pos="9628"/>
      </w:tabs>
      <w:spacing w:before="0" w:after="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C05445"/>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next w:val="Normal"/>
    <w:qFormat/>
    <w:rsid w:val="00201348"/>
    <w:pPr>
      <w:spacing w:before="60" w:after="0" w:line="240" w:lineRule="auto"/>
      <w:ind w:left="1134" w:right="1134"/>
    </w:pPr>
    <w:rPr>
      <w:rFonts w:ascii="Arial" w:eastAsia="Calibri" w:hAnsi="Arial"/>
      <w:b/>
      <w:color w:val="15284C" w:themeColor="text2"/>
      <w:sz w:val="110"/>
      <w:szCs w:val="24"/>
      <w14:ligatures w14:val="standardContextual"/>
    </w:r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aliases w:val="Bullets,Level 3,List Paragraph1,List Paragraph numbered,List Bullet indent,Body,Recommendation,List Paragraph11,TOC style,lp1,Bullet OSM,Proposal Bullet List,Rec para,Bullet Normal,Colorful List - Accent 11,Bullet Heading,列出段落,Bullet list"/>
    <w:basedOn w:val="Normal"/>
    <w:link w:val="ListParagraphChar"/>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8"/>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styleId="CommentReference">
    <w:name w:val="annotation reference"/>
    <w:basedOn w:val="DefaultParagraphFont"/>
    <w:uiPriority w:val="99"/>
    <w:semiHidden/>
    <w:unhideWhenUsed/>
    <w:rsid w:val="005C4E6B"/>
    <w:rPr>
      <w:sz w:val="16"/>
      <w:szCs w:val="16"/>
    </w:rPr>
  </w:style>
  <w:style w:type="paragraph" w:styleId="CommentText">
    <w:name w:val="annotation text"/>
    <w:basedOn w:val="Normal"/>
    <w:link w:val="CommentTextChar"/>
    <w:uiPriority w:val="99"/>
    <w:unhideWhenUsed/>
    <w:rsid w:val="005C4E6B"/>
    <w:pPr>
      <w:spacing w:before="0" w:after="160" w:line="240" w:lineRule="auto"/>
    </w:pPr>
    <w:rPr>
      <w:rFonts w:ascii="Arial" w:eastAsia="Roboto" w:hAnsi="Arial" w:cs="Arial"/>
      <w:sz w:val="20"/>
      <w:szCs w:val="20"/>
      <w:lang w:val="en-US"/>
    </w:rPr>
  </w:style>
  <w:style w:type="character" w:customStyle="1" w:styleId="CommentTextChar">
    <w:name w:val="Comment Text Char"/>
    <w:basedOn w:val="DefaultParagraphFont"/>
    <w:link w:val="CommentText"/>
    <w:uiPriority w:val="99"/>
    <w:rsid w:val="005C4E6B"/>
    <w:rPr>
      <w:rFonts w:ascii="Arial" w:eastAsia="Roboto" w:hAnsi="Arial" w:cs="Arial"/>
      <w:sz w:val="20"/>
      <w:szCs w:val="20"/>
      <w:lang w:val="en-US"/>
    </w:rPr>
  </w:style>
  <w:style w:type="paragraph" w:customStyle="1" w:styleId="Bulletpoints2">
    <w:name w:val="Bullet points 2"/>
    <w:basedOn w:val="Normal"/>
    <w:link w:val="Bulletpoints2Char"/>
    <w:qFormat/>
    <w:rsid w:val="00C175FC"/>
    <w:pPr>
      <w:numPr>
        <w:numId w:val="9"/>
      </w:numPr>
      <w:spacing w:before="0" w:after="160" w:line="259" w:lineRule="auto"/>
    </w:pPr>
    <w:rPr>
      <w:rFonts w:ascii="Arial" w:eastAsia="Roboto" w:hAnsi="Arial" w:cs="Arial"/>
      <w:shd w:val="clear" w:color="auto" w:fill="FFFFFF"/>
      <w:lang w:val="en-US"/>
    </w:rPr>
  </w:style>
  <w:style w:type="character" w:customStyle="1" w:styleId="Bulletpoints2Char">
    <w:name w:val="Bullet points 2 Char"/>
    <w:basedOn w:val="DefaultParagraphFont"/>
    <w:link w:val="Bulletpoints2"/>
    <w:rsid w:val="00C175FC"/>
    <w:rPr>
      <w:rFonts w:ascii="Arial" w:eastAsia="Roboto" w:hAnsi="Arial" w:cs="Arial"/>
      <w:sz w:val="24"/>
      <w:lang w:val="en-US"/>
    </w:rPr>
  </w:style>
  <w:style w:type="paragraph" w:styleId="EndnoteText">
    <w:name w:val="endnote text"/>
    <w:basedOn w:val="Normal"/>
    <w:link w:val="EndnoteTextChar"/>
    <w:uiPriority w:val="99"/>
    <w:semiHidden/>
    <w:unhideWhenUsed/>
    <w:rsid w:val="007572B5"/>
    <w:pPr>
      <w:spacing w:before="0" w:after="0" w:line="240" w:lineRule="auto"/>
    </w:pPr>
    <w:rPr>
      <w:rFonts w:ascii="Arial" w:eastAsia="Roboto" w:hAnsi="Arial" w:cs="Arial"/>
      <w:sz w:val="20"/>
      <w:szCs w:val="20"/>
      <w:lang w:val="en-US"/>
    </w:rPr>
  </w:style>
  <w:style w:type="character" w:customStyle="1" w:styleId="EndnoteTextChar">
    <w:name w:val="Endnote Text Char"/>
    <w:basedOn w:val="DefaultParagraphFont"/>
    <w:link w:val="EndnoteText"/>
    <w:uiPriority w:val="99"/>
    <w:semiHidden/>
    <w:rsid w:val="007572B5"/>
    <w:rPr>
      <w:rFonts w:ascii="Arial" w:eastAsia="Roboto" w:hAnsi="Arial" w:cs="Arial"/>
      <w:sz w:val="20"/>
      <w:szCs w:val="20"/>
      <w:lang w:val="en-US"/>
    </w:rPr>
  </w:style>
  <w:style w:type="character" w:styleId="EndnoteReference">
    <w:name w:val="endnote reference"/>
    <w:basedOn w:val="DefaultParagraphFont"/>
    <w:uiPriority w:val="99"/>
    <w:semiHidden/>
    <w:unhideWhenUsed/>
    <w:rsid w:val="007572B5"/>
    <w:rPr>
      <w:vertAlign w:val="superscript"/>
    </w:rPr>
  </w:style>
  <w:style w:type="paragraph" w:styleId="CommentSubject">
    <w:name w:val="annotation subject"/>
    <w:basedOn w:val="CommentText"/>
    <w:next w:val="CommentText"/>
    <w:link w:val="CommentSubjectChar"/>
    <w:uiPriority w:val="99"/>
    <w:semiHidden/>
    <w:unhideWhenUsed/>
    <w:rsid w:val="001275DF"/>
    <w:pPr>
      <w:spacing w:before="120" w:after="240"/>
    </w:pPr>
    <w:rPr>
      <w:rFonts w:asciiTheme="minorHAnsi" w:eastAsiaTheme="minorHAnsi" w:hAnsiTheme="minorHAnsi" w:cstheme="minorBidi"/>
      <w:b/>
      <w:bCs/>
      <w:lang w:val="en-NZ"/>
    </w:rPr>
  </w:style>
  <w:style w:type="character" w:customStyle="1" w:styleId="CommentSubjectChar">
    <w:name w:val="Comment Subject Char"/>
    <w:basedOn w:val="CommentTextChar"/>
    <w:link w:val="CommentSubject"/>
    <w:uiPriority w:val="99"/>
    <w:semiHidden/>
    <w:rsid w:val="001275DF"/>
    <w:rPr>
      <w:rFonts w:ascii="Arial" w:eastAsia="Roboto" w:hAnsi="Arial" w:cs="Arial"/>
      <w:b/>
      <w:bCs/>
      <w:sz w:val="20"/>
      <w:szCs w:val="20"/>
      <w:lang w:val="en-US"/>
    </w:rPr>
  </w:style>
  <w:style w:type="paragraph" w:styleId="Caption">
    <w:name w:val="caption"/>
    <w:basedOn w:val="Normal"/>
    <w:next w:val="Normal"/>
    <w:uiPriority w:val="35"/>
    <w:unhideWhenUsed/>
    <w:qFormat/>
    <w:rsid w:val="000826D9"/>
    <w:pPr>
      <w:spacing w:before="0" w:after="200" w:line="240" w:lineRule="auto"/>
    </w:pPr>
    <w:rPr>
      <w:rFonts w:ascii="Arial" w:hAnsi="Arial" w:cs="Arial"/>
      <w:i/>
      <w:iCs/>
      <w:color w:val="15284C" w:themeColor="text2"/>
      <w:sz w:val="18"/>
      <w:szCs w:val="18"/>
      <w:lang w:val="en-US"/>
      <w14:ligatures w14:val="standardContextual"/>
    </w:rPr>
  </w:style>
  <w:style w:type="character" w:customStyle="1" w:styleId="ListParagraphChar">
    <w:name w:val="List Paragraph Char"/>
    <w:aliases w:val="Bullets Char,Level 3 Char,List Paragraph1 Char,List Paragraph numbered Char,List Bullet indent Char,Body Char,Recommendation Char,List Paragraph11 Char,TOC style Char,lp1 Char,Bullet OSM Char,Proposal Bullet List Char,Rec para Char"/>
    <w:basedOn w:val="DefaultParagraphFont"/>
    <w:link w:val="ListParagraph"/>
    <w:uiPriority w:val="34"/>
    <w:qFormat/>
    <w:rsid w:val="00003E00"/>
    <w:rPr>
      <w:sz w:val="24"/>
    </w:rPr>
  </w:style>
  <w:style w:type="paragraph" w:styleId="Revision">
    <w:name w:val="Revision"/>
    <w:hidden/>
    <w:uiPriority w:val="99"/>
    <w:semiHidden/>
    <w:rsid w:val="00DB3D7B"/>
    <w:pPr>
      <w:spacing w:after="0" w:line="240" w:lineRule="auto"/>
    </w:pPr>
    <w:rPr>
      <w:sz w:val="24"/>
    </w:rPr>
  </w:style>
  <w:style w:type="character" w:styleId="UnresolvedMention">
    <w:name w:val="Unresolved Mention"/>
    <w:basedOn w:val="DefaultParagraphFont"/>
    <w:uiPriority w:val="99"/>
    <w:semiHidden/>
    <w:unhideWhenUsed/>
    <w:rsid w:val="006C1711"/>
    <w:rPr>
      <w:color w:val="605E5C"/>
      <w:shd w:val="clear" w:color="auto" w:fill="E1DFDD"/>
    </w:rPr>
  </w:style>
  <w:style w:type="character" w:styleId="Mention">
    <w:name w:val="Mention"/>
    <w:basedOn w:val="DefaultParagraphFont"/>
    <w:uiPriority w:val="99"/>
    <w:unhideWhenUsed/>
    <w:rsid w:val="00E70003"/>
    <w:rPr>
      <w:color w:val="2B579A"/>
      <w:shd w:val="clear" w:color="auto" w:fill="E1DFDD"/>
    </w:rPr>
  </w:style>
  <w:style w:type="character" w:customStyle="1" w:styleId="eop">
    <w:name w:val="eop"/>
    <w:basedOn w:val="DefaultParagraphFont"/>
    <w:rsid w:val="005C781A"/>
  </w:style>
  <w:style w:type="paragraph" w:styleId="NormalWeb">
    <w:name w:val="Normal (Web)"/>
    <w:basedOn w:val="Normal"/>
    <w:uiPriority w:val="99"/>
    <w:semiHidden/>
    <w:unhideWhenUsed/>
    <w:rsid w:val="009A77B4"/>
    <w:pPr>
      <w:spacing w:before="100" w:beforeAutospacing="1" w:after="100" w:afterAutospacing="1" w:line="240" w:lineRule="auto"/>
    </w:pPr>
    <w:rPr>
      <w:rFonts w:ascii="Times New Roman" w:eastAsia="Times New Roman" w:hAnsi="Times New Roman" w:cs="Times New Roman"/>
      <w:szCs w:val="24"/>
      <w:lang w:eastAsia="en-NZ"/>
    </w:rPr>
  </w:style>
  <w:style w:type="paragraph" w:styleId="TableofFigures">
    <w:name w:val="table of figures"/>
    <w:basedOn w:val="Normal"/>
    <w:next w:val="Normal"/>
    <w:uiPriority w:val="99"/>
    <w:unhideWhenUsed/>
    <w:rsid w:val="009C5639"/>
    <w:pPr>
      <w:spacing w:after="0"/>
    </w:pPr>
  </w:style>
  <w:style w:type="character" w:styleId="FollowedHyperlink">
    <w:name w:val="FollowedHyperlink"/>
    <w:basedOn w:val="DefaultParagraphFont"/>
    <w:uiPriority w:val="99"/>
    <w:semiHidden/>
    <w:unhideWhenUsed/>
    <w:rsid w:val="00026710"/>
    <w:rPr>
      <w:color w:val="0072BC" w:themeColor="followedHyperlink"/>
      <w:u w:val="single"/>
    </w:rPr>
  </w:style>
  <w:style w:type="paragraph" w:customStyle="1" w:styleId="xmsonormal">
    <w:name w:val="x_msonormal"/>
    <w:basedOn w:val="Normal"/>
    <w:rsid w:val="0042382F"/>
    <w:pPr>
      <w:spacing w:before="0" w:after="0" w:line="240" w:lineRule="auto"/>
    </w:pPr>
    <w:rPr>
      <w:rFonts w:ascii="Aptos" w:hAnsi="Aptos" w:cs="Aptos"/>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1067">
      <w:marLeft w:val="0"/>
      <w:marRight w:val="0"/>
      <w:marTop w:val="0"/>
      <w:marBottom w:val="0"/>
      <w:divBdr>
        <w:top w:val="none" w:sz="0" w:space="0" w:color="auto"/>
        <w:left w:val="none" w:sz="0" w:space="0" w:color="auto"/>
        <w:bottom w:val="none" w:sz="0" w:space="0" w:color="auto"/>
        <w:right w:val="none" w:sz="0" w:space="0" w:color="auto"/>
      </w:divBdr>
      <w:divsChild>
        <w:div w:id="198475455">
          <w:marLeft w:val="0"/>
          <w:marRight w:val="0"/>
          <w:marTop w:val="0"/>
          <w:marBottom w:val="0"/>
          <w:divBdr>
            <w:top w:val="none" w:sz="0" w:space="0" w:color="auto"/>
            <w:left w:val="none" w:sz="0" w:space="0" w:color="auto"/>
            <w:bottom w:val="none" w:sz="0" w:space="0" w:color="auto"/>
            <w:right w:val="none" w:sz="0" w:space="0" w:color="auto"/>
          </w:divBdr>
        </w:div>
      </w:divsChild>
    </w:div>
    <w:div w:id="29957748">
      <w:marLeft w:val="0"/>
      <w:marRight w:val="0"/>
      <w:marTop w:val="0"/>
      <w:marBottom w:val="0"/>
      <w:divBdr>
        <w:top w:val="none" w:sz="0" w:space="0" w:color="auto"/>
        <w:left w:val="none" w:sz="0" w:space="0" w:color="auto"/>
        <w:bottom w:val="none" w:sz="0" w:space="0" w:color="auto"/>
        <w:right w:val="none" w:sz="0" w:space="0" w:color="auto"/>
      </w:divBdr>
      <w:divsChild>
        <w:div w:id="652220014">
          <w:marLeft w:val="0"/>
          <w:marRight w:val="0"/>
          <w:marTop w:val="0"/>
          <w:marBottom w:val="0"/>
          <w:divBdr>
            <w:top w:val="none" w:sz="0" w:space="0" w:color="auto"/>
            <w:left w:val="none" w:sz="0" w:space="0" w:color="auto"/>
            <w:bottom w:val="none" w:sz="0" w:space="0" w:color="auto"/>
            <w:right w:val="none" w:sz="0" w:space="0" w:color="auto"/>
          </w:divBdr>
        </w:div>
      </w:divsChild>
    </w:div>
    <w:div w:id="30496069">
      <w:marLeft w:val="0"/>
      <w:marRight w:val="0"/>
      <w:marTop w:val="0"/>
      <w:marBottom w:val="0"/>
      <w:divBdr>
        <w:top w:val="none" w:sz="0" w:space="0" w:color="auto"/>
        <w:left w:val="none" w:sz="0" w:space="0" w:color="auto"/>
        <w:bottom w:val="none" w:sz="0" w:space="0" w:color="auto"/>
        <w:right w:val="none" w:sz="0" w:space="0" w:color="auto"/>
      </w:divBdr>
      <w:divsChild>
        <w:div w:id="404841372">
          <w:marLeft w:val="0"/>
          <w:marRight w:val="0"/>
          <w:marTop w:val="0"/>
          <w:marBottom w:val="0"/>
          <w:divBdr>
            <w:top w:val="none" w:sz="0" w:space="0" w:color="auto"/>
            <w:left w:val="none" w:sz="0" w:space="0" w:color="auto"/>
            <w:bottom w:val="none" w:sz="0" w:space="0" w:color="auto"/>
            <w:right w:val="none" w:sz="0" w:space="0" w:color="auto"/>
          </w:divBdr>
        </w:div>
      </w:divsChild>
    </w:div>
    <w:div w:id="52236547">
      <w:marLeft w:val="0"/>
      <w:marRight w:val="0"/>
      <w:marTop w:val="0"/>
      <w:marBottom w:val="0"/>
      <w:divBdr>
        <w:top w:val="none" w:sz="0" w:space="0" w:color="auto"/>
        <w:left w:val="none" w:sz="0" w:space="0" w:color="auto"/>
        <w:bottom w:val="none" w:sz="0" w:space="0" w:color="auto"/>
        <w:right w:val="none" w:sz="0" w:space="0" w:color="auto"/>
      </w:divBdr>
      <w:divsChild>
        <w:div w:id="1964187820">
          <w:marLeft w:val="0"/>
          <w:marRight w:val="0"/>
          <w:marTop w:val="0"/>
          <w:marBottom w:val="0"/>
          <w:divBdr>
            <w:top w:val="none" w:sz="0" w:space="0" w:color="auto"/>
            <w:left w:val="none" w:sz="0" w:space="0" w:color="auto"/>
            <w:bottom w:val="none" w:sz="0" w:space="0" w:color="auto"/>
            <w:right w:val="none" w:sz="0" w:space="0" w:color="auto"/>
          </w:divBdr>
        </w:div>
      </w:divsChild>
    </w:div>
    <w:div w:id="95251083">
      <w:marLeft w:val="0"/>
      <w:marRight w:val="0"/>
      <w:marTop w:val="0"/>
      <w:marBottom w:val="0"/>
      <w:divBdr>
        <w:top w:val="none" w:sz="0" w:space="0" w:color="auto"/>
        <w:left w:val="none" w:sz="0" w:space="0" w:color="auto"/>
        <w:bottom w:val="none" w:sz="0" w:space="0" w:color="auto"/>
        <w:right w:val="none" w:sz="0" w:space="0" w:color="auto"/>
      </w:divBdr>
      <w:divsChild>
        <w:div w:id="238714492">
          <w:marLeft w:val="0"/>
          <w:marRight w:val="0"/>
          <w:marTop w:val="0"/>
          <w:marBottom w:val="0"/>
          <w:divBdr>
            <w:top w:val="none" w:sz="0" w:space="0" w:color="auto"/>
            <w:left w:val="none" w:sz="0" w:space="0" w:color="auto"/>
            <w:bottom w:val="none" w:sz="0" w:space="0" w:color="auto"/>
            <w:right w:val="none" w:sz="0" w:space="0" w:color="auto"/>
          </w:divBdr>
        </w:div>
      </w:divsChild>
    </w:div>
    <w:div w:id="95251217">
      <w:bodyDiv w:val="1"/>
      <w:marLeft w:val="0"/>
      <w:marRight w:val="0"/>
      <w:marTop w:val="0"/>
      <w:marBottom w:val="0"/>
      <w:divBdr>
        <w:top w:val="none" w:sz="0" w:space="0" w:color="auto"/>
        <w:left w:val="none" w:sz="0" w:space="0" w:color="auto"/>
        <w:bottom w:val="none" w:sz="0" w:space="0" w:color="auto"/>
        <w:right w:val="none" w:sz="0" w:space="0" w:color="auto"/>
      </w:divBdr>
      <w:divsChild>
        <w:div w:id="676615377">
          <w:marLeft w:val="0"/>
          <w:marRight w:val="0"/>
          <w:marTop w:val="0"/>
          <w:marBottom w:val="0"/>
          <w:divBdr>
            <w:top w:val="none" w:sz="0" w:space="0" w:color="auto"/>
            <w:left w:val="none" w:sz="0" w:space="0" w:color="auto"/>
            <w:bottom w:val="none" w:sz="0" w:space="0" w:color="auto"/>
            <w:right w:val="none" w:sz="0" w:space="0" w:color="auto"/>
          </w:divBdr>
        </w:div>
        <w:div w:id="2003969560">
          <w:marLeft w:val="0"/>
          <w:marRight w:val="0"/>
          <w:marTop w:val="0"/>
          <w:marBottom w:val="0"/>
          <w:divBdr>
            <w:top w:val="none" w:sz="0" w:space="0" w:color="auto"/>
            <w:left w:val="none" w:sz="0" w:space="0" w:color="auto"/>
            <w:bottom w:val="none" w:sz="0" w:space="0" w:color="auto"/>
            <w:right w:val="none" w:sz="0" w:space="0" w:color="auto"/>
          </w:divBdr>
        </w:div>
      </w:divsChild>
    </w:div>
    <w:div w:id="97722832">
      <w:bodyDiv w:val="1"/>
      <w:marLeft w:val="0"/>
      <w:marRight w:val="0"/>
      <w:marTop w:val="0"/>
      <w:marBottom w:val="0"/>
      <w:divBdr>
        <w:top w:val="none" w:sz="0" w:space="0" w:color="auto"/>
        <w:left w:val="none" w:sz="0" w:space="0" w:color="auto"/>
        <w:bottom w:val="none" w:sz="0" w:space="0" w:color="auto"/>
        <w:right w:val="none" w:sz="0" w:space="0" w:color="auto"/>
      </w:divBdr>
    </w:div>
    <w:div w:id="153305927">
      <w:bodyDiv w:val="1"/>
      <w:marLeft w:val="0"/>
      <w:marRight w:val="0"/>
      <w:marTop w:val="0"/>
      <w:marBottom w:val="0"/>
      <w:divBdr>
        <w:top w:val="none" w:sz="0" w:space="0" w:color="auto"/>
        <w:left w:val="none" w:sz="0" w:space="0" w:color="auto"/>
        <w:bottom w:val="none" w:sz="0" w:space="0" w:color="auto"/>
        <w:right w:val="none" w:sz="0" w:space="0" w:color="auto"/>
      </w:divBdr>
    </w:div>
    <w:div w:id="196243134">
      <w:marLeft w:val="0"/>
      <w:marRight w:val="0"/>
      <w:marTop w:val="0"/>
      <w:marBottom w:val="0"/>
      <w:divBdr>
        <w:top w:val="none" w:sz="0" w:space="0" w:color="auto"/>
        <w:left w:val="none" w:sz="0" w:space="0" w:color="auto"/>
        <w:bottom w:val="none" w:sz="0" w:space="0" w:color="auto"/>
        <w:right w:val="none" w:sz="0" w:space="0" w:color="auto"/>
      </w:divBdr>
      <w:divsChild>
        <w:div w:id="1851023911">
          <w:marLeft w:val="0"/>
          <w:marRight w:val="0"/>
          <w:marTop w:val="0"/>
          <w:marBottom w:val="0"/>
          <w:divBdr>
            <w:top w:val="none" w:sz="0" w:space="0" w:color="auto"/>
            <w:left w:val="none" w:sz="0" w:space="0" w:color="auto"/>
            <w:bottom w:val="none" w:sz="0" w:space="0" w:color="auto"/>
            <w:right w:val="none" w:sz="0" w:space="0" w:color="auto"/>
          </w:divBdr>
        </w:div>
      </w:divsChild>
    </w:div>
    <w:div w:id="239025155">
      <w:bodyDiv w:val="1"/>
      <w:marLeft w:val="0"/>
      <w:marRight w:val="0"/>
      <w:marTop w:val="0"/>
      <w:marBottom w:val="0"/>
      <w:divBdr>
        <w:top w:val="none" w:sz="0" w:space="0" w:color="auto"/>
        <w:left w:val="none" w:sz="0" w:space="0" w:color="auto"/>
        <w:bottom w:val="none" w:sz="0" w:space="0" w:color="auto"/>
        <w:right w:val="none" w:sz="0" w:space="0" w:color="auto"/>
      </w:divBdr>
    </w:div>
    <w:div w:id="247546592">
      <w:marLeft w:val="0"/>
      <w:marRight w:val="0"/>
      <w:marTop w:val="0"/>
      <w:marBottom w:val="0"/>
      <w:divBdr>
        <w:top w:val="none" w:sz="0" w:space="0" w:color="auto"/>
        <w:left w:val="none" w:sz="0" w:space="0" w:color="auto"/>
        <w:bottom w:val="none" w:sz="0" w:space="0" w:color="auto"/>
        <w:right w:val="none" w:sz="0" w:space="0" w:color="auto"/>
      </w:divBdr>
      <w:divsChild>
        <w:div w:id="1812091460">
          <w:marLeft w:val="0"/>
          <w:marRight w:val="0"/>
          <w:marTop w:val="0"/>
          <w:marBottom w:val="0"/>
          <w:divBdr>
            <w:top w:val="none" w:sz="0" w:space="0" w:color="auto"/>
            <w:left w:val="none" w:sz="0" w:space="0" w:color="auto"/>
            <w:bottom w:val="none" w:sz="0" w:space="0" w:color="auto"/>
            <w:right w:val="none" w:sz="0" w:space="0" w:color="auto"/>
          </w:divBdr>
        </w:div>
      </w:divsChild>
    </w:div>
    <w:div w:id="251550689">
      <w:marLeft w:val="0"/>
      <w:marRight w:val="0"/>
      <w:marTop w:val="0"/>
      <w:marBottom w:val="0"/>
      <w:divBdr>
        <w:top w:val="none" w:sz="0" w:space="0" w:color="auto"/>
        <w:left w:val="none" w:sz="0" w:space="0" w:color="auto"/>
        <w:bottom w:val="none" w:sz="0" w:space="0" w:color="auto"/>
        <w:right w:val="none" w:sz="0" w:space="0" w:color="auto"/>
      </w:divBdr>
      <w:divsChild>
        <w:div w:id="56516952">
          <w:marLeft w:val="0"/>
          <w:marRight w:val="0"/>
          <w:marTop w:val="0"/>
          <w:marBottom w:val="0"/>
          <w:divBdr>
            <w:top w:val="none" w:sz="0" w:space="0" w:color="auto"/>
            <w:left w:val="none" w:sz="0" w:space="0" w:color="auto"/>
            <w:bottom w:val="none" w:sz="0" w:space="0" w:color="auto"/>
            <w:right w:val="none" w:sz="0" w:space="0" w:color="auto"/>
          </w:divBdr>
        </w:div>
      </w:divsChild>
    </w:div>
    <w:div w:id="251664437">
      <w:bodyDiv w:val="1"/>
      <w:marLeft w:val="0"/>
      <w:marRight w:val="0"/>
      <w:marTop w:val="0"/>
      <w:marBottom w:val="0"/>
      <w:divBdr>
        <w:top w:val="none" w:sz="0" w:space="0" w:color="auto"/>
        <w:left w:val="none" w:sz="0" w:space="0" w:color="auto"/>
        <w:bottom w:val="none" w:sz="0" w:space="0" w:color="auto"/>
        <w:right w:val="none" w:sz="0" w:space="0" w:color="auto"/>
      </w:divBdr>
    </w:div>
    <w:div w:id="291978985">
      <w:bodyDiv w:val="1"/>
      <w:marLeft w:val="0"/>
      <w:marRight w:val="0"/>
      <w:marTop w:val="0"/>
      <w:marBottom w:val="0"/>
      <w:divBdr>
        <w:top w:val="none" w:sz="0" w:space="0" w:color="auto"/>
        <w:left w:val="none" w:sz="0" w:space="0" w:color="auto"/>
        <w:bottom w:val="none" w:sz="0" w:space="0" w:color="auto"/>
        <w:right w:val="none" w:sz="0" w:space="0" w:color="auto"/>
      </w:divBdr>
    </w:div>
    <w:div w:id="322316829">
      <w:bodyDiv w:val="1"/>
      <w:marLeft w:val="0"/>
      <w:marRight w:val="0"/>
      <w:marTop w:val="0"/>
      <w:marBottom w:val="0"/>
      <w:divBdr>
        <w:top w:val="none" w:sz="0" w:space="0" w:color="auto"/>
        <w:left w:val="none" w:sz="0" w:space="0" w:color="auto"/>
        <w:bottom w:val="none" w:sz="0" w:space="0" w:color="auto"/>
        <w:right w:val="none" w:sz="0" w:space="0" w:color="auto"/>
      </w:divBdr>
    </w:div>
    <w:div w:id="333798780">
      <w:marLeft w:val="0"/>
      <w:marRight w:val="0"/>
      <w:marTop w:val="0"/>
      <w:marBottom w:val="0"/>
      <w:divBdr>
        <w:top w:val="none" w:sz="0" w:space="0" w:color="auto"/>
        <w:left w:val="none" w:sz="0" w:space="0" w:color="auto"/>
        <w:bottom w:val="none" w:sz="0" w:space="0" w:color="auto"/>
        <w:right w:val="none" w:sz="0" w:space="0" w:color="auto"/>
      </w:divBdr>
      <w:divsChild>
        <w:div w:id="288631658">
          <w:marLeft w:val="0"/>
          <w:marRight w:val="0"/>
          <w:marTop w:val="0"/>
          <w:marBottom w:val="0"/>
          <w:divBdr>
            <w:top w:val="none" w:sz="0" w:space="0" w:color="auto"/>
            <w:left w:val="none" w:sz="0" w:space="0" w:color="auto"/>
            <w:bottom w:val="none" w:sz="0" w:space="0" w:color="auto"/>
            <w:right w:val="none" w:sz="0" w:space="0" w:color="auto"/>
          </w:divBdr>
        </w:div>
      </w:divsChild>
    </w:div>
    <w:div w:id="361321495">
      <w:marLeft w:val="0"/>
      <w:marRight w:val="0"/>
      <w:marTop w:val="0"/>
      <w:marBottom w:val="0"/>
      <w:divBdr>
        <w:top w:val="none" w:sz="0" w:space="0" w:color="auto"/>
        <w:left w:val="none" w:sz="0" w:space="0" w:color="auto"/>
        <w:bottom w:val="none" w:sz="0" w:space="0" w:color="auto"/>
        <w:right w:val="none" w:sz="0" w:space="0" w:color="auto"/>
      </w:divBdr>
      <w:divsChild>
        <w:div w:id="2084184143">
          <w:marLeft w:val="0"/>
          <w:marRight w:val="0"/>
          <w:marTop w:val="0"/>
          <w:marBottom w:val="0"/>
          <w:divBdr>
            <w:top w:val="none" w:sz="0" w:space="0" w:color="auto"/>
            <w:left w:val="none" w:sz="0" w:space="0" w:color="auto"/>
            <w:bottom w:val="none" w:sz="0" w:space="0" w:color="auto"/>
            <w:right w:val="none" w:sz="0" w:space="0" w:color="auto"/>
          </w:divBdr>
        </w:div>
      </w:divsChild>
    </w:div>
    <w:div w:id="376785738">
      <w:bodyDiv w:val="1"/>
      <w:marLeft w:val="0"/>
      <w:marRight w:val="0"/>
      <w:marTop w:val="0"/>
      <w:marBottom w:val="0"/>
      <w:divBdr>
        <w:top w:val="none" w:sz="0" w:space="0" w:color="auto"/>
        <w:left w:val="none" w:sz="0" w:space="0" w:color="auto"/>
        <w:bottom w:val="none" w:sz="0" w:space="0" w:color="auto"/>
        <w:right w:val="none" w:sz="0" w:space="0" w:color="auto"/>
      </w:divBdr>
    </w:div>
    <w:div w:id="378626593">
      <w:bodyDiv w:val="1"/>
      <w:marLeft w:val="0"/>
      <w:marRight w:val="0"/>
      <w:marTop w:val="0"/>
      <w:marBottom w:val="0"/>
      <w:divBdr>
        <w:top w:val="none" w:sz="0" w:space="0" w:color="auto"/>
        <w:left w:val="none" w:sz="0" w:space="0" w:color="auto"/>
        <w:bottom w:val="none" w:sz="0" w:space="0" w:color="auto"/>
        <w:right w:val="none" w:sz="0" w:space="0" w:color="auto"/>
      </w:divBdr>
    </w:div>
    <w:div w:id="398022797">
      <w:marLeft w:val="0"/>
      <w:marRight w:val="0"/>
      <w:marTop w:val="0"/>
      <w:marBottom w:val="0"/>
      <w:divBdr>
        <w:top w:val="none" w:sz="0" w:space="0" w:color="auto"/>
        <w:left w:val="none" w:sz="0" w:space="0" w:color="auto"/>
        <w:bottom w:val="none" w:sz="0" w:space="0" w:color="auto"/>
        <w:right w:val="none" w:sz="0" w:space="0" w:color="auto"/>
      </w:divBdr>
      <w:divsChild>
        <w:div w:id="1211921273">
          <w:marLeft w:val="0"/>
          <w:marRight w:val="0"/>
          <w:marTop w:val="0"/>
          <w:marBottom w:val="0"/>
          <w:divBdr>
            <w:top w:val="none" w:sz="0" w:space="0" w:color="auto"/>
            <w:left w:val="none" w:sz="0" w:space="0" w:color="auto"/>
            <w:bottom w:val="none" w:sz="0" w:space="0" w:color="auto"/>
            <w:right w:val="none" w:sz="0" w:space="0" w:color="auto"/>
          </w:divBdr>
        </w:div>
      </w:divsChild>
    </w:div>
    <w:div w:id="400257056">
      <w:bodyDiv w:val="1"/>
      <w:marLeft w:val="0"/>
      <w:marRight w:val="0"/>
      <w:marTop w:val="0"/>
      <w:marBottom w:val="0"/>
      <w:divBdr>
        <w:top w:val="none" w:sz="0" w:space="0" w:color="auto"/>
        <w:left w:val="none" w:sz="0" w:space="0" w:color="auto"/>
        <w:bottom w:val="none" w:sz="0" w:space="0" w:color="auto"/>
        <w:right w:val="none" w:sz="0" w:space="0" w:color="auto"/>
      </w:divBdr>
    </w:div>
    <w:div w:id="432287351">
      <w:marLeft w:val="0"/>
      <w:marRight w:val="0"/>
      <w:marTop w:val="0"/>
      <w:marBottom w:val="0"/>
      <w:divBdr>
        <w:top w:val="none" w:sz="0" w:space="0" w:color="auto"/>
        <w:left w:val="none" w:sz="0" w:space="0" w:color="auto"/>
        <w:bottom w:val="none" w:sz="0" w:space="0" w:color="auto"/>
        <w:right w:val="none" w:sz="0" w:space="0" w:color="auto"/>
      </w:divBdr>
      <w:divsChild>
        <w:div w:id="1739285722">
          <w:marLeft w:val="0"/>
          <w:marRight w:val="0"/>
          <w:marTop w:val="0"/>
          <w:marBottom w:val="0"/>
          <w:divBdr>
            <w:top w:val="none" w:sz="0" w:space="0" w:color="auto"/>
            <w:left w:val="none" w:sz="0" w:space="0" w:color="auto"/>
            <w:bottom w:val="none" w:sz="0" w:space="0" w:color="auto"/>
            <w:right w:val="none" w:sz="0" w:space="0" w:color="auto"/>
          </w:divBdr>
        </w:div>
      </w:divsChild>
    </w:div>
    <w:div w:id="442850751">
      <w:marLeft w:val="0"/>
      <w:marRight w:val="0"/>
      <w:marTop w:val="0"/>
      <w:marBottom w:val="0"/>
      <w:divBdr>
        <w:top w:val="none" w:sz="0" w:space="0" w:color="auto"/>
        <w:left w:val="none" w:sz="0" w:space="0" w:color="auto"/>
        <w:bottom w:val="none" w:sz="0" w:space="0" w:color="auto"/>
        <w:right w:val="none" w:sz="0" w:space="0" w:color="auto"/>
      </w:divBdr>
      <w:divsChild>
        <w:div w:id="1512834025">
          <w:marLeft w:val="0"/>
          <w:marRight w:val="0"/>
          <w:marTop w:val="0"/>
          <w:marBottom w:val="0"/>
          <w:divBdr>
            <w:top w:val="none" w:sz="0" w:space="0" w:color="auto"/>
            <w:left w:val="none" w:sz="0" w:space="0" w:color="auto"/>
            <w:bottom w:val="none" w:sz="0" w:space="0" w:color="auto"/>
            <w:right w:val="none" w:sz="0" w:space="0" w:color="auto"/>
          </w:divBdr>
        </w:div>
      </w:divsChild>
    </w:div>
    <w:div w:id="444228325">
      <w:marLeft w:val="0"/>
      <w:marRight w:val="0"/>
      <w:marTop w:val="0"/>
      <w:marBottom w:val="0"/>
      <w:divBdr>
        <w:top w:val="none" w:sz="0" w:space="0" w:color="auto"/>
        <w:left w:val="none" w:sz="0" w:space="0" w:color="auto"/>
        <w:bottom w:val="none" w:sz="0" w:space="0" w:color="auto"/>
        <w:right w:val="none" w:sz="0" w:space="0" w:color="auto"/>
      </w:divBdr>
      <w:divsChild>
        <w:div w:id="136925240">
          <w:marLeft w:val="0"/>
          <w:marRight w:val="0"/>
          <w:marTop w:val="0"/>
          <w:marBottom w:val="0"/>
          <w:divBdr>
            <w:top w:val="none" w:sz="0" w:space="0" w:color="auto"/>
            <w:left w:val="none" w:sz="0" w:space="0" w:color="auto"/>
            <w:bottom w:val="none" w:sz="0" w:space="0" w:color="auto"/>
            <w:right w:val="none" w:sz="0" w:space="0" w:color="auto"/>
          </w:divBdr>
        </w:div>
      </w:divsChild>
    </w:div>
    <w:div w:id="461776984">
      <w:marLeft w:val="0"/>
      <w:marRight w:val="0"/>
      <w:marTop w:val="0"/>
      <w:marBottom w:val="0"/>
      <w:divBdr>
        <w:top w:val="none" w:sz="0" w:space="0" w:color="auto"/>
        <w:left w:val="none" w:sz="0" w:space="0" w:color="auto"/>
        <w:bottom w:val="none" w:sz="0" w:space="0" w:color="auto"/>
        <w:right w:val="none" w:sz="0" w:space="0" w:color="auto"/>
      </w:divBdr>
      <w:divsChild>
        <w:div w:id="980580661">
          <w:marLeft w:val="0"/>
          <w:marRight w:val="0"/>
          <w:marTop w:val="0"/>
          <w:marBottom w:val="0"/>
          <w:divBdr>
            <w:top w:val="none" w:sz="0" w:space="0" w:color="auto"/>
            <w:left w:val="none" w:sz="0" w:space="0" w:color="auto"/>
            <w:bottom w:val="none" w:sz="0" w:space="0" w:color="auto"/>
            <w:right w:val="none" w:sz="0" w:space="0" w:color="auto"/>
          </w:divBdr>
        </w:div>
      </w:divsChild>
    </w:div>
    <w:div w:id="477234889">
      <w:marLeft w:val="0"/>
      <w:marRight w:val="0"/>
      <w:marTop w:val="0"/>
      <w:marBottom w:val="0"/>
      <w:divBdr>
        <w:top w:val="none" w:sz="0" w:space="0" w:color="auto"/>
        <w:left w:val="none" w:sz="0" w:space="0" w:color="auto"/>
        <w:bottom w:val="none" w:sz="0" w:space="0" w:color="auto"/>
        <w:right w:val="none" w:sz="0" w:space="0" w:color="auto"/>
      </w:divBdr>
      <w:divsChild>
        <w:div w:id="603197335">
          <w:marLeft w:val="0"/>
          <w:marRight w:val="0"/>
          <w:marTop w:val="0"/>
          <w:marBottom w:val="0"/>
          <w:divBdr>
            <w:top w:val="none" w:sz="0" w:space="0" w:color="auto"/>
            <w:left w:val="none" w:sz="0" w:space="0" w:color="auto"/>
            <w:bottom w:val="none" w:sz="0" w:space="0" w:color="auto"/>
            <w:right w:val="none" w:sz="0" w:space="0" w:color="auto"/>
          </w:divBdr>
        </w:div>
      </w:divsChild>
    </w:div>
    <w:div w:id="492648741">
      <w:bodyDiv w:val="1"/>
      <w:marLeft w:val="0"/>
      <w:marRight w:val="0"/>
      <w:marTop w:val="0"/>
      <w:marBottom w:val="0"/>
      <w:divBdr>
        <w:top w:val="none" w:sz="0" w:space="0" w:color="auto"/>
        <w:left w:val="none" w:sz="0" w:space="0" w:color="auto"/>
        <w:bottom w:val="none" w:sz="0" w:space="0" w:color="auto"/>
        <w:right w:val="none" w:sz="0" w:space="0" w:color="auto"/>
      </w:divBdr>
    </w:div>
    <w:div w:id="496194680">
      <w:marLeft w:val="0"/>
      <w:marRight w:val="0"/>
      <w:marTop w:val="0"/>
      <w:marBottom w:val="0"/>
      <w:divBdr>
        <w:top w:val="none" w:sz="0" w:space="0" w:color="auto"/>
        <w:left w:val="none" w:sz="0" w:space="0" w:color="auto"/>
        <w:bottom w:val="none" w:sz="0" w:space="0" w:color="auto"/>
        <w:right w:val="none" w:sz="0" w:space="0" w:color="auto"/>
      </w:divBdr>
      <w:divsChild>
        <w:div w:id="2038578414">
          <w:marLeft w:val="0"/>
          <w:marRight w:val="0"/>
          <w:marTop w:val="0"/>
          <w:marBottom w:val="0"/>
          <w:divBdr>
            <w:top w:val="none" w:sz="0" w:space="0" w:color="auto"/>
            <w:left w:val="none" w:sz="0" w:space="0" w:color="auto"/>
            <w:bottom w:val="none" w:sz="0" w:space="0" w:color="auto"/>
            <w:right w:val="none" w:sz="0" w:space="0" w:color="auto"/>
          </w:divBdr>
        </w:div>
      </w:divsChild>
    </w:div>
    <w:div w:id="499124285">
      <w:bodyDiv w:val="1"/>
      <w:marLeft w:val="0"/>
      <w:marRight w:val="0"/>
      <w:marTop w:val="0"/>
      <w:marBottom w:val="0"/>
      <w:divBdr>
        <w:top w:val="none" w:sz="0" w:space="0" w:color="auto"/>
        <w:left w:val="none" w:sz="0" w:space="0" w:color="auto"/>
        <w:bottom w:val="none" w:sz="0" w:space="0" w:color="auto"/>
        <w:right w:val="none" w:sz="0" w:space="0" w:color="auto"/>
      </w:divBdr>
    </w:div>
    <w:div w:id="512382607">
      <w:bodyDiv w:val="1"/>
      <w:marLeft w:val="0"/>
      <w:marRight w:val="0"/>
      <w:marTop w:val="0"/>
      <w:marBottom w:val="0"/>
      <w:divBdr>
        <w:top w:val="none" w:sz="0" w:space="0" w:color="auto"/>
        <w:left w:val="none" w:sz="0" w:space="0" w:color="auto"/>
        <w:bottom w:val="none" w:sz="0" w:space="0" w:color="auto"/>
        <w:right w:val="none" w:sz="0" w:space="0" w:color="auto"/>
      </w:divBdr>
    </w:div>
    <w:div w:id="552932839">
      <w:bodyDiv w:val="1"/>
      <w:marLeft w:val="0"/>
      <w:marRight w:val="0"/>
      <w:marTop w:val="0"/>
      <w:marBottom w:val="0"/>
      <w:divBdr>
        <w:top w:val="none" w:sz="0" w:space="0" w:color="auto"/>
        <w:left w:val="none" w:sz="0" w:space="0" w:color="auto"/>
        <w:bottom w:val="none" w:sz="0" w:space="0" w:color="auto"/>
        <w:right w:val="none" w:sz="0" w:space="0" w:color="auto"/>
      </w:divBdr>
    </w:div>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605045952">
      <w:marLeft w:val="0"/>
      <w:marRight w:val="0"/>
      <w:marTop w:val="0"/>
      <w:marBottom w:val="0"/>
      <w:divBdr>
        <w:top w:val="none" w:sz="0" w:space="0" w:color="auto"/>
        <w:left w:val="none" w:sz="0" w:space="0" w:color="auto"/>
        <w:bottom w:val="none" w:sz="0" w:space="0" w:color="auto"/>
        <w:right w:val="none" w:sz="0" w:space="0" w:color="auto"/>
      </w:divBdr>
      <w:divsChild>
        <w:div w:id="2036996639">
          <w:marLeft w:val="0"/>
          <w:marRight w:val="0"/>
          <w:marTop w:val="0"/>
          <w:marBottom w:val="0"/>
          <w:divBdr>
            <w:top w:val="none" w:sz="0" w:space="0" w:color="auto"/>
            <w:left w:val="none" w:sz="0" w:space="0" w:color="auto"/>
            <w:bottom w:val="none" w:sz="0" w:space="0" w:color="auto"/>
            <w:right w:val="none" w:sz="0" w:space="0" w:color="auto"/>
          </w:divBdr>
        </w:div>
      </w:divsChild>
    </w:div>
    <w:div w:id="615916940">
      <w:bodyDiv w:val="1"/>
      <w:marLeft w:val="0"/>
      <w:marRight w:val="0"/>
      <w:marTop w:val="0"/>
      <w:marBottom w:val="0"/>
      <w:divBdr>
        <w:top w:val="none" w:sz="0" w:space="0" w:color="auto"/>
        <w:left w:val="none" w:sz="0" w:space="0" w:color="auto"/>
        <w:bottom w:val="none" w:sz="0" w:space="0" w:color="auto"/>
        <w:right w:val="none" w:sz="0" w:space="0" w:color="auto"/>
      </w:divBdr>
    </w:div>
    <w:div w:id="674722136">
      <w:marLeft w:val="0"/>
      <w:marRight w:val="0"/>
      <w:marTop w:val="0"/>
      <w:marBottom w:val="0"/>
      <w:divBdr>
        <w:top w:val="none" w:sz="0" w:space="0" w:color="auto"/>
        <w:left w:val="none" w:sz="0" w:space="0" w:color="auto"/>
        <w:bottom w:val="none" w:sz="0" w:space="0" w:color="auto"/>
        <w:right w:val="none" w:sz="0" w:space="0" w:color="auto"/>
      </w:divBdr>
      <w:divsChild>
        <w:div w:id="1072776358">
          <w:marLeft w:val="0"/>
          <w:marRight w:val="0"/>
          <w:marTop w:val="0"/>
          <w:marBottom w:val="0"/>
          <w:divBdr>
            <w:top w:val="none" w:sz="0" w:space="0" w:color="auto"/>
            <w:left w:val="none" w:sz="0" w:space="0" w:color="auto"/>
            <w:bottom w:val="none" w:sz="0" w:space="0" w:color="auto"/>
            <w:right w:val="none" w:sz="0" w:space="0" w:color="auto"/>
          </w:divBdr>
        </w:div>
      </w:divsChild>
    </w:div>
    <w:div w:id="677082681">
      <w:marLeft w:val="0"/>
      <w:marRight w:val="0"/>
      <w:marTop w:val="0"/>
      <w:marBottom w:val="0"/>
      <w:divBdr>
        <w:top w:val="none" w:sz="0" w:space="0" w:color="auto"/>
        <w:left w:val="none" w:sz="0" w:space="0" w:color="auto"/>
        <w:bottom w:val="none" w:sz="0" w:space="0" w:color="auto"/>
        <w:right w:val="none" w:sz="0" w:space="0" w:color="auto"/>
      </w:divBdr>
      <w:divsChild>
        <w:div w:id="1544059487">
          <w:marLeft w:val="0"/>
          <w:marRight w:val="0"/>
          <w:marTop w:val="0"/>
          <w:marBottom w:val="0"/>
          <w:divBdr>
            <w:top w:val="none" w:sz="0" w:space="0" w:color="auto"/>
            <w:left w:val="none" w:sz="0" w:space="0" w:color="auto"/>
            <w:bottom w:val="none" w:sz="0" w:space="0" w:color="auto"/>
            <w:right w:val="none" w:sz="0" w:space="0" w:color="auto"/>
          </w:divBdr>
        </w:div>
      </w:divsChild>
    </w:div>
    <w:div w:id="699554675">
      <w:marLeft w:val="0"/>
      <w:marRight w:val="0"/>
      <w:marTop w:val="0"/>
      <w:marBottom w:val="0"/>
      <w:divBdr>
        <w:top w:val="none" w:sz="0" w:space="0" w:color="auto"/>
        <w:left w:val="none" w:sz="0" w:space="0" w:color="auto"/>
        <w:bottom w:val="none" w:sz="0" w:space="0" w:color="auto"/>
        <w:right w:val="none" w:sz="0" w:space="0" w:color="auto"/>
      </w:divBdr>
      <w:divsChild>
        <w:div w:id="2017729766">
          <w:marLeft w:val="0"/>
          <w:marRight w:val="0"/>
          <w:marTop w:val="0"/>
          <w:marBottom w:val="0"/>
          <w:divBdr>
            <w:top w:val="none" w:sz="0" w:space="0" w:color="auto"/>
            <w:left w:val="none" w:sz="0" w:space="0" w:color="auto"/>
            <w:bottom w:val="none" w:sz="0" w:space="0" w:color="auto"/>
            <w:right w:val="none" w:sz="0" w:space="0" w:color="auto"/>
          </w:divBdr>
        </w:div>
      </w:divsChild>
    </w:div>
    <w:div w:id="700594358">
      <w:bodyDiv w:val="1"/>
      <w:marLeft w:val="0"/>
      <w:marRight w:val="0"/>
      <w:marTop w:val="0"/>
      <w:marBottom w:val="0"/>
      <w:divBdr>
        <w:top w:val="none" w:sz="0" w:space="0" w:color="auto"/>
        <w:left w:val="none" w:sz="0" w:space="0" w:color="auto"/>
        <w:bottom w:val="none" w:sz="0" w:space="0" w:color="auto"/>
        <w:right w:val="none" w:sz="0" w:space="0" w:color="auto"/>
      </w:divBdr>
    </w:div>
    <w:div w:id="736973224">
      <w:bodyDiv w:val="1"/>
      <w:marLeft w:val="0"/>
      <w:marRight w:val="0"/>
      <w:marTop w:val="0"/>
      <w:marBottom w:val="0"/>
      <w:divBdr>
        <w:top w:val="none" w:sz="0" w:space="0" w:color="auto"/>
        <w:left w:val="none" w:sz="0" w:space="0" w:color="auto"/>
        <w:bottom w:val="none" w:sz="0" w:space="0" w:color="auto"/>
        <w:right w:val="none" w:sz="0" w:space="0" w:color="auto"/>
      </w:divBdr>
    </w:div>
    <w:div w:id="759643566">
      <w:marLeft w:val="0"/>
      <w:marRight w:val="0"/>
      <w:marTop w:val="0"/>
      <w:marBottom w:val="0"/>
      <w:divBdr>
        <w:top w:val="none" w:sz="0" w:space="0" w:color="auto"/>
        <w:left w:val="none" w:sz="0" w:space="0" w:color="auto"/>
        <w:bottom w:val="none" w:sz="0" w:space="0" w:color="auto"/>
        <w:right w:val="none" w:sz="0" w:space="0" w:color="auto"/>
      </w:divBdr>
      <w:divsChild>
        <w:div w:id="1636569867">
          <w:marLeft w:val="0"/>
          <w:marRight w:val="0"/>
          <w:marTop w:val="0"/>
          <w:marBottom w:val="0"/>
          <w:divBdr>
            <w:top w:val="none" w:sz="0" w:space="0" w:color="auto"/>
            <w:left w:val="none" w:sz="0" w:space="0" w:color="auto"/>
            <w:bottom w:val="none" w:sz="0" w:space="0" w:color="auto"/>
            <w:right w:val="none" w:sz="0" w:space="0" w:color="auto"/>
          </w:divBdr>
        </w:div>
      </w:divsChild>
    </w:div>
    <w:div w:id="774177448">
      <w:marLeft w:val="0"/>
      <w:marRight w:val="0"/>
      <w:marTop w:val="0"/>
      <w:marBottom w:val="0"/>
      <w:divBdr>
        <w:top w:val="none" w:sz="0" w:space="0" w:color="auto"/>
        <w:left w:val="none" w:sz="0" w:space="0" w:color="auto"/>
        <w:bottom w:val="none" w:sz="0" w:space="0" w:color="auto"/>
        <w:right w:val="none" w:sz="0" w:space="0" w:color="auto"/>
      </w:divBdr>
      <w:divsChild>
        <w:div w:id="1404986096">
          <w:marLeft w:val="0"/>
          <w:marRight w:val="0"/>
          <w:marTop w:val="0"/>
          <w:marBottom w:val="0"/>
          <w:divBdr>
            <w:top w:val="none" w:sz="0" w:space="0" w:color="auto"/>
            <w:left w:val="none" w:sz="0" w:space="0" w:color="auto"/>
            <w:bottom w:val="none" w:sz="0" w:space="0" w:color="auto"/>
            <w:right w:val="none" w:sz="0" w:space="0" w:color="auto"/>
          </w:divBdr>
        </w:div>
      </w:divsChild>
    </w:div>
    <w:div w:id="785276128">
      <w:bodyDiv w:val="1"/>
      <w:marLeft w:val="0"/>
      <w:marRight w:val="0"/>
      <w:marTop w:val="0"/>
      <w:marBottom w:val="0"/>
      <w:divBdr>
        <w:top w:val="none" w:sz="0" w:space="0" w:color="auto"/>
        <w:left w:val="none" w:sz="0" w:space="0" w:color="auto"/>
        <w:bottom w:val="none" w:sz="0" w:space="0" w:color="auto"/>
        <w:right w:val="none" w:sz="0" w:space="0" w:color="auto"/>
      </w:divBdr>
    </w:div>
    <w:div w:id="789322114">
      <w:marLeft w:val="0"/>
      <w:marRight w:val="0"/>
      <w:marTop w:val="0"/>
      <w:marBottom w:val="0"/>
      <w:divBdr>
        <w:top w:val="none" w:sz="0" w:space="0" w:color="auto"/>
        <w:left w:val="none" w:sz="0" w:space="0" w:color="auto"/>
        <w:bottom w:val="none" w:sz="0" w:space="0" w:color="auto"/>
        <w:right w:val="none" w:sz="0" w:space="0" w:color="auto"/>
      </w:divBdr>
      <w:divsChild>
        <w:div w:id="1607956653">
          <w:marLeft w:val="0"/>
          <w:marRight w:val="0"/>
          <w:marTop w:val="0"/>
          <w:marBottom w:val="0"/>
          <w:divBdr>
            <w:top w:val="none" w:sz="0" w:space="0" w:color="auto"/>
            <w:left w:val="none" w:sz="0" w:space="0" w:color="auto"/>
            <w:bottom w:val="none" w:sz="0" w:space="0" w:color="auto"/>
            <w:right w:val="none" w:sz="0" w:space="0" w:color="auto"/>
          </w:divBdr>
        </w:div>
      </w:divsChild>
    </w:div>
    <w:div w:id="801197419">
      <w:marLeft w:val="0"/>
      <w:marRight w:val="0"/>
      <w:marTop w:val="0"/>
      <w:marBottom w:val="0"/>
      <w:divBdr>
        <w:top w:val="none" w:sz="0" w:space="0" w:color="auto"/>
        <w:left w:val="none" w:sz="0" w:space="0" w:color="auto"/>
        <w:bottom w:val="none" w:sz="0" w:space="0" w:color="auto"/>
        <w:right w:val="none" w:sz="0" w:space="0" w:color="auto"/>
      </w:divBdr>
      <w:divsChild>
        <w:div w:id="1349140742">
          <w:marLeft w:val="0"/>
          <w:marRight w:val="0"/>
          <w:marTop w:val="0"/>
          <w:marBottom w:val="0"/>
          <w:divBdr>
            <w:top w:val="none" w:sz="0" w:space="0" w:color="auto"/>
            <w:left w:val="none" w:sz="0" w:space="0" w:color="auto"/>
            <w:bottom w:val="none" w:sz="0" w:space="0" w:color="auto"/>
            <w:right w:val="none" w:sz="0" w:space="0" w:color="auto"/>
          </w:divBdr>
        </w:div>
      </w:divsChild>
    </w:div>
    <w:div w:id="847906582">
      <w:bodyDiv w:val="1"/>
      <w:marLeft w:val="0"/>
      <w:marRight w:val="0"/>
      <w:marTop w:val="0"/>
      <w:marBottom w:val="0"/>
      <w:divBdr>
        <w:top w:val="none" w:sz="0" w:space="0" w:color="auto"/>
        <w:left w:val="none" w:sz="0" w:space="0" w:color="auto"/>
        <w:bottom w:val="none" w:sz="0" w:space="0" w:color="auto"/>
        <w:right w:val="none" w:sz="0" w:space="0" w:color="auto"/>
      </w:divBdr>
    </w:div>
    <w:div w:id="857082339">
      <w:bodyDiv w:val="1"/>
      <w:marLeft w:val="0"/>
      <w:marRight w:val="0"/>
      <w:marTop w:val="0"/>
      <w:marBottom w:val="0"/>
      <w:divBdr>
        <w:top w:val="none" w:sz="0" w:space="0" w:color="auto"/>
        <w:left w:val="none" w:sz="0" w:space="0" w:color="auto"/>
        <w:bottom w:val="none" w:sz="0" w:space="0" w:color="auto"/>
        <w:right w:val="none" w:sz="0" w:space="0" w:color="auto"/>
      </w:divBdr>
      <w:divsChild>
        <w:div w:id="463935711">
          <w:marLeft w:val="0"/>
          <w:marRight w:val="0"/>
          <w:marTop w:val="0"/>
          <w:marBottom w:val="0"/>
          <w:divBdr>
            <w:top w:val="none" w:sz="0" w:space="0" w:color="auto"/>
            <w:left w:val="none" w:sz="0" w:space="0" w:color="auto"/>
            <w:bottom w:val="none" w:sz="0" w:space="0" w:color="auto"/>
            <w:right w:val="none" w:sz="0" w:space="0" w:color="auto"/>
          </w:divBdr>
        </w:div>
        <w:div w:id="2062704741">
          <w:marLeft w:val="0"/>
          <w:marRight w:val="0"/>
          <w:marTop w:val="0"/>
          <w:marBottom w:val="0"/>
          <w:divBdr>
            <w:top w:val="none" w:sz="0" w:space="0" w:color="auto"/>
            <w:left w:val="none" w:sz="0" w:space="0" w:color="auto"/>
            <w:bottom w:val="none" w:sz="0" w:space="0" w:color="auto"/>
            <w:right w:val="none" w:sz="0" w:space="0" w:color="auto"/>
          </w:divBdr>
        </w:div>
      </w:divsChild>
    </w:div>
    <w:div w:id="868756062">
      <w:marLeft w:val="0"/>
      <w:marRight w:val="0"/>
      <w:marTop w:val="0"/>
      <w:marBottom w:val="0"/>
      <w:divBdr>
        <w:top w:val="none" w:sz="0" w:space="0" w:color="auto"/>
        <w:left w:val="none" w:sz="0" w:space="0" w:color="auto"/>
        <w:bottom w:val="none" w:sz="0" w:space="0" w:color="auto"/>
        <w:right w:val="none" w:sz="0" w:space="0" w:color="auto"/>
      </w:divBdr>
      <w:divsChild>
        <w:div w:id="485048556">
          <w:marLeft w:val="0"/>
          <w:marRight w:val="0"/>
          <w:marTop w:val="0"/>
          <w:marBottom w:val="0"/>
          <w:divBdr>
            <w:top w:val="none" w:sz="0" w:space="0" w:color="auto"/>
            <w:left w:val="none" w:sz="0" w:space="0" w:color="auto"/>
            <w:bottom w:val="none" w:sz="0" w:space="0" w:color="auto"/>
            <w:right w:val="none" w:sz="0" w:space="0" w:color="auto"/>
          </w:divBdr>
        </w:div>
      </w:divsChild>
    </w:div>
    <w:div w:id="876159053">
      <w:bodyDiv w:val="1"/>
      <w:marLeft w:val="0"/>
      <w:marRight w:val="0"/>
      <w:marTop w:val="0"/>
      <w:marBottom w:val="0"/>
      <w:divBdr>
        <w:top w:val="none" w:sz="0" w:space="0" w:color="auto"/>
        <w:left w:val="none" w:sz="0" w:space="0" w:color="auto"/>
        <w:bottom w:val="none" w:sz="0" w:space="0" w:color="auto"/>
        <w:right w:val="none" w:sz="0" w:space="0" w:color="auto"/>
      </w:divBdr>
    </w:div>
    <w:div w:id="878249451">
      <w:marLeft w:val="0"/>
      <w:marRight w:val="0"/>
      <w:marTop w:val="0"/>
      <w:marBottom w:val="0"/>
      <w:divBdr>
        <w:top w:val="none" w:sz="0" w:space="0" w:color="auto"/>
        <w:left w:val="none" w:sz="0" w:space="0" w:color="auto"/>
        <w:bottom w:val="none" w:sz="0" w:space="0" w:color="auto"/>
        <w:right w:val="none" w:sz="0" w:space="0" w:color="auto"/>
      </w:divBdr>
      <w:divsChild>
        <w:div w:id="530608230">
          <w:marLeft w:val="0"/>
          <w:marRight w:val="0"/>
          <w:marTop w:val="0"/>
          <w:marBottom w:val="0"/>
          <w:divBdr>
            <w:top w:val="none" w:sz="0" w:space="0" w:color="auto"/>
            <w:left w:val="none" w:sz="0" w:space="0" w:color="auto"/>
            <w:bottom w:val="none" w:sz="0" w:space="0" w:color="auto"/>
            <w:right w:val="none" w:sz="0" w:space="0" w:color="auto"/>
          </w:divBdr>
        </w:div>
      </w:divsChild>
    </w:div>
    <w:div w:id="932008285">
      <w:marLeft w:val="0"/>
      <w:marRight w:val="0"/>
      <w:marTop w:val="0"/>
      <w:marBottom w:val="0"/>
      <w:divBdr>
        <w:top w:val="none" w:sz="0" w:space="0" w:color="auto"/>
        <w:left w:val="none" w:sz="0" w:space="0" w:color="auto"/>
        <w:bottom w:val="none" w:sz="0" w:space="0" w:color="auto"/>
        <w:right w:val="none" w:sz="0" w:space="0" w:color="auto"/>
      </w:divBdr>
      <w:divsChild>
        <w:div w:id="434835922">
          <w:marLeft w:val="0"/>
          <w:marRight w:val="0"/>
          <w:marTop w:val="0"/>
          <w:marBottom w:val="0"/>
          <w:divBdr>
            <w:top w:val="none" w:sz="0" w:space="0" w:color="auto"/>
            <w:left w:val="none" w:sz="0" w:space="0" w:color="auto"/>
            <w:bottom w:val="none" w:sz="0" w:space="0" w:color="auto"/>
            <w:right w:val="none" w:sz="0" w:space="0" w:color="auto"/>
          </w:divBdr>
        </w:div>
      </w:divsChild>
    </w:div>
    <w:div w:id="940071441">
      <w:marLeft w:val="0"/>
      <w:marRight w:val="0"/>
      <w:marTop w:val="0"/>
      <w:marBottom w:val="0"/>
      <w:divBdr>
        <w:top w:val="none" w:sz="0" w:space="0" w:color="auto"/>
        <w:left w:val="none" w:sz="0" w:space="0" w:color="auto"/>
        <w:bottom w:val="none" w:sz="0" w:space="0" w:color="auto"/>
        <w:right w:val="none" w:sz="0" w:space="0" w:color="auto"/>
      </w:divBdr>
      <w:divsChild>
        <w:div w:id="2013485761">
          <w:marLeft w:val="0"/>
          <w:marRight w:val="0"/>
          <w:marTop w:val="0"/>
          <w:marBottom w:val="0"/>
          <w:divBdr>
            <w:top w:val="none" w:sz="0" w:space="0" w:color="auto"/>
            <w:left w:val="none" w:sz="0" w:space="0" w:color="auto"/>
            <w:bottom w:val="none" w:sz="0" w:space="0" w:color="auto"/>
            <w:right w:val="none" w:sz="0" w:space="0" w:color="auto"/>
          </w:divBdr>
        </w:div>
      </w:divsChild>
    </w:div>
    <w:div w:id="955216616">
      <w:bodyDiv w:val="1"/>
      <w:marLeft w:val="0"/>
      <w:marRight w:val="0"/>
      <w:marTop w:val="0"/>
      <w:marBottom w:val="0"/>
      <w:divBdr>
        <w:top w:val="none" w:sz="0" w:space="0" w:color="auto"/>
        <w:left w:val="none" w:sz="0" w:space="0" w:color="auto"/>
        <w:bottom w:val="none" w:sz="0" w:space="0" w:color="auto"/>
        <w:right w:val="none" w:sz="0" w:space="0" w:color="auto"/>
      </w:divBdr>
    </w:div>
    <w:div w:id="966276123">
      <w:marLeft w:val="0"/>
      <w:marRight w:val="0"/>
      <w:marTop w:val="0"/>
      <w:marBottom w:val="0"/>
      <w:divBdr>
        <w:top w:val="none" w:sz="0" w:space="0" w:color="auto"/>
        <w:left w:val="none" w:sz="0" w:space="0" w:color="auto"/>
        <w:bottom w:val="none" w:sz="0" w:space="0" w:color="auto"/>
        <w:right w:val="none" w:sz="0" w:space="0" w:color="auto"/>
      </w:divBdr>
      <w:divsChild>
        <w:div w:id="398292204">
          <w:marLeft w:val="0"/>
          <w:marRight w:val="0"/>
          <w:marTop w:val="0"/>
          <w:marBottom w:val="0"/>
          <w:divBdr>
            <w:top w:val="none" w:sz="0" w:space="0" w:color="auto"/>
            <w:left w:val="none" w:sz="0" w:space="0" w:color="auto"/>
            <w:bottom w:val="none" w:sz="0" w:space="0" w:color="auto"/>
            <w:right w:val="none" w:sz="0" w:space="0" w:color="auto"/>
          </w:divBdr>
        </w:div>
      </w:divsChild>
    </w:div>
    <w:div w:id="984433260">
      <w:marLeft w:val="0"/>
      <w:marRight w:val="0"/>
      <w:marTop w:val="0"/>
      <w:marBottom w:val="0"/>
      <w:divBdr>
        <w:top w:val="none" w:sz="0" w:space="0" w:color="auto"/>
        <w:left w:val="none" w:sz="0" w:space="0" w:color="auto"/>
        <w:bottom w:val="none" w:sz="0" w:space="0" w:color="auto"/>
        <w:right w:val="none" w:sz="0" w:space="0" w:color="auto"/>
      </w:divBdr>
      <w:divsChild>
        <w:div w:id="1639410073">
          <w:marLeft w:val="0"/>
          <w:marRight w:val="0"/>
          <w:marTop w:val="0"/>
          <w:marBottom w:val="0"/>
          <w:divBdr>
            <w:top w:val="none" w:sz="0" w:space="0" w:color="auto"/>
            <w:left w:val="none" w:sz="0" w:space="0" w:color="auto"/>
            <w:bottom w:val="none" w:sz="0" w:space="0" w:color="auto"/>
            <w:right w:val="none" w:sz="0" w:space="0" w:color="auto"/>
          </w:divBdr>
        </w:div>
      </w:divsChild>
    </w:div>
    <w:div w:id="1035499158">
      <w:marLeft w:val="0"/>
      <w:marRight w:val="0"/>
      <w:marTop w:val="0"/>
      <w:marBottom w:val="0"/>
      <w:divBdr>
        <w:top w:val="none" w:sz="0" w:space="0" w:color="auto"/>
        <w:left w:val="none" w:sz="0" w:space="0" w:color="auto"/>
        <w:bottom w:val="none" w:sz="0" w:space="0" w:color="auto"/>
        <w:right w:val="none" w:sz="0" w:space="0" w:color="auto"/>
      </w:divBdr>
      <w:divsChild>
        <w:div w:id="222176387">
          <w:marLeft w:val="0"/>
          <w:marRight w:val="0"/>
          <w:marTop w:val="0"/>
          <w:marBottom w:val="0"/>
          <w:divBdr>
            <w:top w:val="none" w:sz="0" w:space="0" w:color="auto"/>
            <w:left w:val="none" w:sz="0" w:space="0" w:color="auto"/>
            <w:bottom w:val="none" w:sz="0" w:space="0" w:color="auto"/>
            <w:right w:val="none" w:sz="0" w:space="0" w:color="auto"/>
          </w:divBdr>
        </w:div>
      </w:divsChild>
    </w:div>
    <w:div w:id="1059087393">
      <w:marLeft w:val="0"/>
      <w:marRight w:val="0"/>
      <w:marTop w:val="0"/>
      <w:marBottom w:val="0"/>
      <w:divBdr>
        <w:top w:val="none" w:sz="0" w:space="0" w:color="auto"/>
        <w:left w:val="none" w:sz="0" w:space="0" w:color="auto"/>
        <w:bottom w:val="none" w:sz="0" w:space="0" w:color="auto"/>
        <w:right w:val="none" w:sz="0" w:space="0" w:color="auto"/>
      </w:divBdr>
      <w:divsChild>
        <w:div w:id="336076767">
          <w:marLeft w:val="0"/>
          <w:marRight w:val="0"/>
          <w:marTop w:val="0"/>
          <w:marBottom w:val="0"/>
          <w:divBdr>
            <w:top w:val="none" w:sz="0" w:space="0" w:color="auto"/>
            <w:left w:val="none" w:sz="0" w:space="0" w:color="auto"/>
            <w:bottom w:val="none" w:sz="0" w:space="0" w:color="auto"/>
            <w:right w:val="none" w:sz="0" w:space="0" w:color="auto"/>
          </w:divBdr>
        </w:div>
      </w:divsChild>
    </w:div>
    <w:div w:id="1067265050">
      <w:marLeft w:val="0"/>
      <w:marRight w:val="0"/>
      <w:marTop w:val="0"/>
      <w:marBottom w:val="0"/>
      <w:divBdr>
        <w:top w:val="none" w:sz="0" w:space="0" w:color="auto"/>
        <w:left w:val="none" w:sz="0" w:space="0" w:color="auto"/>
        <w:bottom w:val="none" w:sz="0" w:space="0" w:color="auto"/>
        <w:right w:val="none" w:sz="0" w:space="0" w:color="auto"/>
      </w:divBdr>
      <w:divsChild>
        <w:div w:id="166136761">
          <w:marLeft w:val="0"/>
          <w:marRight w:val="0"/>
          <w:marTop w:val="0"/>
          <w:marBottom w:val="0"/>
          <w:divBdr>
            <w:top w:val="none" w:sz="0" w:space="0" w:color="auto"/>
            <w:left w:val="none" w:sz="0" w:space="0" w:color="auto"/>
            <w:bottom w:val="none" w:sz="0" w:space="0" w:color="auto"/>
            <w:right w:val="none" w:sz="0" w:space="0" w:color="auto"/>
          </w:divBdr>
        </w:div>
      </w:divsChild>
    </w:div>
    <w:div w:id="1079474415">
      <w:bodyDiv w:val="1"/>
      <w:marLeft w:val="0"/>
      <w:marRight w:val="0"/>
      <w:marTop w:val="0"/>
      <w:marBottom w:val="0"/>
      <w:divBdr>
        <w:top w:val="none" w:sz="0" w:space="0" w:color="auto"/>
        <w:left w:val="none" w:sz="0" w:space="0" w:color="auto"/>
        <w:bottom w:val="none" w:sz="0" w:space="0" w:color="auto"/>
        <w:right w:val="none" w:sz="0" w:space="0" w:color="auto"/>
      </w:divBdr>
    </w:div>
    <w:div w:id="1095713942">
      <w:marLeft w:val="0"/>
      <w:marRight w:val="0"/>
      <w:marTop w:val="0"/>
      <w:marBottom w:val="0"/>
      <w:divBdr>
        <w:top w:val="none" w:sz="0" w:space="0" w:color="auto"/>
        <w:left w:val="none" w:sz="0" w:space="0" w:color="auto"/>
        <w:bottom w:val="none" w:sz="0" w:space="0" w:color="auto"/>
        <w:right w:val="none" w:sz="0" w:space="0" w:color="auto"/>
      </w:divBdr>
      <w:divsChild>
        <w:div w:id="1219128012">
          <w:marLeft w:val="0"/>
          <w:marRight w:val="0"/>
          <w:marTop w:val="0"/>
          <w:marBottom w:val="0"/>
          <w:divBdr>
            <w:top w:val="none" w:sz="0" w:space="0" w:color="auto"/>
            <w:left w:val="none" w:sz="0" w:space="0" w:color="auto"/>
            <w:bottom w:val="none" w:sz="0" w:space="0" w:color="auto"/>
            <w:right w:val="none" w:sz="0" w:space="0" w:color="auto"/>
          </w:divBdr>
        </w:div>
      </w:divsChild>
    </w:div>
    <w:div w:id="1096245743">
      <w:bodyDiv w:val="1"/>
      <w:marLeft w:val="0"/>
      <w:marRight w:val="0"/>
      <w:marTop w:val="0"/>
      <w:marBottom w:val="0"/>
      <w:divBdr>
        <w:top w:val="none" w:sz="0" w:space="0" w:color="auto"/>
        <w:left w:val="none" w:sz="0" w:space="0" w:color="auto"/>
        <w:bottom w:val="none" w:sz="0" w:space="0" w:color="auto"/>
        <w:right w:val="none" w:sz="0" w:space="0" w:color="auto"/>
      </w:divBdr>
    </w:div>
    <w:div w:id="1140075607">
      <w:bodyDiv w:val="1"/>
      <w:marLeft w:val="0"/>
      <w:marRight w:val="0"/>
      <w:marTop w:val="0"/>
      <w:marBottom w:val="0"/>
      <w:divBdr>
        <w:top w:val="none" w:sz="0" w:space="0" w:color="auto"/>
        <w:left w:val="none" w:sz="0" w:space="0" w:color="auto"/>
        <w:bottom w:val="none" w:sz="0" w:space="0" w:color="auto"/>
        <w:right w:val="none" w:sz="0" w:space="0" w:color="auto"/>
      </w:divBdr>
    </w:div>
    <w:div w:id="1141191600">
      <w:bodyDiv w:val="1"/>
      <w:marLeft w:val="0"/>
      <w:marRight w:val="0"/>
      <w:marTop w:val="0"/>
      <w:marBottom w:val="0"/>
      <w:divBdr>
        <w:top w:val="none" w:sz="0" w:space="0" w:color="auto"/>
        <w:left w:val="none" w:sz="0" w:space="0" w:color="auto"/>
        <w:bottom w:val="none" w:sz="0" w:space="0" w:color="auto"/>
        <w:right w:val="none" w:sz="0" w:space="0" w:color="auto"/>
      </w:divBdr>
    </w:div>
    <w:div w:id="1162966435">
      <w:bodyDiv w:val="1"/>
      <w:marLeft w:val="0"/>
      <w:marRight w:val="0"/>
      <w:marTop w:val="0"/>
      <w:marBottom w:val="0"/>
      <w:divBdr>
        <w:top w:val="none" w:sz="0" w:space="0" w:color="auto"/>
        <w:left w:val="none" w:sz="0" w:space="0" w:color="auto"/>
        <w:bottom w:val="none" w:sz="0" w:space="0" w:color="auto"/>
        <w:right w:val="none" w:sz="0" w:space="0" w:color="auto"/>
      </w:divBdr>
    </w:div>
    <w:div w:id="1177421510">
      <w:bodyDiv w:val="1"/>
      <w:marLeft w:val="0"/>
      <w:marRight w:val="0"/>
      <w:marTop w:val="0"/>
      <w:marBottom w:val="0"/>
      <w:divBdr>
        <w:top w:val="none" w:sz="0" w:space="0" w:color="auto"/>
        <w:left w:val="none" w:sz="0" w:space="0" w:color="auto"/>
        <w:bottom w:val="none" w:sz="0" w:space="0" w:color="auto"/>
        <w:right w:val="none" w:sz="0" w:space="0" w:color="auto"/>
      </w:divBdr>
    </w:div>
    <w:div w:id="1185679954">
      <w:bodyDiv w:val="1"/>
      <w:marLeft w:val="0"/>
      <w:marRight w:val="0"/>
      <w:marTop w:val="0"/>
      <w:marBottom w:val="0"/>
      <w:divBdr>
        <w:top w:val="none" w:sz="0" w:space="0" w:color="auto"/>
        <w:left w:val="none" w:sz="0" w:space="0" w:color="auto"/>
        <w:bottom w:val="none" w:sz="0" w:space="0" w:color="auto"/>
        <w:right w:val="none" w:sz="0" w:space="0" w:color="auto"/>
      </w:divBdr>
    </w:div>
    <w:div w:id="1186792785">
      <w:marLeft w:val="0"/>
      <w:marRight w:val="0"/>
      <w:marTop w:val="0"/>
      <w:marBottom w:val="0"/>
      <w:divBdr>
        <w:top w:val="none" w:sz="0" w:space="0" w:color="auto"/>
        <w:left w:val="none" w:sz="0" w:space="0" w:color="auto"/>
        <w:bottom w:val="none" w:sz="0" w:space="0" w:color="auto"/>
        <w:right w:val="none" w:sz="0" w:space="0" w:color="auto"/>
      </w:divBdr>
      <w:divsChild>
        <w:div w:id="1805077651">
          <w:marLeft w:val="0"/>
          <w:marRight w:val="0"/>
          <w:marTop w:val="0"/>
          <w:marBottom w:val="0"/>
          <w:divBdr>
            <w:top w:val="none" w:sz="0" w:space="0" w:color="auto"/>
            <w:left w:val="none" w:sz="0" w:space="0" w:color="auto"/>
            <w:bottom w:val="none" w:sz="0" w:space="0" w:color="auto"/>
            <w:right w:val="none" w:sz="0" w:space="0" w:color="auto"/>
          </w:divBdr>
        </w:div>
      </w:divsChild>
    </w:div>
    <w:div w:id="1196650622">
      <w:bodyDiv w:val="1"/>
      <w:marLeft w:val="0"/>
      <w:marRight w:val="0"/>
      <w:marTop w:val="0"/>
      <w:marBottom w:val="0"/>
      <w:divBdr>
        <w:top w:val="none" w:sz="0" w:space="0" w:color="auto"/>
        <w:left w:val="none" w:sz="0" w:space="0" w:color="auto"/>
        <w:bottom w:val="none" w:sz="0" w:space="0" w:color="auto"/>
        <w:right w:val="none" w:sz="0" w:space="0" w:color="auto"/>
      </w:divBdr>
    </w:div>
    <w:div w:id="1205799309">
      <w:marLeft w:val="0"/>
      <w:marRight w:val="0"/>
      <w:marTop w:val="0"/>
      <w:marBottom w:val="0"/>
      <w:divBdr>
        <w:top w:val="none" w:sz="0" w:space="0" w:color="auto"/>
        <w:left w:val="none" w:sz="0" w:space="0" w:color="auto"/>
        <w:bottom w:val="none" w:sz="0" w:space="0" w:color="auto"/>
        <w:right w:val="none" w:sz="0" w:space="0" w:color="auto"/>
      </w:divBdr>
      <w:divsChild>
        <w:div w:id="1747533056">
          <w:marLeft w:val="0"/>
          <w:marRight w:val="0"/>
          <w:marTop w:val="0"/>
          <w:marBottom w:val="0"/>
          <w:divBdr>
            <w:top w:val="none" w:sz="0" w:space="0" w:color="auto"/>
            <w:left w:val="none" w:sz="0" w:space="0" w:color="auto"/>
            <w:bottom w:val="none" w:sz="0" w:space="0" w:color="auto"/>
            <w:right w:val="none" w:sz="0" w:space="0" w:color="auto"/>
          </w:divBdr>
        </w:div>
      </w:divsChild>
    </w:div>
    <w:div w:id="1221285082">
      <w:marLeft w:val="0"/>
      <w:marRight w:val="0"/>
      <w:marTop w:val="0"/>
      <w:marBottom w:val="0"/>
      <w:divBdr>
        <w:top w:val="none" w:sz="0" w:space="0" w:color="auto"/>
        <w:left w:val="none" w:sz="0" w:space="0" w:color="auto"/>
        <w:bottom w:val="none" w:sz="0" w:space="0" w:color="auto"/>
        <w:right w:val="none" w:sz="0" w:space="0" w:color="auto"/>
      </w:divBdr>
      <w:divsChild>
        <w:div w:id="518354017">
          <w:marLeft w:val="0"/>
          <w:marRight w:val="0"/>
          <w:marTop w:val="0"/>
          <w:marBottom w:val="0"/>
          <w:divBdr>
            <w:top w:val="none" w:sz="0" w:space="0" w:color="auto"/>
            <w:left w:val="none" w:sz="0" w:space="0" w:color="auto"/>
            <w:bottom w:val="none" w:sz="0" w:space="0" w:color="auto"/>
            <w:right w:val="none" w:sz="0" w:space="0" w:color="auto"/>
          </w:divBdr>
        </w:div>
      </w:divsChild>
    </w:div>
    <w:div w:id="1293558809">
      <w:marLeft w:val="0"/>
      <w:marRight w:val="0"/>
      <w:marTop w:val="0"/>
      <w:marBottom w:val="0"/>
      <w:divBdr>
        <w:top w:val="none" w:sz="0" w:space="0" w:color="auto"/>
        <w:left w:val="none" w:sz="0" w:space="0" w:color="auto"/>
        <w:bottom w:val="none" w:sz="0" w:space="0" w:color="auto"/>
        <w:right w:val="none" w:sz="0" w:space="0" w:color="auto"/>
      </w:divBdr>
      <w:divsChild>
        <w:div w:id="1613317934">
          <w:marLeft w:val="0"/>
          <w:marRight w:val="0"/>
          <w:marTop w:val="0"/>
          <w:marBottom w:val="0"/>
          <w:divBdr>
            <w:top w:val="none" w:sz="0" w:space="0" w:color="auto"/>
            <w:left w:val="none" w:sz="0" w:space="0" w:color="auto"/>
            <w:bottom w:val="none" w:sz="0" w:space="0" w:color="auto"/>
            <w:right w:val="none" w:sz="0" w:space="0" w:color="auto"/>
          </w:divBdr>
        </w:div>
      </w:divsChild>
    </w:div>
    <w:div w:id="1296334829">
      <w:marLeft w:val="0"/>
      <w:marRight w:val="0"/>
      <w:marTop w:val="0"/>
      <w:marBottom w:val="0"/>
      <w:divBdr>
        <w:top w:val="none" w:sz="0" w:space="0" w:color="auto"/>
        <w:left w:val="none" w:sz="0" w:space="0" w:color="auto"/>
        <w:bottom w:val="none" w:sz="0" w:space="0" w:color="auto"/>
        <w:right w:val="none" w:sz="0" w:space="0" w:color="auto"/>
      </w:divBdr>
      <w:divsChild>
        <w:div w:id="375546462">
          <w:marLeft w:val="0"/>
          <w:marRight w:val="0"/>
          <w:marTop w:val="0"/>
          <w:marBottom w:val="0"/>
          <w:divBdr>
            <w:top w:val="none" w:sz="0" w:space="0" w:color="auto"/>
            <w:left w:val="none" w:sz="0" w:space="0" w:color="auto"/>
            <w:bottom w:val="none" w:sz="0" w:space="0" w:color="auto"/>
            <w:right w:val="none" w:sz="0" w:space="0" w:color="auto"/>
          </w:divBdr>
        </w:div>
      </w:divsChild>
    </w:div>
    <w:div w:id="1296523766">
      <w:bodyDiv w:val="1"/>
      <w:marLeft w:val="0"/>
      <w:marRight w:val="0"/>
      <w:marTop w:val="0"/>
      <w:marBottom w:val="0"/>
      <w:divBdr>
        <w:top w:val="none" w:sz="0" w:space="0" w:color="auto"/>
        <w:left w:val="none" w:sz="0" w:space="0" w:color="auto"/>
        <w:bottom w:val="none" w:sz="0" w:space="0" w:color="auto"/>
        <w:right w:val="none" w:sz="0" w:space="0" w:color="auto"/>
      </w:divBdr>
    </w:div>
    <w:div w:id="1299458185">
      <w:bodyDiv w:val="1"/>
      <w:marLeft w:val="0"/>
      <w:marRight w:val="0"/>
      <w:marTop w:val="0"/>
      <w:marBottom w:val="0"/>
      <w:divBdr>
        <w:top w:val="none" w:sz="0" w:space="0" w:color="auto"/>
        <w:left w:val="none" w:sz="0" w:space="0" w:color="auto"/>
        <w:bottom w:val="none" w:sz="0" w:space="0" w:color="auto"/>
        <w:right w:val="none" w:sz="0" w:space="0" w:color="auto"/>
      </w:divBdr>
    </w:div>
    <w:div w:id="1302465961">
      <w:marLeft w:val="0"/>
      <w:marRight w:val="0"/>
      <w:marTop w:val="0"/>
      <w:marBottom w:val="0"/>
      <w:divBdr>
        <w:top w:val="none" w:sz="0" w:space="0" w:color="auto"/>
        <w:left w:val="none" w:sz="0" w:space="0" w:color="auto"/>
        <w:bottom w:val="none" w:sz="0" w:space="0" w:color="auto"/>
        <w:right w:val="none" w:sz="0" w:space="0" w:color="auto"/>
      </w:divBdr>
      <w:divsChild>
        <w:div w:id="684333657">
          <w:marLeft w:val="0"/>
          <w:marRight w:val="0"/>
          <w:marTop w:val="0"/>
          <w:marBottom w:val="0"/>
          <w:divBdr>
            <w:top w:val="none" w:sz="0" w:space="0" w:color="auto"/>
            <w:left w:val="none" w:sz="0" w:space="0" w:color="auto"/>
            <w:bottom w:val="none" w:sz="0" w:space="0" w:color="auto"/>
            <w:right w:val="none" w:sz="0" w:space="0" w:color="auto"/>
          </w:divBdr>
        </w:div>
      </w:divsChild>
    </w:div>
    <w:div w:id="1305814499">
      <w:marLeft w:val="0"/>
      <w:marRight w:val="0"/>
      <w:marTop w:val="0"/>
      <w:marBottom w:val="0"/>
      <w:divBdr>
        <w:top w:val="none" w:sz="0" w:space="0" w:color="auto"/>
        <w:left w:val="none" w:sz="0" w:space="0" w:color="auto"/>
        <w:bottom w:val="none" w:sz="0" w:space="0" w:color="auto"/>
        <w:right w:val="none" w:sz="0" w:space="0" w:color="auto"/>
      </w:divBdr>
      <w:divsChild>
        <w:div w:id="1249076990">
          <w:marLeft w:val="0"/>
          <w:marRight w:val="0"/>
          <w:marTop w:val="0"/>
          <w:marBottom w:val="0"/>
          <w:divBdr>
            <w:top w:val="none" w:sz="0" w:space="0" w:color="auto"/>
            <w:left w:val="none" w:sz="0" w:space="0" w:color="auto"/>
            <w:bottom w:val="none" w:sz="0" w:space="0" w:color="auto"/>
            <w:right w:val="none" w:sz="0" w:space="0" w:color="auto"/>
          </w:divBdr>
        </w:div>
      </w:divsChild>
    </w:div>
    <w:div w:id="1323974230">
      <w:marLeft w:val="0"/>
      <w:marRight w:val="0"/>
      <w:marTop w:val="0"/>
      <w:marBottom w:val="0"/>
      <w:divBdr>
        <w:top w:val="none" w:sz="0" w:space="0" w:color="auto"/>
        <w:left w:val="none" w:sz="0" w:space="0" w:color="auto"/>
        <w:bottom w:val="none" w:sz="0" w:space="0" w:color="auto"/>
        <w:right w:val="none" w:sz="0" w:space="0" w:color="auto"/>
      </w:divBdr>
      <w:divsChild>
        <w:div w:id="1499494681">
          <w:marLeft w:val="0"/>
          <w:marRight w:val="0"/>
          <w:marTop w:val="0"/>
          <w:marBottom w:val="0"/>
          <w:divBdr>
            <w:top w:val="none" w:sz="0" w:space="0" w:color="auto"/>
            <w:left w:val="none" w:sz="0" w:space="0" w:color="auto"/>
            <w:bottom w:val="none" w:sz="0" w:space="0" w:color="auto"/>
            <w:right w:val="none" w:sz="0" w:space="0" w:color="auto"/>
          </w:divBdr>
        </w:div>
      </w:divsChild>
    </w:div>
    <w:div w:id="1341741730">
      <w:marLeft w:val="0"/>
      <w:marRight w:val="0"/>
      <w:marTop w:val="0"/>
      <w:marBottom w:val="0"/>
      <w:divBdr>
        <w:top w:val="none" w:sz="0" w:space="0" w:color="auto"/>
        <w:left w:val="none" w:sz="0" w:space="0" w:color="auto"/>
        <w:bottom w:val="none" w:sz="0" w:space="0" w:color="auto"/>
        <w:right w:val="none" w:sz="0" w:space="0" w:color="auto"/>
      </w:divBdr>
      <w:divsChild>
        <w:div w:id="926233485">
          <w:marLeft w:val="0"/>
          <w:marRight w:val="0"/>
          <w:marTop w:val="0"/>
          <w:marBottom w:val="0"/>
          <w:divBdr>
            <w:top w:val="none" w:sz="0" w:space="0" w:color="auto"/>
            <w:left w:val="none" w:sz="0" w:space="0" w:color="auto"/>
            <w:bottom w:val="none" w:sz="0" w:space="0" w:color="auto"/>
            <w:right w:val="none" w:sz="0" w:space="0" w:color="auto"/>
          </w:divBdr>
        </w:div>
      </w:divsChild>
    </w:div>
    <w:div w:id="1374891632">
      <w:marLeft w:val="0"/>
      <w:marRight w:val="0"/>
      <w:marTop w:val="0"/>
      <w:marBottom w:val="0"/>
      <w:divBdr>
        <w:top w:val="none" w:sz="0" w:space="0" w:color="auto"/>
        <w:left w:val="none" w:sz="0" w:space="0" w:color="auto"/>
        <w:bottom w:val="none" w:sz="0" w:space="0" w:color="auto"/>
        <w:right w:val="none" w:sz="0" w:space="0" w:color="auto"/>
      </w:divBdr>
      <w:divsChild>
        <w:div w:id="277758973">
          <w:marLeft w:val="0"/>
          <w:marRight w:val="0"/>
          <w:marTop w:val="0"/>
          <w:marBottom w:val="0"/>
          <w:divBdr>
            <w:top w:val="none" w:sz="0" w:space="0" w:color="auto"/>
            <w:left w:val="none" w:sz="0" w:space="0" w:color="auto"/>
            <w:bottom w:val="none" w:sz="0" w:space="0" w:color="auto"/>
            <w:right w:val="none" w:sz="0" w:space="0" w:color="auto"/>
          </w:divBdr>
        </w:div>
      </w:divsChild>
    </w:div>
    <w:div w:id="1386834186">
      <w:bodyDiv w:val="1"/>
      <w:marLeft w:val="0"/>
      <w:marRight w:val="0"/>
      <w:marTop w:val="0"/>
      <w:marBottom w:val="0"/>
      <w:divBdr>
        <w:top w:val="none" w:sz="0" w:space="0" w:color="auto"/>
        <w:left w:val="none" w:sz="0" w:space="0" w:color="auto"/>
        <w:bottom w:val="none" w:sz="0" w:space="0" w:color="auto"/>
        <w:right w:val="none" w:sz="0" w:space="0" w:color="auto"/>
      </w:divBdr>
    </w:div>
    <w:div w:id="1401126623">
      <w:bodyDiv w:val="1"/>
      <w:marLeft w:val="0"/>
      <w:marRight w:val="0"/>
      <w:marTop w:val="0"/>
      <w:marBottom w:val="0"/>
      <w:divBdr>
        <w:top w:val="none" w:sz="0" w:space="0" w:color="auto"/>
        <w:left w:val="none" w:sz="0" w:space="0" w:color="auto"/>
        <w:bottom w:val="none" w:sz="0" w:space="0" w:color="auto"/>
        <w:right w:val="none" w:sz="0" w:space="0" w:color="auto"/>
      </w:divBdr>
    </w:div>
    <w:div w:id="1424838084">
      <w:bodyDiv w:val="1"/>
      <w:marLeft w:val="0"/>
      <w:marRight w:val="0"/>
      <w:marTop w:val="0"/>
      <w:marBottom w:val="0"/>
      <w:divBdr>
        <w:top w:val="none" w:sz="0" w:space="0" w:color="auto"/>
        <w:left w:val="none" w:sz="0" w:space="0" w:color="auto"/>
        <w:bottom w:val="none" w:sz="0" w:space="0" w:color="auto"/>
        <w:right w:val="none" w:sz="0" w:space="0" w:color="auto"/>
      </w:divBdr>
    </w:div>
    <w:div w:id="1444568971">
      <w:marLeft w:val="0"/>
      <w:marRight w:val="0"/>
      <w:marTop w:val="0"/>
      <w:marBottom w:val="0"/>
      <w:divBdr>
        <w:top w:val="none" w:sz="0" w:space="0" w:color="auto"/>
        <w:left w:val="none" w:sz="0" w:space="0" w:color="auto"/>
        <w:bottom w:val="none" w:sz="0" w:space="0" w:color="auto"/>
        <w:right w:val="none" w:sz="0" w:space="0" w:color="auto"/>
      </w:divBdr>
      <w:divsChild>
        <w:div w:id="1803577010">
          <w:marLeft w:val="0"/>
          <w:marRight w:val="0"/>
          <w:marTop w:val="0"/>
          <w:marBottom w:val="0"/>
          <w:divBdr>
            <w:top w:val="none" w:sz="0" w:space="0" w:color="auto"/>
            <w:left w:val="none" w:sz="0" w:space="0" w:color="auto"/>
            <w:bottom w:val="none" w:sz="0" w:space="0" w:color="auto"/>
            <w:right w:val="none" w:sz="0" w:space="0" w:color="auto"/>
          </w:divBdr>
        </w:div>
      </w:divsChild>
    </w:div>
    <w:div w:id="1469123583">
      <w:marLeft w:val="0"/>
      <w:marRight w:val="0"/>
      <w:marTop w:val="0"/>
      <w:marBottom w:val="0"/>
      <w:divBdr>
        <w:top w:val="none" w:sz="0" w:space="0" w:color="auto"/>
        <w:left w:val="none" w:sz="0" w:space="0" w:color="auto"/>
        <w:bottom w:val="none" w:sz="0" w:space="0" w:color="auto"/>
        <w:right w:val="none" w:sz="0" w:space="0" w:color="auto"/>
      </w:divBdr>
      <w:divsChild>
        <w:div w:id="171535773">
          <w:marLeft w:val="0"/>
          <w:marRight w:val="0"/>
          <w:marTop w:val="0"/>
          <w:marBottom w:val="0"/>
          <w:divBdr>
            <w:top w:val="none" w:sz="0" w:space="0" w:color="auto"/>
            <w:left w:val="none" w:sz="0" w:space="0" w:color="auto"/>
            <w:bottom w:val="none" w:sz="0" w:space="0" w:color="auto"/>
            <w:right w:val="none" w:sz="0" w:space="0" w:color="auto"/>
          </w:divBdr>
        </w:div>
      </w:divsChild>
    </w:div>
    <w:div w:id="1474520919">
      <w:bodyDiv w:val="1"/>
      <w:marLeft w:val="0"/>
      <w:marRight w:val="0"/>
      <w:marTop w:val="0"/>
      <w:marBottom w:val="0"/>
      <w:divBdr>
        <w:top w:val="none" w:sz="0" w:space="0" w:color="auto"/>
        <w:left w:val="none" w:sz="0" w:space="0" w:color="auto"/>
        <w:bottom w:val="none" w:sz="0" w:space="0" w:color="auto"/>
        <w:right w:val="none" w:sz="0" w:space="0" w:color="auto"/>
      </w:divBdr>
    </w:div>
    <w:div w:id="1510831536">
      <w:bodyDiv w:val="1"/>
      <w:marLeft w:val="0"/>
      <w:marRight w:val="0"/>
      <w:marTop w:val="0"/>
      <w:marBottom w:val="0"/>
      <w:divBdr>
        <w:top w:val="none" w:sz="0" w:space="0" w:color="auto"/>
        <w:left w:val="none" w:sz="0" w:space="0" w:color="auto"/>
        <w:bottom w:val="none" w:sz="0" w:space="0" w:color="auto"/>
        <w:right w:val="none" w:sz="0" w:space="0" w:color="auto"/>
      </w:divBdr>
    </w:div>
    <w:div w:id="1534342688">
      <w:bodyDiv w:val="1"/>
      <w:marLeft w:val="0"/>
      <w:marRight w:val="0"/>
      <w:marTop w:val="0"/>
      <w:marBottom w:val="0"/>
      <w:divBdr>
        <w:top w:val="none" w:sz="0" w:space="0" w:color="auto"/>
        <w:left w:val="none" w:sz="0" w:space="0" w:color="auto"/>
        <w:bottom w:val="none" w:sz="0" w:space="0" w:color="auto"/>
        <w:right w:val="none" w:sz="0" w:space="0" w:color="auto"/>
      </w:divBdr>
      <w:divsChild>
        <w:div w:id="93785937">
          <w:marLeft w:val="0"/>
          <w:marRight w:val="0"/>
          <w:marTop w:val="0"/>
          <w:marBottom w:val="0"/>
          <w:divBdr>
            <w:top w:val="none" w:sz="0" w:space="0" w:color="auto"/>
            <w:left w:val="none" w:sz="0" w:space="0" w:color="auto"/>
            <w:bottom w:val="none" w:sz="0" w:space="0" w:color="auto"/>
            <w:right w:val="none" w:sz="0" w:space="0" w:color="auto"/>
          </w:divBdr>
        </w:div>
        <w:div w:id="290718909">
          <w:marLeft w:val="0"/>
          <w:marRight w:val="0"/>
          <w:marTop w:val="0"/>
          <w:marBottom w:val="0"/>
          <w:divBdr>
            <w:top w:val="none" w:sz="0" w:space="0" w:color="auto"/>
            <w:left w:val="none" w:sz="0" w:space="0" w:color="auto"/>
            <w:bottom w:val="none" w:sz="0" w:space="0" w:color="auto"/>
            <w:right w:val="none" w:sz="0" w:space="0" w:color="auto"/>
          </w:divBdr>
        </w:div>
      </w:divsChild>
    </w:div>
    <w:div w:id="1542326372">
      <w:bodyDiv w:val="1"/>
      <w:marLeft w:val="0"/>
      <w:marRight w:val="0"/>
      <w:marTop w:val="0"/>
      <w:marBottom w:val="0"/>
      <w:divBdr>
        <w:top w:val="none" w:sz="0" w:space="0" w:color="auto"/>
        <w:left w:val="none" w:sz="0" w:space="0" w:color="auto"/>
        <w:bottom w:val="none" w:sz="0" w:space="0" w:color="auto"/>
        <w:right w:val="none" w:sz="0" w:space="0" w:color="auto"/>
      </w:divBdr>
    </w:div>
    <w:div w:id="1561596834">
      <w:marLeft w:val="0"/>
      <w:marRight w:val="0"/>
      <w:marTop w:val="0"/>
      <w:marBottom w:val="0"/>
      <w:divBdr>
        <w:top w:val="none" w:sz="0" w:space="0" w:color="auto"/>
        <w:left w:val="none" w:sz="0" w:space="0" w:color="auto"/>
        <w:bottom w:val="none" w:sz="0" w:space="0" w:color="auto"/>
        <w:right w:val="none" w:sz="0" w:space="0" w:color="auto"/>
      </w:divBdr>
      <w:divsChild>
        <w:div w:id="1748727615">
          <w:marLeft w:val="0"/>
          <w:marRight w:val="0"/>
          <w:marTop w:val="0"/>
          <w:marBottom w:val="0"/>
          <w:divBdr>
            <w:top w:val="none" w:sz="0" w:space="0" w:color="auto"/>
            <w:left w:val="none" w:sz="0" w:space="0" w:color="auto"/>
            <w:bottom w:val="none" w:sz="0" w:space="0" w:color="auto"/>
            <w:right w:val="none" w:sz="0" w:space="0" w:color="auto"/>
          </w:divBdr>
        </w:div>
      </w:divsChild>
    </w:div>
    <w:div w:id="1563636956">
      <w:bodyDiv w:val="1"/>
      <w:marLeft w:val="0"/>
      <w:marRight w:val="0"/>
      <w:marTop w:val="0"/>
      <w:marBottom w:val="0"/>
      <w:divBdr>
        <w:top w:val="none" w:sz="0" w:space="0" w:color="auto"/>
        <w:left w:val="none" w:sz="0" w:space="0" w:color="auto"/>
        <w:bottom w:val="none" w:sz="0" w:space="0" w:color="auto"/>
        <w:right w:val="none" w:sz="0" w:space="0" w:color="auto"/>
      </w:divBdr>
    </w:div>
    <w:div w:id="1570312458">
      <w:marLeft w:val="0"/>
      <w:marRight w:val="0"/>
      <w:marTop w:val="0"/>
      <w:marBottom w:val="0"/>
      <w:divBdr>
        <w:top w:val="none" w:sz="0" w:space="0" w:color="auto"/>
        <w:left w:val="none" w:sz="0" w:space="0" w:color="auto"/>
        <w:bottom w:val="none" w:sz="0" w:space="0" w:color="auto"/>
        <w:right w:val="none" w:sz="0" w:space="0" w:color="auto"/>
      </w:divBdr>
      <w:divsChild>
        <w:div w:id="100926236">
          <w:marLeft w:val="0"/>
          <w:marRight w:val="0"/>
          <w:marTop w:val="0"/>
          <w:marBottom w:val="0"/>
          <w:divBdr>
            <w:top w:val="none" w:sz="0" w:space="0" w:color="auto"/>
            <w:left w:val="none" w:sz="0" w:space="0" w:color="auto"/>
            <w:bottom w:val="none" w:sz="0" w:space="0" w:color="auto"/>
            <w:right w:val="none" w:sz="0" w:space="0" w:color="auto"/>
          </w:divBdr>
        </w:div>
      </w:divsChild>
    </w:div>
    <w:div w:id="1584408308">
      <w:marLeft w:val="0"/>
      <w:marRight w:val="0"/>
      <w:marTop w:val="0"/>
      <w:marBottom w:val="0"/>
      <w:divBdr>
        <w:top w:val="none" w:sz="0" w:space="0" w:color="auto"/>
        <w:left w:val="none" w:sz="0" w:space="0" w:color="auto"/>
        <w:bottom w:val="none" w:sz="0" w:space="0" w:color="auto"/>
        <w:right w:val="none" w:sz="0" w:space="0" w:color="auto"/>
      </w:divBdr>
      <w:divsChild>
        <w:div w:id="1815486055">
          <w:marLeft w:val="0"/>
          <w:marRight w:val="0"/>
          <w:marTop w:val="0"/>
          <w:marBottom w:val="0"/>
          <w:divBdr>
            <w:top w:val="none" w:sz="0" w:space="0" w:color="auto"/>
            <w:left w:val="none" w:sz="0" w:space="0" w:color="auto"/>
            <w:bottom w:val="none" w:sz="0" w:space="0" w:color="auto"/>
            <w:right w:val="none" w:sz="0" w:space="0" w:color="auto"/>
          </w:divBdr>
        </w:div>
      </w:divsChild>
    </w:div>
    <w:div w:id="1594783975">
      <w:marLeft w:val="0"/>
      <w:marRight w:val="0"/>
      <w:marTop w:val="0"/>
      <w:marBottom w:val="0"/>
      <w:divBdr>
        <w:top w:val="none" w:sz="0" w:space="0" w:color="auto"/>
        <w:left w:val="none" w:sz="0" w:space="0" w:color="auto"/>
        <w:bottom w:val="none" w:sz="0" w:space="0" w:color="auto"/>
        <w:right w:val="none" w:sz="0" w:space="0" w:color="auto"/>
      </w:divBdr>
      <w:divsChild>
        <w:div w:id="1705792207">
          <w:marLeft w:val="0"/>
          <w:marRight w:val="0"/>
          <w:marTop w:val="0"/>
          <w:marBottom w:val="0"/>
          <w:divBdr>
            <w:top w:val="none" w:sz="0" w:space="0" w:color="auto"/>
            <w:left w:val="none" w:sz="0" w:space="0" w:color="auto"/>
            <w:bottom w:val="none" w:sz="0" w:space="0" w:color="auto"/>
            <w:right w:val="none" w:sz="0" w:space="0" w:color="auto"/>
          </w:divBdr>
        </w:div>
      </w:divsChild>
    </w:div>
    <w:div w:id="1605309389">
      <w:marLeft w:val="0"/>
      <w:marRight w:val="0"/>
      <w:marTop w:val="0"/>
      <w:marBottom w:val="0"/>
      <w:divBdr>
        <w:top w:val="none" w:sz="0" w:space="0" w:color="auto"/>
        <w:left w:val="none" w:sz="0" w:space="0" w:color="auto"/>
        <w:bottom w:val="none" w:sz="0" w:space="0" w:color="auto"/>
        <w:right w:val="none" w:sz="0" w:space="0" w:color="auto"/>
      </w:divBdr>
      <w:divsChild>
        <w:div w:id="2024243191">
          <w:marLeft w:val="0"/>
          <w:marRight w:val="0"/>
          <w:marTop w:val="0"/>
          <w:marBottom w:val="0"/>
          <w:divBdr>
            <w:top w:val="none" w:sz="0" w:space="0" w:color="auto"/>
            <w:left w:val="none" w:sz="0" w:space="0" w:color="auto"/>
            <w:bottom w:val="none" w:sz="0" w:space="0" w:color="auto"/>
            <w:right w:val="none" w:sz="0" w:space="0" w:color="auto"/>
          </w:divBdr>
        </w:div>
      </w:divsChild>
    </w:div>
    <w:div w:id="1633364080">
      <w:marLeft w:val="0"/>
      <w:marRight w:val="0"/>
      <w:marTop w:val="0"/>
      <w:marBottom w:val="0"/>
      <w:divBdr>
        <w:top w:val="none" w:sz="0" w:space="0" w:color="auto"/>
        <w:left w:val="none" w:sz="0" w:space="0" w:color="auto"/>
        <w:bottom w:val="none" w:sz="0" w:space="0" w:color="auto"/>
        <w:right w:val="none" w:sz="0" w:space="0" w:color="auto"/>
      </w:divBdr>
      <w:divsChild>
        <w:div w:id="1372800291">
          <w:marLeft w:val="0"/>
          <w:marRight w:val="0"/>
          <w:marTop w:val="0"/>
          <w:marBottom w:val="0"/>
          <w:divBdr>
            <w:top w:val="none" w:sz="0" w:space="0" w:color="auto"/>
            <w:left w:val="none" w:sz="0" w:space="0" w:color="auto"/>
            <w:bottom w:val="none" w:sz="0" w:space="0" w:color="auto"/>
            <w:right w:val="none" w:sz="0" w:space="0" w:color="auto"/>
          </w:divBdr>
        </w:div>
      </w:divsChild>
    </w:div>
    <w:div w:id="1638335186">
      <w:bodyDiv w:val="1"/>
      <w:marLeft w:val="0"/>
      <w:marRight w:val="0"/>
      <w:marTop w:val="0"/>
      <w:marBottom w:val="0"/>
      <w:divBdr>
        <w:top w:val="none" w:sz="0" w:space="0" w:color="auto"/>
        <w:left w:val="none" w:sz="0" w:space="0" w:color="auto"/>
        <w:bottom w:val="none" w:sz="0" w:space="0" w:color="auto"/>
        <w:right w:val="none" w:sz="0" w:space="0" w:color="auto"/>
      </w:divBdr>
    </w:div>
    <w:div w:id="1642882045">
      <w:bodyDiv w:val="1"/>
      <w:marLeft w:val="0"/>
      <w:marRight w:val="0"/>
      <w:marTop w:val="0"/>
      <w:marBottom w:val="0"/>
      <w:divBdr>
        <w:top w:val="none" w:sz="0" w:space="0" w:color="auto"/>
        <w:left w:val="none" w:sz="0" w:space="0" w:color="auto"/>
        <w:bottom w:val="none" w:sz="0" w:space="0" w:color="auto"/>
        <w:right w:val="none" w:sz="0" w:space="0" w:color="auto"/>
      </w:divBdr>
    </w:div>
    <w:div w:id="1669752014">
      <w:bodyDiv w:val="1"/>
      <w:marLeft w:val="0"/>
      <w:marRight w:val="0"/>
      <w:marTop w:val="0"/>
      <w:marBottom w:val="0"/>
      <w:divBdr>
        <w:top w:val="none" w:sz="0" w:space="0" w:color="auto"/>
        <w:left w:val="none" w:sz="0" w:space="0" w:color="auto"/>
        <w:bottom w:val="none" w:sz="0" w:space="0" w:color="auto"/>
        <w:right w:val="none" w:sz="0" w:space="0" w:color="auto"/>
      </w:divBdr>
    </w:div>
    <w:div w:id="1685669104">
      <w:marLeft w:val="0"/>
      <w:marRight w:val="0"/>
      <w:marTop w:val="0"/>
      <w:marBottom w:val="0"/>
      <w:divBdr>
        <w:top w:val="none" w:sz="0" w:space="0" w:color="auto"/>
        <w:left w:val="none" w:sz="0" w:space="0" w:color="auto"/>
        <w:bottom w:val="none" w:sz="0" w:space="0" w:color="auto"/>
        <w:right w:val="none" w:sz="0" w:space="0" w:color="auto"/>
      </w:divBdr>
      <w:divsChild>
        <w:div w:id="2134396572">
          <w:marLeft w:val="0"/>
          <w:marRight w:val="0"/>
          <w:marTop w:val="0"/>
          <w:marBottom w:val="0"/>
          <w:divBdr>
            <w:top w:val="none" w:sz="0" w:space="0" w:color="auto"/>
            <w:left w:val="none" w:sz="0" w:space="0" w:color="auto"/>
            <w:bottom w:val="none" w:sz="0" w:space="0" w:color="auto"/>
            <w:right w:val="none" w:sz="0" w:space="0" w:color="auto"/>
          </w:divBdr>
        </w:div>
      </w:divsChild>
    </w:div>
    <w:div w:id="1690716222">
      <w:bodyDiv w:val="1"/>
      <w:marLeft w:val="0"/>
      <w:marRight w:val="0"/>
      <w:marTop w:val="0"/>
      <w:marBottom w:val="0"/>
      <w:divBdr>
        <w:top w:val="none" w:sz="0" w:space="0" w:color="auto"/>
        <w:left w:val="none" w:sz="0" w:space="0" w:color="auto"/>
        <w:bottom w:val="none" w:sz="0" w:space="0" w:color="auto"/>
        <w:right w:val="none" w:sz="0" w:space="0" w:color="auto"/>
      </w:divBdr>
    </w:div>
    <w:div w:id="1712411748">
      <w:marLeft w:val="0"/>
      <w:marRight w:val="0"/>
      <w:marTop w:val="0"/>
      <w:marBottom w:val="0"/>
      <w:divBdr>
        <w:top w:val="none" w:sz="0" w:space="0" w:color="auto"/>
        <w:left w:val="none" w:sz="0" w:space="0" w:color="auto"/>
        <w:bottom w:val="none" w:sz="0" w:space="0" w:color="auto"/>
        <w:right w:val="none" w:sz="0" w:space="0" w:color="auto"/>
      </w:divBdr>
      <w:divsChild>
        <w:div w:id="2038696900">
          <w:marLeft w:val="0"/>
          <w:marRight w:val="0"/>
          <w:marTop w:val="0"/>
          <w:marBottom w:val="0"/>
          <w:divBdr>
            <w:top w:val="none" w:sz="0" w:space="0" w:color="auto"/>
            <w:left w:val="none" w:sz="0" w:space="0" w:color="auto"/>
            <w:bottom w:val="none" w:sz="0" w:space="0" w:color="auto"/>
            <w:right w:val="none" w:sz="0" w:space="0" w:color="auto"/>
          </w:divBdr>
        </w:div>
      </w:divsChild>
    </w:div>
    <w:div w:id="1732149105">
      <w:bodyDiv w:val="1"/>
      <w:marLeft w:val="0"/>
      <w:marRight w:val="0"/>
      <w:marTop w:val="0"/>
      <w:marBottom w:val="0"/>
      <w:divBdr>
        <w:top w:val="none" w:sz="0" w:space="0" w:color="auto"/>
        <w:left w:val="none" w:sz="0" w:space="0" w:color="auto"/>
        <w:bottom w:val="none" w:sz="0" w:space="0" w:color="auto"/>
        <w:right w:val="none" w:sz="0" w:space="0" w:color="auto"/>
      </w:divBdr>
    </w:div>
    <w:div w:id="1734962673">
      <w:marLeft w:val="0"/>
      <w:marRight w:val="0"/>
      <w:marTop w:val="0"/>
      <w:marBottom w:val="0"/>
      <w:divBdr>
        <w:top w:val="none" w:sz="0" w:space="0" w:color="auto"/>
        <w:left w:val="none" w:sz="0" w:space="0" w:color="auto"/>
        <w:bottom w:val="none" w:sz="0" w:space="0" w:color="auto"/>
        <w:right w:val="none" w:sz="0" w:space="0" w:color="auto"/>
      </w:divBdr>
      <w:divsChild>
        <w:div w:id="253173715">
          <w:marLeft w:val="0"/>
          <w:marRight w:val="0"/>
          <w:marTop w:val="0"/>
          <w:marBottom w:val="0"/>
          <w:divBdr>
            <w:top w:val="none" w:sz="0" w:space="0" w:color="auto"/>
            <w:left w:val="none" w:sz="0" w:space="0" w:color="auto"/>
            <w:bottom w:val="none" w:sz="0" w:space="0" w:color="auto"/>
            <w:right w:val="none" w:sz="0" w:space="0" w:color="auto"/>
          </w:divBdr>
        </w:div>
      </w:divsChild>
    </w:div>
    <w:div w:id="1752433187">
      <w:marLeft w:val="0"/>
      <w:marRight w:val="0"/>
      <w:marTop w:val="0"/>
      <w:marBottom w:val="0"/>
      <w:divBdr>
        <w:top w:val="none" w:sz="0" w:space="0" w:color="auto"/>
        <w:left w:val="none" w:sz="0" w:space="0" w:color="auto"/>
        <w:bottom w:val="none" w:sz="0" w:space="0" w:color="auto"/>
        <w:right w:val="none" w:sz="0" w:space="0" w:color="auto"/>
      </w:divBdr>
      <w:divsChild>
        <w:div w:id="782455303">
          <w:marLeft w:val="0"/>
          <w:marRight w:val="0"/>
          <w:marTop w:val="0"/>
          <w:marBottom w:val="0"/>
          <w:divBdr>
            <w:top w:val="none" w:sz="0" w:space="0" w:color="auto"/>
            <w:left w:val="none" w:sz="0" w:space="0" w:color="auto"/>
            <w:bottom w:val="none" w:sz="0" w:space="0" w:color="auto"/>
            <w:right w:val="none" w:sz="0" w:space="0" w:color="auto"/>
          </w:divBdr>
        </w:div>
      </w:divsChild>
    </w:div>
    <w:div w:id="1779253080">
      <w:marLeft w:val="0"/>
      <w:marRight w:val="0"/>
      <w:marTop w:val="0"/>
      <w:marBottom w:val="0"/>
      <w:divBdr>
        <w:top w:val="none" w:sz="0" w:space="0" w:color="auto"/>
        <w:left w:val="none" w:sz="0" w:space="0" w:color="auto"/>
        <w:bottom w:val="none" w:sz="0" w:space="0" w:color="auto"/>
        <w:right w:val="none" w:sz="0" w:space="0" w:color="auto"/>
      </w:divBdr>
      <w:divsChild>
        <w:div w:id="1954091649">
          <w:marLeft w:val="0"/>
          <w:marRight w:val="0"/>
          <w:marTop w:val="0"/>
          <w:marBottom w:val="0"/>
          <w:divBdr>
            <w:top w:val="none" w:sz="0" w:space="0" w:color="auto"/>
            <w:left w:val="none" w:sz="0" w:space="0" w:color="auto"/>
            <w:bottom w:val="none" w:sz="0" w:space="0" w:color="auto"/>
            <w:right w:val="none" w:sz="0" w:space="0" w:color="auto"/>
          </w:divBdr>
        </w:div>
      </w:divsChild>
    </w:div>
    <w:div w:id="1803034094">
      <w:bodyDiv w:val="1"/>
      <w:marLeft w:val="0"/>
      <w:marRight w:val="0"/>
      <w:marTop w:val="0"/>
      <w:marBottom w:val="0"/>
      <w:divBdr>
        <w:top w:val="none" w:sz="0" w:space="0" w:color="auto"/>
        <w:left w:val="none" w:sz="0" w:space="0" w:color="auto"/>
        <w:bottom w:val="none" w:sz="0" w:space="0" w:color="auto"/>
        <w:right w:val="none" w:sz="0" w:space="0" w:color="auto"/>
      </w:divBdr>
    </w:div>
    <w:div w:id="1811677478">
      <w:bodyDiv w:val="1"/>
      <w:marLeft w:val="0"/>
      <w:marRight w:val="0"/>
      <w:marTop w:val="0"/>
      <w:marBottom w:val="0"/>
      <w:divBdr>
        <w:top w:val="none" w:sz="0" w:space="0" w:color="auto"/>
        <w:left w:val="none" w:sz="0" w:space="0" w:color="auto"/>
        <w:bottom w:val="none" w:sz="0" w:space="0" w:color="auto"/>
        <w:right w:val="none" w:sz="0" w:space="0" w:color="auto"/>
      </w:divBdr>
    </w:div>
    <w:div w:id="1815757388">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53060698">
      <w:marLeft w:val="0"/>
      <w:marRight w:val="0"/>
      <w:marTop w:val="0"/>
      <w:marBottom w:val="0"/>
      <w:divBdr>
        <w:top w:val="none" w:sz="0" w:space="0" w:color="auto"/>
        <w:left w:val="none" w:sz="0" w:space="0" w:color="auto"/>
        <w:bottom w:val="none" w:sz="0" w:space="0" w:color="auto"/>
        <w:right w:val="none" w:sz="0" w:space="0" w:color="auto"/>
      </w:divBdr>
      <w:divsChild>
        <w:div w:id="2020425985">
          <w:marLeft w:val="0"/>
          <w:marRight w:val="0"/>
          <w:marTop w:val="0"/>
          <w:marBottom w:val="0"/>
          <w:divBdr>
            <w:top w:val="none" w:sz="0" w:space="0" w:color="auto"/>
            <w:left w:val="none" w:sz="0" w:space="0" w:color="auto"/>
            <w:bottom w:val="none" w:sz="0" w:space="0" w:color="auto"/>
            <w:right w:val="none" w:sz="0" w:space="0" w:color="auto"/>
          </w:divBdr>
        </w:div>
      </w:divsChild>
    </w:div>
    <w:div w:id="1861314839">
      <w:marLeft w:val="0"/>
      <w:marRight w:val="0"/>
      <w:marTop w:val="0"/>
      <w:marBottom w:val="0"/>
      <w:divBdr>
        <w:top w:val="none" w:sz="0" w:space="0" w:color="auto"/>
        <w:left w:val="none" w:sz="0" w:space="0" w:color="auto"/>
        <w:bottom w:val="none" w:sz="0" w:space="0" w:color="auto"/>
        <w:right w:val="none" w:sz="0" w:space="0" w:color="auto"/>
      </w:divBdr>
      <w:divsChild>
        <w:div w:id="970942257">
          <w:marLeft w:val="0"/>
          <w:marRight w:val="0"/>
          <w:marTop w:val="0"/>
          <w:marBottom w:val="0"/>
          <w:divBdr>
            <w:top w:val="none" w:sz="0" w:space="0" w:color="auto"/>
            <w:left w:val="none" w:sz="0" w:space="0" w:color="auto"/>
            <w:bottom w:val="none" w:sz="0" w:space="0" w:color="auto"/>
            <w:right w:val="none" w:sz="0" w:space="0" w:color="auto"/>
          </w:divBdr>
        </w:div>
      </w:divsChild>
    </w:div>
    <w:div w:id="1881701359">
      <w:bodyDiv w:val="1"/>
      <w:marLeft w:val="0"/>
      <w:marRight w:val="0"/>
      <w:marTop w:val="0"/>
      <w:marBottom w:val="0"/>
      <w:divBdr>
        <w:top w:val="none" w:sz="0" w:space="0" w:color="auto"/>
        <w:left w:val="none" w:sz="0" w:space="0" w:color="auto"/>
        <w:bottom w:val="none" w:sz="0" w:space="0" w:color="auto"/>
        <w:right w:val="none" w:sz="0" w:space="0" w:color="auto"/>
      </w:divBdr>
    </w:div>
    <w:div w:id="1913156508">
      <w:marLeft w:val="0"/>
      <w:marRight w:val="0"/>
      <w:marTop w:val="0"/>
      <w:marBottom w:val="0"/>
      <w:divBdr>
        <w:top w:val="none" w:sz="0" w:space="0" w:color="auto"/>
        <w:left w:val="none" w:sz="0" w:space="0" w:color="auto"/>
        <w:bottom w:val="none" w:sz="0" w:space="0" w:color="auto"/>
        <w:right w:val="none" w:sz="0" w:space="0" w:color="auto"/>
      </w:divBdr>
      <w:divsChild>
        <w:div w:id="456946525">
          <w:marLeft w:val="0"/>
          <w:marRight w:val="0"/>
          <w:marTop w:val="0"/>
          <w:marBottom w:val="0"/>
          <w:divBdr>
            <w:top w:val="none" w:sz="0" w:space="0" w:color="auto"/>
            <w:left w:val="none" w:sz="0" w:space="0" w:color="auto"/>
            <w:bottom w:val="none" w:sz="0" w:space="0" w:color="auto"/>
            <w:right w:val="none" w:sz="0" w:space="0" w:color="auto"/>
          </w:divBdr>
        </w:div>
      </w:divsChild>
    </w:div>
    <w:div w:id="1919711349">
      <w:bodyDiv w:val="1"/>
      <w:marLeft w:val="0"/>
      <w:marRight w:val="0"/>
      <w:marTop w:val="0"/>
      <w:marBottom w:val="0"/>
      <w:divBdr>
        <w:top w:val="none" w:sz="0" w:space="0" w:color="auto"/>
        <w:left w:val="none" w:sz="0" w:space="0" w:color="auto"/>
        <w:bottom w:val="none" w:sz="0" w:space="0" w:color="auto"/>
        <w:right w:val="none" w:sz="0" w:space="0" w:color="auto"/>
      </w:divBdr>
    </w:div>
    <w:div w:id="1927226143">
      <w:bodyDiv w:val="1"/>
      <w:marLeft w:val="0"/>
      <w:marRight w:val="0"/>
      <w:marTop w:val="0"/>
      <w:marBottom w:val="0"/>
      <w:divBdr>
        <w:top w:val="none" w:sz="0" w:space="0" w:color="auto"/>
        <w:left w:val="none" w:sz="0" w:space="0" w:color="auto"/>
        <w:bottom w:val="none" w:sz="0" w:space="0" w:color="auto"/>
        <w:right w:val="none" w:sz="0" w:space="0" w:color="auto"/>
      </w:divBdr>
    </w:div>
    <w:div w:id="1955794864">
      <w:bodyDiv w:val="1"/>
      <w:marLeft w:val="0"/>
      <w:marRight w:val="0"/>
      <w:marTop w:val="0"/>
      <w:marBottom w:val="0"/>
      <w:divBdr>
        <w:top w:val="none" w:sz="0" w:space="0" w:color="auto"/>
        <w:left w:val="none" w:sz="0" w:space="0" w:color="auto"/>
        <w:bottom w:val="none" w:sz="0" w:space="0" w:color="auto"/>
        <w:right w:val="none" w:sz="0" w:space="0" w:color="auto"/>
      </w:divBdr>
      <w:divsChild>
        <w:div w:id="217521831">
          <w:marLeft w:val="360"/>
          <w:marRight w:val="0"/>
          <w:marTop w:val="0"/>
          <w:marBottom w:val="120"/>
          <w:divBdr>
            <w:top w:val="none" w:sz="0" w:space="0" w:color="auto"/>
            <w:left w:val="none" w:sz="0" w:space="0" w:color="auto"/>
            <w:bottom w:val="none" w:sz="0" w:space="0" w:color="auto"/>
            <w:right w:val="none" w:sz="0" w:space="0" w:color="auto"/>
          </w:divBdr>
        </w:div>
      </w:divsChild>
    </w:div>
    <w:div w:id="1968119216">
      <w:bodyDiv w:val="1"/>
      <w:marLeft w:val="0"/>
      <w:marRight w:val="0"/>
      <w:marTop w:val="0"/>
      <w:marBottom w:val="0"/>
      <w:divBdr>
        <w:top w:val="none" w:sz="0" w:space="0" w:color="auto"/>
        <w:left w:val="none" w:sz="0" w:space="0" w:color="auto"/>
        <w:bottom w:val="none" w:sz="0" w:space="0" w:color="auto"/>
        <w:right w:val="none" w:sz="0" w:space="0" w:color="auto"/>
      </w:divBdr>
    </w:div>
    <w:div w:id="1984919830">
      <w:bodyDiv w:val="1"/>
      <w:marLeft w:val="0"/>
      <w:marRight w:val="0"/>
      <w:marTop w:val="0"/>
      <w:marBottom w:val="0"/>
      <w:divBdr>
        <w:top w:val="none" w:sz="0" w:space="0" w:color="auto"/>
        <w:left w:val="none" w:sz="0" w:space="0" w:color="auto"/>
        <w:bottom w:val="none" w:sz="0" w:space="0" w:color="auto"/>
        <w:right w:val="none" w:sz="0" w:space="0" w:color="auto"/>
      </w:divBdr>
    </w:div>
    <w:div w:id="2019306572">
      <w:marLeft w:val="0"/>
      <w:marRight w:val="0"/>
      <w:marTop w:val="0"/>
      <w:marBottom w:val="0"/>
      <w:divBdr>
        <w:top w:val="none" w:sz="0" w:space="0" w:color="auto"/>
        <w:left w:val="none" w:sz="0" w:space="0" w:color="auto"/>
        <w:bottom w:val="none" w:sz="0" w:space="0" w:color="auto"/>
        <w:right w:val="none" w:sz="0" w:space="0" w:color="auto"/>
      </w:divBdr>
      <w:divsChild>
        <w:div w:id="110439734">
          <w:marLeft w:val="0"/>
          <w:marRight w:val="0"/>
          <w:marTop w:val="0"/>
          <w:marBottom w:val="0"/>
          <w:divBdr>
            <w:top w:val="none" w:sz="0" w:space="0" w:color="auto"/>
            <w:left w:val="none" w:sz="0" w:space="0" w:color="auto"/>
            <w:bottom w:val="none" w:sz="0" w:space="0" w:color="auto"/>
            <w:right w:val="none" w:sz="0" w:space="0" w:color="auto"/>
          </w:divBdr>
        </w:div>
      </w:divsChild>
    </w:div>
    <w:div w:id="2019504208">
      <w:bodyDiv w:val="1"/>
      <w:marLeft w:val="0"/>
      <w:marRight w:val="0"/>
      <w:marTop w:val="0"/>
      <w:marBottom w:val="0"/>
      <w:divBdr>
        <w:top w:val="none" w:sz="0" w:space="0" w:color="auto"/>
        <w:left w:val="none" w:sz="0" w:space="0" w:color="auto"/>
        <w:bottom w:val="none" w:sz="0" w:space="0" w:color="auto"/>
        <w:right w:val="none" w:sz="0" w:space="0" w:color="auto"/>
      </w:divBdr>
    </w:div>
    <w:div w:id="2021152570">
      <w:marLeft w:val="0"/>
      <w:marRight w:val="0"/>
      <w:marTop w:val="0"/>
      <w:marBottom w:val="0"/>
      <w:divBdr>
        <w:top w:val="none" w:sz="0" w:space="0" w:color="auto"/>
        <w:left w:val="none" w:sz="0" w:space="0" w:color="auto"/>
        <w:bottom w:val="none" w:sz="0" w:space="0" w:color="auto"/>
        <w:right w:val="none" w:sz="0" w:space="0" w:color="auto"/>
      </w:divBdr>
      <w:divsChild>
        <w:div w:id="394403241">
          <w:marLeft w:val="0"/>
          <w:marRight w:val="0"/>
          <w:marTop w:val="0"/>
          <w:marBottom w:val="0"/>
          <w:divBdr>
            <w:top w:val="none" w:sz="0" w:space="0" w:color="auto"/>
            <w:left w:val="none" w:sz="0" w:space="0" w:color="auto"/>
            <w:bottom w:val="none" w:sz="0" w:space="0" w:color="auto"/>
            <w:right w:val="none" w:sz="0" w:space="0" w:color="auto"/>
          </w:divBdr>
        </w:div>
      </w:divsChild>
    </w:div>
    <w:div w:id="2045252092">
      <w:marLeft w:val="0"/>
      <w:marRight w:val="0"/>
      <w:marTop w:val="0"/>
      <w:marBottom w:val="0"/>
      <w:divBdr>
        <w:top w:val="none" w:sz="0" w:space="0" w:color="auto"/>
        <w:left w:val="none" w:sz="0" w:space="0" w:color="auto"/>
        <w:bottom w:val="none" w:sz="0" w:space="0" w:color="auto"/>
        <w:right w:val="none" w:sz="0" w:space="0" w:color="auto"/>
      </w:divBdr>
      <w:divsChild>
        <w:div w:id="899098960">
          <w:marLeft w:val="0"/>
          <w:marRight w:val="0"/>
          <w:marTop w:val="0"/>
          <w:marBottom w:val="0"/>
          <w:divBdr>
            <w:top w:val="none" w:sz="0" w:space="0" w:color="auto"/>
            <w:left w:val="none" w:sz="0" w:space="0" w:color="auto"/>
            <w:bottom w:val="none" w:sz="0" w:space="0" w:color="auto"/>
            <w:right w:val="none" w:sz="0" w:space="0" w:color="auto"/>
          </w:divBdr>
        </w:div>
      </w:divsChild>
    </w:div>
    <w:div w:id="2067757974">
      <w:marLeft w:val="0"/>
      <w:marRight w:val="0"/>
      <w:marTop w:val="0"/>
      <w:marBottom w:val="0"/>
      <w:divBdr>
        <w:top w:val="none" w:sz="0" w:space="0" w:color="auto"/>
        <w:left w:val="none" w:sz="0" w:space="0" w:color="auto"/>
        <w:bottom w:val="none" w:sz="0" w:space="0" w:color="auto"/>
        <w:right w:val="none" w:sz="0" w:space="0" w:color="auto"/>
      </w:divBdr>
      <w:divsChild>
        <w:div w:id="1695422866">
          <w:marLeft w:val="0"/>
          <w:marRight w:val="0"/>
          <w:marTop w:val="0"/>
          <w:marBottom w:val="0"/>
          <w:divBdr>
            <w:top w:val="none" w:sz="0" w:space="0" w:color="auto"/>
            <w:left w:val="none" w:sz="0" w:space="0" w:color="auto"/>
            <w:bottom w:val="none" w:sz="0" w:space="0" w:color="auto"/>
            <w:right w:val="none" w:sz="0" w:space="0" w:color="auto"/>
          </w:divBdr>
        </w:div>
      </w:divsChild>
    </w:div>
    <w:div w:id="2071226903">
      <w:bodyDiv w:val="1"/>
      <w:marLeft w:val="0"/>
      <w:marRight w:val="0"/>
      <w:marTop w:val="0"/>
      <w:marBottom w:val="0"/>
      <w:divBdr>
        <w:top w:val="none" w:sz="0" w:space="0" w:color="auto"/>
        <w:left w:val="none" w:sz="0" w:space="0" w:color="auto"/>
        <w:bottom w:val="none" w:sz="0" w:space="0" w:color="auto"/>
        <w:right w:val="none" w:sz="0" w:space="0" w:color="auto"/>
      </w:divBdr>
    </w:div>
    <w:div w:id="2079936204">
      <w:bodyDiv w:val="1"/>
      <w:marLeft w:val="0"/>
      <w:marRight w:val="0"/>
      <w:marTop w:val="0"/>
      <w:marBottom w:val="0"/>
      <w:divBdr>
        <w:top w:val="none" w:sz="0" w:space="0" w:color="auto"/>
        <w:left w:val="none" w:sz="0" w:space="0" w:color="auto"/>
        <w:bottom w:val="none" w:sz="0" w:space="0" w:color="auto"/>
        <w:right w:val="none" w:sz="0" w:space="0" w:color="auto"/>
      </w:divBdr>
      <w:divsChild>
        <w:div w:id="669060249">
          <w:marLeft w:val="0"/>
          <w:marRight w:val="0"/>
          <w:marTop w:val="0"/>
          <w:marBottom w:val="0"/>
          <w:divBdr>
            <w:top w:val="none" w:sz="0" w:space="0" w:color="auto"/>
            <w:left w:val="none" w:sz="0" w:space="0" w:color="auto"/>
            <w:bottom w:val="none" w:sz="0" w:space="0" w:color="auto"/>
            <w:right w:val="none" w:sz="0" w:space="0" w:color="auto"/>
          </w:divBdr>
        </w:div>
        <w:div w:id="1192576645">
          <w:marLeft w:val="0"/>
          <w:marRight w:val="0"/>
          <w:marTop w:val="0"/>
          <w:marBottom w:val="0"/>
          <w:divBdr>
            <w:top w:val="none" w:sz="0" w:space="0" w:color="auto"/>
            <w:left w:val="none" w:sz="0" w:space="0" w:color="auto"/>
            <w:bottom w:val="none" w:sz="0" w:space="0" w:color="auto"/>
            <w:right w:val="none" w:sz="0" w:space="0" w:color="auto"/>
          </w:divBdr>
        </w:div>
      </w:divsChild>
    </w:div>
    <w:div w:id="2105808881">
      <w:marLeft w:val="0"/>
      <w:marRight w:val="0"/>
      <w:marTop w:val="0"/>
      <w:marBottom w:val="0"/>
      <w:divBdr>
        <w:top w:val="none" w:sz="0" w:space="0" w:color="auto"/>
        <w:left w:val="none" w:sz="0" w:space="0" w:color="auto"/>
        <w:bottom w:val="none" w:sz="0" w:space="0" w:color="auto"/>
        <w:right w:val="none" w:sz="0" w:space="0" w:color="auto"/>
      </w:divBdr>
      <w:divsChild>
        <w:div w:id="378820824">
          <w:marLeft w:val="0"/>
          <w:marRight w:val="0"/>
          <w:marTop w:val="0"/>
          <w:marBottom w:val="0"/>
          <w:divBdr>
            <w:top w:val="none" w:sz="0" w:space="0" w:color="auto"/>
            <w:left w:val="none" w:sz="0" w:space="0" w:color="auto"/>
            <w:bottom w:val="none" w:sz="0" w:space="0" w:color="auto"/>
            <w:right w:val="none" w:sz="0" w:space="0" w:color="auto"/>
          </w:divBdr>
        </w:div>
      </w:divsChild>
    </w:div>
    <w:div w:id="2116553169">
      <w:marLeft w:val="0"/>
      <w:marRight w:val="0"/>
      <w:marTop w:val="0"/>
      <w:marBottom w:val="0"/>
      <w:divBdr>
        <w:top w:val="none" w:sz="0" w:space="0" w:color="auto"/>
        <w:left w:val="none" w:sz="0" w:space="0" w:color="auto"/>
        <w:bottom w:val="none" w:sz="0" w:space="0" w:color="auto"/>
        <w:right w:val="none" w:sz="0" w:space="0" w:color="auto"/>
      </w:divBdr>
      <w:divsChild>
        <w:div w:id="580215344">
          <w:marLeft w:val="0"/>
          <w:marRight w:val="0"/>
          <w:marTop w:val="0"/>
          <w:marBottom w:val="0"/>
          <w:divBdr>
            <w:top w:val="none" w:sz="0" w:space="0" w:color="auto"/>
            <w:left w:val="none" w:sz="0" w:space="0" w:color="auto"/>
            <w:bottom w:val="none" w:sz="0" w:space="0" w:color="auto"/>
            <w:right w:val="none" w:sz="0" w:space="0" w:color="auto"/>
          </w:divBdr>
        </w:div>
      </w:divsChild>
    </w:div>
    <w:div w:id="2119526675">
      <w:marLeft w:val="0"/>
      <w:marRight w:val="0"/>
      <w:marTop w:val="0"/>
      <w:marBottom w:val="0"/>
      <w:divBdr>
        <w:top w:val="none" w:sz="0" w:space="0" w:color="auto"/>
        <w:left w:val="none" w:sz="0" w:space="0" w:color="auto"/>
        <w:bottom w:val="none" w:sz="0" w:space="0" w:color="auto"/>
        <w:right w:val="none" w:sz="0" w:space="0" w:color="auto"/>
      </w:divBdr>
      <w:divsChild>
        <w:div w:id="108669821">
          <w:marLeft w:val="0"/>
          <w:marRight w:val="0"/>
          <w:marTop w:val="0"/>
          <w:marBottom w:val="0"/>
          <w:divBdr>
            <w:top w:val="none" w:sz="0" w:space="0" w:color="auto"/>
            <w:left w:val="none" w:sz="0" w:space="0" w:color="auto"/>
            <w:bottom w:val="none" w:sz="0" w:space="0" w:color="auto"/>
            <w:right w:val="none" w:sz="0" w:space="0" w:color="auto"/>
          </w:divBdr>
        </w:div>
      </w:divsChild>
    </w:div>
    <w:div w:id="2137942507">
      <w:marLeft w:val="0"/>
      <w:marRight w:val="0"/>
      <w:marTop w:val="0"/>
      <w:marBottom w:val="0"/>
      <w:divBdr>
        <w:top w:val="none" w:sz="0" w:space="0" w:color="auto"/>
        <w:left w:val="none" w:sz="0" w:space="0" w:color="auto"/>
        <w:bottom w:val="none" w:sz="0" w:space="0" w:color="auto"/>
        <w:right w:val="none" w:sz="0" w:space="0" w:color="auto"/>
      </w:divBdr>
      <w:divsChild>
        <w:div w:id="680668607">
          <w:marLeft w:val="0"/>
          <w:marRight w:val="0"/>
          <w:marTop w:val="0"/>
          <w:marBottom w:val="0"/>
          <w:divBdr>
            <w:top w:val="none" w:sz="0" w:space="0" w:color="auto"/>
            <w:left w:val="none" w:sz="0" w:space="0" w:color="auto"/>
            <w:bottom w:val="none" w:sz="0" w:space="0" w:color="auto"/>
            <w:right w:val="none" w:sz="0" w:space="0" w:color="auto"/>
          </w:divBdr>
        </w:div>
      </w:divsChild>
    </w:div>
    <w:div w:id="213798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uoraaotearoa.sharepoint.com/sites/2000062/Emissions%20Management/ERP%202024-25/ERP%202025%20Planning/Crown%20Entities%20Act%202004%20No%20115%20(as%20at%2001%20July%202024),%20Public%20Act%20Contents%20&#8211;%20New%20Zealand%20Legislation" TargetMode="External"/><Relationship Id="rId18" Type="http://schemas.openxmlformats.org/officeDocument/2006/relationships/image" Target="media/image7.svg"/><Relationship Id="rId26" Type="http://schemas.openxmlformats.org/officeDocument/2006/relationships/image" Target="media/image12.jpeg"/><Relationship Id="rId39" Type="http://schemas.openxmlformats.org/officeDocument/2006/relationships/image" Target="media/image14.jpg"/><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image" Target="media/image17.jpeg"/><Relationship Id="rId47" Type="http://schemas.openxmlformats.org/officeDocument/2006/relationships/footer" Target="footer5.xml"/><Relationship Id="rId50" Type="http://schemas.openxmlformats.org/officeDocument/2006/relationships/header" Target="header9.xml"/><Relationship Id="rId55"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header" Target="header1.xml"/><Relationship Id="rId32" Type="http://schemas.microsoft.com/office/2014/relationships/chartEx" Target="charts/chartEx3.xml"/><Relationship Id="rId37" Type="http://schemas.openxmlformats.org/officeDocument/2006/relationships/header" Target="header4.xml"/><Relationship Id="rId40" Type="http://schemas.openxmlformats.org/officeDocument/2006/relationships/image" Target="media/image16.png"/><Relationship Id="rId45" Type="http://schemas.openxmlformats.org/officeDocument/2006/relationships/footer" Target="footer4.xml"/><Relationship Id="rId53" Type="http://schemas.openxmlformats.org/officeDocument/2006/relationships/footer" Target="footer7.xml"/><Relationship Id="rId58" Type="http://schemas.openxmlformats.org/officeDocument/2006/relationships/footer" Target="footer9.xml"/><Relationship Id="rId5" Type="http://schemas.openxmlformats.org/officeDocument/2006/relationships/webSettings" Target="webSettings.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ewhatuora.govt.nz/publications/greenhouse-gas-inventory-report-2022-23" TargetMode="External"/><Relationship Id="rId22" Type="http://schemas.openxmlformats.org/officeDocument/2006/relationships/image" Target="media/image9.svg"/><Relationship Id="rId27" Type="http://schemas.openxmlformats.org/officeDocument/2006/relationships/chart" Target="charts/chart3.xml"/><Relationship Id="rId30" Type="http://schemas.microsoft.com/office/2014/relationships/chartEx" Target="charts/chartEx2.xml"/><Relationship Id="rId35" Type="http://schemas.openxmlformats.org/officeDocument/2006/relationships/header" Target="header3.xml"/><Relationship Id="rId43" Type="http://schemas.openxmlformats.org/officeDocument/2006/relationships/header" Target="header5.xml"/><Relationship Id="rId48" Type="http://schemas.openxmlformats.org/officeDocument/2006/relationships/image" Target="media/image19.jpg"/><Relationship Id="rId56" Type="http://schemas.openxmlformats.org/officeDocument/2006/relationships/footer" Target="footer8.xml"/><Relationship Id="rId8" Type="http://schemas.openxmlformats.org/officeDocument/2006/relationships/image" Target="media/image1.jp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image" Target="media/image15.png"/><Relationship Id="rId38" Type="http://schemas.openxmlformats.org/officeDocument/2006/relationships/footer" Target="footer3.xml"/><Relationship Id="rId46" Type="http://schemas.openxmlformats.org/officeDocument/2006/relationships/header" Target="header7.xml"/><Relationship Id="rId59"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hyperlink" Target="https://innovation.health.nz/projects/piki-te-ora-remote-patient-monitoring/"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ewhatuora.govt.nz/publications/greenhouse-gas-emissions-inventory-report-fy202324" TargetMode="External"/><Relationship Id="rId23" Type="http://schemas.openxmlformats.org/officeDocument/2006/relationships/image" Target="media/image10.png"/><Relationship Id="rId28" Type="http://schemas.microsoft.com/office/2014/relationships/chartEx" Target="charts/chartEx1.xml"/><Relationship Id="rId36" Type="http://schemas.openxmlformats.org/officeDocument/2006/relationships/footer" Target="footer2.xml"/><Relationship Id="rId49" Type="http://schemas.openxmlformats.org/officeDocument/2006/relationships/header" Target="header8.xml"/><Relationship Id="rId57" Type="http://schemas.openxmlformats.org/officeDocument/2006/relationships/header" Target="header13.xml"/><Relationship Id="rId10" Type="http://schemas.openxmlformats.org/officeDocument/2006/relationships/hyperlink" Target="https://www.tewhatuora.govt.nz/" TargetMode="External"/><Relationship Id="rId31" Type="http://schemas.openxmlformats.org/officeDocument/2006/relationships/image" Target="media/image14.png"/><Relationship Id="rId44" Type="http://schemas.openxmlformats.org/officeDocument/2006/relationships/header" Target="header6.xml"/><Relationship Id="rId52" Type="http://schemas.openxmlformats.org/officeDocument/2006/relationships/header" Target="header10.xml"/><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ranzco.edu/news/ranzco-position-statement-on-diabetic-retinopathy-and-diabetic-retinal-screening-in-new-zealand/" TargetMode="External"/><Relationship Id="rId2" Type="http://schemas.openxmlformats.org/officeDocument/2006/relationships/hyperlink" Target="https://youtu.be/Y_B2k1SaH5Y" TargetMode="External"/><Relationship Id="rId1" Type="http://schemas.openxmlformats.org/officeDocument/2006/relationships/hyperlink" Target="https://environment.govt.nz/assets/publications/climate-change/Carbon-Neutral-Government-Programme-A-guide-to-managing-your-greenhouse-gas-emissions.pdf" TargetMode="External"/><Relationship Id="rId5" Type="http://schemas.openxmlformats.org/officeDocument/2006/relationships/hyperlink" Target="https://www.ehinz.ac.nz/indicators/transport/about-transport-and-health/" TargetMode="External"/><Relationship Id="rId4" Type="http://schemas.openxmlformats.org/officeDocument/2006/relationships/hyperlink" Target="https://global.noharm.org/sites/default/files/documents-files/5961/HealthCaresClimateFootprint_0923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12.xml.rels><?xml version="1.0" encoding="UTF-8" standalone="yes"?>
<Relationships xmlns="http://schemas.openxmlformats.org/package/2006/relationships"><Relationship Id="rId1" Type="http://schemas.openxmlformats.org/officeDocument/2006/relationships/image" Target="media/image11.jpg"/></Relationships>
</file>

<file path=word/_rels/header13.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6.xml.rels><?xml version="1.0" encoding="UTF-8" standalone="yes"?>
<Relationships xmlns="http://schemas.openxmlformats.org/package/2006/relationships"><Relationship Id="rId1" Type="http://schemas.openxmlformats.org/officeDocument/2006/relationships/image" Target="media/image18.jpg"/></Relationships>
</file>

<file path=word/_rels/header9.xml.rels><?xml version="1.0" encoding="UTF-8" standalone="yes"?>
<Relationships xmlns="http://schemas.openxmlformats.org/package/2006/relationships"><Relationship Id="rId1"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https://hauoraaotearoa.sharepoint.com/sites/2000062/Emissions%20Management/ERP%202024-25/240809%20ERP%20modelling%20V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auoraaotearoa.sharepoint.com/sites/2000062/Emissions%20Management/ERP%202024-25/240809%20MASTER%20ERP%20modelling%20V0.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https://hauoraaotearoa.sharepoint.com/sites/2000062/Emissions%20Management/ERP%202024-25/240809%20MASTER%20ERP%20modelling%20V0.2.xlsx" TargetMode="External"/><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https://hauoraaotearoa.sharepoint.com/sites/2000062/Emissions%20Management/ERP%202024-25/240809%20ERP%20modelling%20V0.2.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https://hauoraaotearoa.sharepoint.com/sites/2000062/Emissions%20Management/ERP%202024-25/240809%20ERP%20modelling%20V0.2.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https://hauoraaotearoa.sharepoint.com/sites/2000062/Emissions%20Management/ERP%202024-25/240809%20ERP%20modelling%20V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59376679907126"/>
          <c:y val="2.4528932991414874E-2"/>
          <c:w val="0.42963041634736515"/>
          <c:h val="0.92645779908573977"/>
        </c:manualLayout>
      </c:layout>
      <c:barChart>
        <c:barDir val="col"/>
        <c:grouping val="stacked"/>
        <c:varyColors val="0"/>
        <c:ser>
          <c:idx val="0"/>
          <c:order val="1"/>
          <c:tx>
            <c:strRef>
              <c:f>CHARTS!$CD$30</c:f>
              <c:strCache>
                <c:ptCount val="1"/>
                <c:pt idx="0">
                  <c:v>Energy, Water and Waste - Category 1</c:v>
                </c:pt>
              </c:strCache>
            </c:strRef>
          </c:tx>
          <c:spPr>
            <a:solidFill>
              <a:schemeClr val="accent1"/>
            </a:solidFill>
            <a:ln>
              <a:noFill/>
            </a:ln>
            <a:effectLst/>
          </c:spPr>
          <c:invertIfNegative val="0"/>
          <c:cat>
            <c:strRef>
              <c:f>CHARTS!$CE$29:$CF$29</c:f>
              <c:strCache>
                <c:ptCount val="2"/>
                <c:pt idx="0">
                  <c:v>FY22/23</c:v>
                </c:pt>
                <c:pt idx="1">
                  <c:v>FY23/24</c:v>
                </c:pt>
              </c:strCache>
            </c:strRef>
          </c:cat>
          <c:val>
            <c:numRef>
              <c:f>CHARTS!$CE$30:$CF$30</c:f>
              <c:numCache>
                <c:formatCode>_-* #,##0_-;\-* #,##0_-;_-* "-"??_-;_-@_-</c:formatCode>
                <c:ptCount val="2"/>
                <c:pt idx="0" formatCode="General">
                  <c:v>89161</c:v>
                </c:pt>
                <c:pt idx="1">
                  <c:v>61498</c:v>
                </c:pt>
              </c:numCache>
            </c:numRef>
          </c:val>
          <c:extLst>
            <c:ext xmlns:c16="http://schemas.microsoft.com/office/drawing/2014/chart" uri="{C3380CC4-5D6E-409C-BE32-E72D297353CC}">
              <c16:uniqueId val="{00000000-1FCE-4C5D-84D6-78BAFF9E19B4}"/>
            </c:ext>
          </c:extLst>
        </c:ser>
        <c:ser>
          <c:idx val="1"/>
          <c:order val="2"/>
          <c:tx>
            <c:strRef>
              <c:f>CHARTS!$CD$31</c:f>
              <c:strCache>
                <c:ptCount val="1"/>
                <c:pt idx="0">
                  <c:v>Energy, Water and Waste - Category 2</c:v>
                </c:pt>
              </c:strCache>
            </c:strRef>
          </c:tx>
          <c:spPr>
            <a:solidFill>
              <a:schemeClr val="accent5">
                <a:lumMod val="25000"/>
                <a:lumOff val="75000"/>
              </a:schemeClr>
            </a:solidFill>
            <a:ln>
              <a:noFill/>
            </a:ln>
            <a:effectLst/>
          </c:spPr>
          <c:invertIfNegative val="0"/>
          <c:cat>
            <c:strRef>
              <c:f>CHARTS!$CE$29:$CF$29</c:f>
              <c:strCache>
                <c:ptCount val="2"/>
                <c:pt idx="0">
                  <c:v>FY22/23</c:v>
                </c:pt>
                <c:pt idx="1">
                  <c:v>FY23/24</c:v>
                </c:pt>
              </c:strCache>
            </c:strRef>
          </c:cat>
          <c:val>
            <c:numRef>
              <c:f>CHARTS!$CE$31:$CF$31</c:f>
              <c:numCache>
                <c:formatCode>General</c:formatCode>
                <c:ptCount val="2"/>
                <c:pt idx="0">
                  <c:v>27367</c:v>
                </c:pt>
                <c:pt idx="1">
                  <c:v>26418</c:v>
                </c:pt>
              </c:numCache>
            </c:numRef>
          </c:val>
          <c:extLst>
            <c:ext xmlns:c16="http://schemas.microsoft.com/office/drawing/2014/chart" uri="{C3380CC4-5D6E-409C-BE32-E72D297353CC}">
              <c16:uniqueId val="{00000001-1FCE-4C5D-84D6-78BAFF9E19B4}"/>
            </c:ext>
          </c:extLst>
        </c:ser>
        <c:ser>
          <c:idx val="2"/>
          <c:order val="3"/>
          <c:tx>
            <c:strRef>
              <c:f>CHARTS!$CD$32</c:f>
              <c:strCache>
                <c:ptCount val="1"/>
                <c:pt idx="0">
                  <c:v>Energy, Water and Waste - Category 4</c:v>
                </c:pt>
              </c:strCache>
            </c:strRef>
          </c:tx>
          <c:spPr>
            <a:solidFill>
              <a:schemeClr val="accent3"/>
            </a:solidFill>
            <a:ln>
              <a:noFill/>
            </a:ln>
            <a:effectLst/>
          </c:spPr>
          <c:invertIfNegative val="0"/>
          <c:cat>
            <c:strRef>
              <c:f>CHARTS!$CE$29:$CF$29</c:f>
              <c:strCache>
                <c:ptCount val="2"/>
                <c:pt idx="0">
                  <c:v>FY22/23</c:v>
                </c:pt>
                <c:pt idx="1">
                  <c:v>FY23/24</c:v>
                </c:pt>
              </c:strCache>
            </c:strRef>
          </c:cat>
          <c:val>
            <c:numRef>
              <c:f>CHARTS!$CE$32:$CF$32</c:f>
              <c:numCache>
                <c:formatCode>General</c:formatCode>
                <c:ptCount val="2"/>
                <c:pt idx="0">
                  <c:v>16041</c:v>
                </c:pt>
                <c:pt idx="1">
                  <c:v>14939</c:v>
                </c:pt>
              </c:numCache>
            </c:numRef>
          </c:val>
          <c:extLst>
            <c:ext xmlns:c16="http://schemas.microsoft.com/office/drawing/2014/chart" uri="{C3380CC4-5D6E-409C-BE32-E72D297353CC}">
              <c16:uniqueId val="{00000002-1FCE-4C5D-84D6-78BAFF9E19B4}"/>
            </c:ext>
          </c:extLst>
        </c:ser>
        <c:ser>
          <c:idx val="3"/>
          <c:order val="4"/>
          <c:tx>
            <c:strRef>
              <c:f>CHARTS!$CD$33</c:f>
              <c:strCache>
                <c:ptCount val="1"/>
                <c:pt idx="0">
                  <c:v>Fleet - Category 1</c:v>
                </c:pt>
              </c:strCache>
            </c:strRef>
          </c:tx>
          <c:spPr>
            <a:solidFill>
              <a:schemeClr val="accent4"/>
            </a:solidFill>
            <a:ln>
              <a:noFill/>
            </a:ln>
            <a:effectLst/>
          </c:spPr>
          <c:invertIfNegative val="0"/>
          <c:cat>
            <c:strRef>
              <c:f>CHARTS!$CE$29:$CF$29</c:f>
              <c:strCache>
                <c:ptCount val="2"/>
                <c:pt idx="0">
                  <c:v>FY22/23</c:v>
                </c:pt>
                <c:pt idx="1">
                  <c:v>FY23/24</c:v>
                </c:pt>
              </c:strCache>
            </c:strRef>
          </c:cat>
          <c:val>
            <c:numRef>
              <c:f>CHARTS!$CE$33:$CF$33</c:f>
              <c:numCache>
                <c:formatCode>General</c:formatCode>
                <c:ptCount val="2"/>
                <c:pt idx="0">
                  <c:v>9213</c:v>
                </c:pt>
                <c:pt idx="1">
                  <c:v>8493</c:v>
                </c:pt>
              </c:numCache>
            </c:numRef>
          </c:val>
          <c:extLst>
            <c:ext xmlns:c16="http://schemas.microsoft.com/office/drawing/2014/chart" uri="{C3380CC4-5D6E-409C-BE32-E72D297353CC}">
              <c16:uniqueId val="{00000003-1FCE-4C5D-84D6-78BAFF9E19B4}"/>
            </c:ext>
          </c:extLst>
        </c:ser>
        <c:ser>
          <c:idx val="4"/>
          <c:order val="5"/>
          <c:tx>
            <c:strRef>
              <c:f>CHARTS!$CD$34</c:f>
              <c:strCache>
                <c:ptCount val="1"/>
                <c:pt idx="0">
                  <c:v>Funded Patient Transport and Business Travel - Category 3</c:v>
                </c:pt>
              </c:strCache>
            </c:strRef>
          </c:tx>
          <c:spPr>
            <a:solidFill>
              <a:schemeClr val="bg2">
                <a:lumMod val="75000"/>
              </a:schemeClr>
            </a:solidFill>
            <a:ln>
              <a:noFill/>
            </a:ln>
            <a:effectLst/>
          </c:spPr>
          <c:invertIfNegative val="0"/>
          <c:cat>
            <c:strRef>
              <c:f>CHARTS!$CE$29:$CF$29</c:f>
              <c:strCache>
                <c:ptCount val="2"/>
                <c:pt idx="0">
                  <c:v>FY22/23</c:v>
                </c:pt>
                <c:pt idx="1">
                  <c:v>FY23/24</c:v>
                </c:pt>
              </c:strCache>
            </c:strRef>
          </c:cat>
          <c:val>
            <c:numRef>
              <c:f>CHARTS!$CE$34:$CF$34</c:f>
              <c:numCache>
                <c:formatCode>General</c:formatCode>
                <c:ptCount val="2"/>
                <c:pt idx="0">
                  <c:v>79219</c:v>
                </c:pt>
                <c:pt idx="1">
                  <c:v>82249</c:v>
                </c:pt>
              </c:numCache>
            </c:numRef>
          </c:val>
          <c:extLst>
            <c:ext xmlns:c16="http://schemas.microsoft.com/office/drawing/2014/chart" uri="{C3380CC4-5D6E-409C-BE32-E72D297353CC}">
              <c16:uniqueId val="{00000004-1FCE-4C5D-84D6-78BAFF9E19B4}"/>
            </c:ext>
          </c:extLst>
        </c:ser>
        <c:ser>
          <c:idx val="5"/>
          <c:order val="6"/>
          <c:tx>
            <c:strRef>
              <c:f>CHARTS!$CD$35</c:f>
              <c:strCache>
                <c:ptCount val="1"/>
                <c:pt idx="0">
                  <c:v>Medical Gases and Vapours - Category 1</c:v>
                </c:pt>
              </c:strCache>
            </c:strRef>
          </c:tx>
          <c:spPr>
            <a:solidFill>
              <a:schemeClr val="accent6"/>
            </a:solidFill>
            <a:ln>
              <a:noFill/>
            </a:ln>
            <a:effectLst/>
          </c:spPr>
          <c:invertIfNegative val="0"/>
          <c:cat>
            <c:strRef>
              <c:f>CHARTS!$CE$29:$CF$29</c:f>
              <c:strCache>
                <c:ptCount val="2"/>
                <c:pt idx="0">
                  <c:v>FY22/23</c:v>
                </c:pt>
                <c:pt idx="1">
                  <c:v>FY23/24</c:v>
                </c:pt>
              </c:strCache>
            </c:strRef>
          </c:cat>
          <c:val>
            <c:numRef>
              <c:f>CHARTS!$CE$35:$CF$35</c:f>
              <c:numCache>
                <c:formatCode>General</c:formatCode>
                <c:ptCount val="2"/>
                <c:pt idx="0">
                  <c:v>15696</c:v>
                </c:pt>
                <c:pt idx="1">
                  <c:v>13678</c:v>
                </c:pt>
              </c:numCache>
            </c:numRef>
          </c:val>
          <c:extLst>
            <c:ext xmlns:c16="http://schemas.microsoft.com/office/drawing/2014/chart" uri="{C3380CC4-5D6E-409C-BE32-E72D297353CC}">
              <c16:uniqueId val="{00000005-1FCE-4C5D-84D6-78BAFF9E19B4}"/>
            </c:ext>
          </c:extLst>
        </c:ser>
        <c:dLbls>
          <c:showLegendKey val="0"/>
          <c:showVal val="0"/>
          <c:showCatName val="0"/>
          <c:showSerName val="0"/>
          <c:showPercent val="0"/>
          <c:showBubbleSize val="0"/>
        </c:dLbls>
        <c:gapWidth val="75"/>
        <c:overlap val="100"/>
        <c:axId val="7527552"/>
        <c:axId val="7526592"/>
        <c:extLst>
          <c:ext xmlns:c15="http://schemas.microsoft.com/office/drawing/2012/chart" uri="{02D57815-91ED-43cb-92C2-25804820EDAC}">
            <c15:filteredBarSeries>
              <c15:ser>
                <c:idx val="6"/>
                <c:order val="0"/>
                <c:tx>
                  <c:strRef>
                    <c:extLst>
                      <c:ext uri="{02D57815-91ED-43cb-92C2-25804820EDAC}">
                        <c15:formulaRef>
                          <c15:sqref>CHARTS!$CD$36</c15:sqref>
                        </c15:formulaRef>
                      </c:ext>
                    </c:extLst>
                    <c:strCache>
                      <c:ptCount val="1"/>
                      <c:pt idx="0">
                        <c:v>Source no longer measured</c:v>
                      </c:pt>
                    </c:strCache>
                  </c:strRef>
                </c:tx>
                <c:spPr>
                  <a:solidFill>
                    <a:schemeClr val="accent1">
                      <a:lumMod val="60000"/>
                    </a:schemeClr>
                  </a:solidFill>
                  <a:ln>
                    <a:noFill/>
                  </a:ln>
                  <a:effectLst/>
                </c:spPr>
                <c:invertIfNegative val="0"/>
                <c:cat>
                  <c:strRef>
                    <c:extLst>
                      <c:ext uri="{02D57815-91ED-43cb-92C2-25804820EDAC}">
                        <c15:formulaRef>
                          <c15:sqref>CHARTS!$CE$29:$CF$29</c15:sqref>
                        </c15:formulaRef>
                      </c:ext>
                    </c:extLst>
                    <c:strCache>
                      <c:ptCount val="2"/>
                      <c:pt idx="0">
                        <c:v>FY22/23</c:v>
                      </c:pt>
                      <c:pt idx="1">
                        <c:v>FY23/24</c:v>
                      </c:pt>
                    </c:strCache>
                  </c:strRef>
                </c:cat>
                <c:val>
                  <c:numRef>
                    <c:extLst>
                      <c:ext uri="{02D57815-91ED-43cb-92C2-25804820EDAC}">
                        <c15:formulaRef>
                          <c15:sqref>CHARTS!$CE$36:$CF$36</c15:sqref>
                        </c15:formulaRef>
                      </c:ext>
                    </c:extLst>
                    <c:numCache>
                      <c:formatCode>General</c:formatCode>
                      <c:ptCount val="2"/>
                      <c:pt idx="0" formatCode="#,##0">
                        <c:v>1125</c:v>
                      </c:pt>
                      <c:pt idx="1">
                        <c:v>0</c:v>
                      </c:pt>
                    </c:numCache>
                  </c:numRef>
                </c:val>
                <c:extLst>
                  <c:ext xmlns:c16="http://schemas.microsoft.com/office/drawing/2014/chart" uri="{C3380CC4-5D6E-409C-BE32-E72D297353CC}">
                    <c16:uniqueId val="{00000006-1FCE-4C5D-84D6-78BAFF9E19B4}"/>
                  </c:ext>
                </c:extLst>
              </c15:ser>
            </c15:filteredBarSeries>
          </c:ext>
        </c:extLst>
      </c:barChart>
      <c:catAx>
        <c:axId val="752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6592"/>
        <c:crosses val="autoZero"/>
        <c:auto val="1"/>
        <c:lblAlgn val="ctr"/>
        <c:lblOffset val="100"/>
        <c:noMultiLvlLbl val="0"/>
      </c:catAx>
      <c:valAx>
        <c:axId val="752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Emissions (tCO</a:t>
                </a:r>
                <a:r>
                  <a:rPr lang="en-US" baseline="-25000"/>
                  <a:t>2</a:t>
                </a:r>
                <a:r>
                  <a:rPr lang="en-US"/>
                  <a:t>e)</a:t>
                </a:r>
              </a:p>
            </c:rich>
          </c:tx>
          <c:layout>
            <c:manualLayout>
              <c:xMode val="edge"/>
              <c:yMode val="edge"/>
              <c:x val="1.0375596596804317E-2"/>
              <c:y val="0.3803916526064709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27552"/>
        <c:crosses val="autoZero"/>
        <c:crossBetween val="between"/>
      </c:valAx>
      <c:spPr>
        <a:noFill/>
        <a:ln>
          <a:noFill/>
        </a:ln>
        <a:effectLst/>
      </c:spPr>
    </c:plotArea>
    <c:legend>
      <c:legendPos val="r"/>
      <c:layout>
        <c:manualLayout>
          <c:xMode val="edge"/>
          <c:yMode val="edge"/>
          <c:x val="0.5588485865496321"/>
          <c:y val="0.32674277015406522"/>
          <c:w val="0.4287006975342027"/>
          <c:h val="0.43516478671823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14276820917202"/>
          <c:y val="2.0831702112002356E-2"/>
          <c:w val="0.54757562339362065"/>
          <c:h val="0.88339465744352053"/>
        </c:manualLayout>
      </c:layout>
      <c:barChart>
        <c:barDir val="col"/>
        <c:grouping val="stacked"/>
        <c:varyColors val="0"/>
        <c:ser>
          <c:idx val="0"/>
          <c:order val="0"/>
          <c:tx>
            <c:strRef>
              <c:f>'Target level of amb'!$B$7</c:f>
              <c:strCache>
                <c:ptCount val="1"/>
                <c:pt idx="0">
                  <c:v>Category 1</c:v>
                </c:pt>
              </c:strCache>
            </c:strRef>
          </c:tx>
          <c:spPr>
            <a:solidFill>
              <a:schemeClr val="accent1"/>
            </a:solidFill>
            <a:ln>
              <a:noFill/>
            </a:ln>
            <a:effectLst/>
          </c:spPr>
          <c:invertIfNegative val="0"/>
          <c:cat>
            <c:strRef>
              <c:f>'Target level of amb'!$C$6:$L$6</c:f>
              <c:strCache>
                <c:ptCount val="10"/>
                <c:pt idx="0">
                  <c:v>FY12/13</c:v>
                </c:pt>
                <c:pt idx="2">
                  <c:v>FY22/23</c:v>
                </c:pt>
                <c:pt idx="3">
                  <c:v>FY23/24</c:v>
                </c:pt>
                <c:pt idx="4">
                  <c:v>FY24/25</c:v>
                </c:pt>
                <c:pt idx="5">
                  <c:v>FY25/26</c:v>
                </c:pt>
                <c:pt idx="6">
                  <c:v>FY26/27</c:v>
                </c:pt>
                <c:pt idx="7">
                  <c:v>FY27/28</c:v>
                </c:pt>
                <c:pt idx="8">
                  <c:v>FY28/29</c:v>
                </c:pt>
                <c:pt idx="9">
                  <c:v>FY29/30</c:v>
                </c:pt>
              </c:strCache>
            </c:strRef>
          </c:cat>
          <c:val>
            <c:numRef>
              <c:f>'Target level of amb'!$C$7:$L$7</c:f>
              <c:numCache>
                <c:formatCode>General</c:formatCode>
                <c:ptCount val="10"/>
                <c:pt idx="2" formatCode="_-* #,##0_-;\-* #,##0_-;_-* &quot;-&quot;??_-;_-@_-">
                  <c:v>102413</c:v>
                </c:pt>
                <c:pt idx="3" formatCode="_-* #,##0_-;\-* #,##0_-;_-* &quot;-&quot;??_-;_-@_-">
                  <c:v>83087</c:v>
                </c:pt>
              </c:numCache>
            </c:numRef>
          </c:val>
          <c:extLst>
            <c:ext xmlns:c16="http://schemas.microsoft.com/office/drawing/2014/chart" uri="{C3380CC4-5D6E-409C-BE32-E72D297353CC}">
              <c16:uniqueId val="{00000000-ACED-4711-824A-FB90201F1185}"/>
            </c:ext>
          </c:extLst>
        </c:ser>
        <c:ser>
          <c:idx val="1"/>
          <c:order val="1"/>
          <c:tx>
            <c:strRef>
              <c:f>'Target level of amb'!$B$8</c:f>
              <c:strCache>
                <c:ptCount val="1"/>
                <c:pt idx="0">
                  <c:v>Category 2</c:v>
                </c:pt>
              </c:strCache>
            </c:strRef>
          </c:tx>
          <c:spPr>
            <a:solidFill>
              <a:schemeClr val="accent2"/>
            </a:solidFill>
            <a:ln>
              <a:noFill/>
            </a:ln>
            <a:effectLst/>
          </c:spPr>
          <c:invertIfNegative val="0"/>
          <c:cat>
            <c:strRef>
              <c:f>'Target level of amb'!$C$6:$L$6</c:f>
              <c:strCache>
                <c:ptCount val="10"/>
                <c:pt idx="0">
                  <c:v>FY12/13</c:v>
                </c:pt>
                <c:pt idx="2">
                  <c:v>FY22/23</c:v>
                </c:pt>
                <c:pt idx="3">
                  <c:v>FY23/24</c:v>
                </c:pt>
                <c:pt idx="4">
                  <c:v>FY24/25</c:v>
                </c:pt>
                <c:pt idx="5">
                  <c:v>FY25/26</c:v>
                </c:pt>
                <c:pt idx="6">
                  <c:v>FY26/27</c:v>
                </c:pt>
                <c:pt idx="7">
                  <c:v>FY27/28</c:v>
                </c:pt>
                <c:pt idx="8">
                  <c:v>FY28/29</c:v>
                </c:pt>
                <c:pt idx="9">
                  <c:v>FY29/30</c:v>
                </c:pt>
              </c:strCache>
            </c:strRef>
          </c:cat>
          <c:val>
            <c:numRef>
              <c:f>'Target level of amb'!$C$8:$L$8</c:f>
              <c:numCache>
                <c:formatCode>General</c:formatCode>
                <c:ptCount val="10"/>
                <c:pt idx="2" formatCode="_-* #,##0_-;\-* #,##0_-;_-* &quot;-&quot;??_-;_-@_-">
                  <c:v>41705</c:v>
                </c:pt>
                <c:pt idx="3" formatCode="_-* #,##0_-;\-* #,##0_-;_-* &quot;-&quot;??_-;_-@_-">
                  <c:v>27015</c:v>
                </c:pt>
              </c:numCache>
            </c:numRef>
          </c:val>
          <c:extLst>
            <c:ext xmlns:c16="http://schemas.microsoft.com/office/drawing/2014/chart" uri="{C3380CC4-5D6E-409C-BE32-E72D297353CC}">
              <c16:uniqueId val="{00000001-ACED-4711-824A-FB90201F1185}"/>
            </c:ext>
          </c:extLst>
        </c:ser>
        <c:ser>
          <c:idx val="2"/>
          <c:order val="2"/>
          <c:tx>
            <c:strRef>
              <c:f>'Target level of amb'!$B$9</c:f>
              <c:strCache>
                <c:ptCount val="1"/>
                <c:pt idx="0">
                  <c:v>Category 3</c:v>
                </c:pt>
              </c:strCache>
            </c:strRef>
          </c:tx>
          <c:spPr>
            <a:solidFill>
              <a:schemeClr val="accent3"/>
            </a:solidFill>
            <a:ln>
              <a:noFill/>
            </a:ln>
            <a:effectLst/>
          </c:spPr>
          <c:invertIfNegative val="0"/>
          <c:cat>
            <c:strRef>
              <c:f>'Target level of amb'!$C$6:$L$6</c:f>
              <c:strCache>
                <c:ptCount val="10"/>
                <c:pt idx="0">
                  <c:v>FY12/13</c:v>
                </c:pt>
                <c:pt idx="2">
                  <c:v>FY22/23</c:v>
                </c:pt>
                <c:pt idx="3">
                  <c:v>FY23/24</c:v>
                </c:pt>
                <c:pt idx="4">
                  <c:v>FY24/25</c:v>
                </c:pt>
                <c:pt idx="5">
                  <c:v>FY25/26</c:v>
                </c:pt>
                <c:pt idx="6">
                  <c:v>FY26/27</c:v>
                </c:pt>
                <c:pt idx="7">
                  <c:v>FY27/28</c:v>
                </c:pt>
                <c:pt idx="8">
                  <c:v>FY28/29</c:v>
                </c:pt>
                <c:pt idx="9">
                  <c:v>FY29/30</c:v>
                </c:pt>
              </c:strCache>
            </c:strRef>
          </c:cat>
          <c:val>
            <c:numRef>
              <c:f>'Target level of amb'!$C$9:$L$9</c:f>
              <c:numCache>
                <c:formatCode>General</c:formatCode>
                <c:ptCount val="10"/>
                <c:pt idx="2" formatCode="_-* #,##0_-;\-* #,##0_-;_-* &quot;-&quot;??_-;_-@_-">
                  <c:v>80343</c:v>
                </c:pt>
                <c:pt idx="3" formatCode="_-* #,##0_-;\-* #,##0_-;_-* &quot;-&quot;??_-;_-@_-">
                  <c:v>80695.59</c:v>
                </c:pt>
              </c:numCache>
            </c:numRef>
          </c:val>
          <c:extLst>
            <c:ext xmlns:c16="http://schemas.microsoft.com/office/drawing/2014/chart" uri="{C3380CC4-5D6E-409C-BE32-E72D297353CC}">
              <c16:uniqueId val="{00000002-ACED-4711-824A-FB90201F1185}"/>
            </c:ext>
          </c:extLst>
        </c:ser>
        <c:ser>
          <c:idx val="3"/>
          <c:order val="3"/>
          <c:tx>
            <c:strRef>
              <c:f>'Target level of amb'!$B$10</c:f>
              <c:strCache>
                <c:ptCount val="1"/>
                <c:pt idx="0">
                  <c:v>Category 4</c:v>
                </c:pt>
              </c:strCache>
            </c:strRef>
          </c:tx>
          <c:spPr>
            <a:solidFill>
              <a:schemeClr val="accent4"/>
            </a:solidFill>
            <a:ln>
              <a:noFill/>
            </a:ln>
            <a:effectLst/>
          </c:spPr>
          <c:invertIfNegative val="0"/>
          <c:cat>
            <c:strRef>
              <c:f>'Target level of amb'!$C$6:$L$6</c:f>
              <c:strCache>
                <c:ptCount val="10"/>
                <c:pt idx="0">
                  <c:v>FY12/13</c:v>
                </c:pt>
                <c:pt idx="2">
                  <c:v>FY22/23</c:v>
                </c:pt>
                <c:pt idx="3">
                  <c:v>FY23/24</c:v>
                </c:pt>
                <c:pt idx="4">
                  <c:v>FY24/25</c:v>
                </c:pt>
                <c:pt idx="5">
                  <c:v>FY25/26</c:v>
                </c:pt>
                <c:pt idx="6">
                  <c:v>FY26/27</c:v>
                </c:pt>
                <c:pt idx="7">
                  <c:v>FY27/28</c:v>
                </c:pt>
                <c:pt idx="8">
                  <c:v>FY28/29</c:v>
                </c:pt>
                <c:pt idx="9">
                  <c:v>FY29/30</c:v>
                </c:pt>
              </c:strCache>
            </c:strRef>
          </c:cat>
          <c:val>
            <c:numRef>
              <c:f>'Target level of amb'!$C$10:$L$10</c:f>
              <c:numCache>
                <c:formatCode>General</c:formatCode>
                <c:ptCount val="10"/>
                <c:pt idx="2" formatCode="_-* #,##0_-;\-* #,##0_-;_-* &quot;-&quot;??_-;_-@_-">
                  <c:v>13361</c:v>
                </c:pt>
                <c:pt idx="3" formatCode="_-* #,##0_-;\-* #,##0_-;_-* &quot;-&quot;??_-;_-@_-">
                  <c:v>14478</c:v>
                </c:pt>
              </c:numCache>
            </c:numRef>
          </c:val>
          <c:extLst>
            <c:ext xmlns:c16="http://schemas.microsoft.com/office/drawing/2014/chart" uri="{C3380CC4-5D6E-409C-BE32-E72D297353CC}">
              <c16:uniqueId val="{00000003-ACED-4711-824A-FB90201F1185}"/>
            </c:ext>
          </c:extLst>
        </c:ser>
        <c:ser>
          <c:idx val="4"/>
          <c:order val="4"/>
          <c:tx>
            <c:strRef>
              <c:f>'Target level of amb'!$B$11</c:f>
              <c:strCache>
                <c:ptCount val="1"/>
                <c:pt idx="0">
                  <c:v>FY12/13 estimated emissions</c:v>
                </c:pt>
              </c:strCache>
            </c:strRef>
          </c:tx>
          <c:spPr>
            <a:pattFill prst="wdUpDiag">
              <a:fgClr>
                <a:schemeClr val="tx1">
                  <a:lumMod val="65000"/>
                  <a:lumOff val="35000"/>
                </a:schemeClr>
              </a:fgClr>
              <a:bgClr>
                <a:schemeClr val="bg1"/>
              </a:bgClr>
            </a:pattFill>
            <a:ln>
              <a:noFill/>
            </a:ln>
            <a:effectLst/>
          </c:spPr>
          <c:invertIfNegative val="0"/>
          <c:cat>
            <c:strRef>
              <c:f>'Target level of amb'!$C$6:$L$6</c:f>
              <c:strCache>
                <c:ptCount val="10"/>
                <c:pt idx="0">
                  <c:v>FY12/13</c:v>
                </c:pt>
                <c:pt idx="2">
                  <c:v>FY22/23</c:v>
                </c:pt>
                <c:pt idx="3">
                  <c:v>FY23/24</c:v>
                </c:pt>
                <c:pt idx="4">
                  <c:v>FY24/25</c:v>
                </c:pt>
                <c:pt idx="5">
                  <c:v>FY25/26</c:v>
                </c:pt>
                <c:pt idx="6">
                  <c:v>FY26/27</c:v>
                </c:pt>
                <c:pt idx="7">
                  <c:v>FY27/28</c:v>
                </c:pt>
                <c:pt idx="8">
                  <c:v>FY28/29</c:v>
                </c:pt>
                <c:pt idx="9">
                  <c:v>FY29/30</c:v>
                </c:pt>
              </c:strCache>
            </c:strRef>
          </c:cat>
          <c:val>
            <c:numRef>
              <c:f>'Target level of amb'!$C$11:$L$11</c:f>
              <c:numCache>
                <c:formatCode>General</c:formatCode>
                <c:ptCount val="10"/>
                <c:pt idx="0" formatCode="_-* #,##0_-;\-* #,##0_-;_-* &quot;-&quot;??_-;_-@_-">
                  <c:v>274572</c:v>
                </c:pt>
              </c:numCache>
            </c:numRef>
          </c:val>
          <c:extLst>
            <c:ext xmlns:c16="http://schemas.microsoft.com/office/drawing/2014/chart" uri="{C3380CC4-5D6E-409C-BE32-E72D297353CC}">
              <c16:uniqueId val="{00000004-ACED-4711-824A-FB90201F1185}"/>
            </c:ext>
          </c:extLst>
        </c:ser>
        <c:dLbls>
          <c:showLegendKey val="0"/>
          <c:showVal val="0"/>
          <c:showCatName val="0"/>
          <c:showSerName val="0"/>
          <c:showPercent val="0"/>
          <c:showBubbleSize val="0"/>
        </c:dLbls>
        <c:gapWidth val="75"/>
        <c:overlap val="100"/>
        <c:axId val="261372495"/>
        <c:axId val="261399375"/>
      </c:barChart>
      <c:lineChart>
        <c:grouping val="standard"/>
        <c:varyColors val="0"/>
        <c:ser>
          <c:idx val="6"/>
          <c:order val="5"/>
          <c:tx>
            <c:strRef>
              <c:f>'Target level of amb'!$B$13</c:f>
              <c:strCache>
                <c:ptCount val="1"/>
                <c:pt idx="0">
                  <c:v>FY29/30 CNGP science based level of ambition  </c:v>
                </c:pt>
              </c:strCache>
            </c:strRef>
          </c:tx>
          <c:spPr>
            <a:ln w="28575" cap="rnd" cmpd="sng">
              <a:solidFill>
                <a:schemeClr val="accent1">
                  <a:lumMod val="60000"/>
                </a:schemeClr>
              </a:solidFill>
              <a:prstDash val="dash"/>
              <a:round/>
            </a:ln>
            <a:effectLst/>
          </c:spPr>
          <c:marker>
            <c:symbol val="circle"/>
            <c:size val="10"/>
            <c:spPr>
              <a:solidFill>
                <a:schemeClr val="tx2"/>
              </a:solidFill>
              <a:ln w="9525">
                <a:solidFill>
                  <a:schemeClr val="tx2"/>
                </a:solidFill>
              </a:ln>
              <a:effectLst/>
            </c:spPr>
          </c:marker>
          <c:dPt>
            <c:idx val="2"/>
            <c:marker>
              <c:symbol val="none"/>
            </c:marker>
            <c:bubble3D val="0"/>
            <c:extLst>
              <c:ext xmlns:c16="http://schemas.microsoft.com/office/drawing/2014/chart" uri="{C3380CC4-5D6E-409C-BE32-E72D297353CC}">
                <c16:uniqueId val="{00000005-ACED-4711-824A-FB90201F1185}"/>
              </c:ext>
            </c:extLst>
          </c:dPt>
          <c:dPt>
            <c:idx val="4"/>
            <c:marker>
              <c:symbol val="circle"/>
              <c:size val="10"/>
              <c:spPr>
                <a:solidFill>
                  <a:schemeClr val="tx2"/>
                </a:solidFill>
                <a:ln w="9525">
                  <a:solidFill>
                    <a:schemeClr val="tx2"/>
                  </a:solidFill>
                </a:ln>
                <a:effectLst/>
              </c:spPr>
            </c:marker>
            <c:bubble3D val="0"/>
            <c:extLst>
              <c:ext xmlns:c16="http://schemas.microsoft.com/office/drawing/2014/chart" uri="{C3380CC4-5D6E-409C-BE32-E72D297353CC}">
                <c16:uniqueId val="{00000006-ACED-4711-824A-FB90201F1185}"/>
              </c:ext>
            </c:extLst>
          </c:dPt>
          <c:dPt>
            <c:idx val="9"/>
            <c:marker>
              <c:symbol val="circle"/>
              <c:size val="10"/>
              <c:spPr>
                <a:solidFill>
                  <a:schemeClr val="tx2"/>
                </a:solidFill>
                <a:ln w="9525">
                  <a:solidFill>
                    <a:schemeClr val="tx2"/>
                  </a:solidFill>
                </a:ln>
                <a:effectLst/>
              </c:spPr>
            </c:marker>
            <c:bubble3D val="0"/>
            <c:extLst>
              <c:ext xmlns:c16="http://schemas.microsoft.com/office/drawing/2014/chart" uri="{C3380CC4-5D6E-409C-BE32-E72D297353CC}">
                <c16:uniqueId val="{00000007-ACED-4711-824A-FB90201F1185}"/>
              </c:ext>
            </c:extLst>
          </c:dPt>
          <c:cat>
            <c:strRef>
              <c:f>'Target level of amb'!$C$6:$L$6</c:f>
              <c:strCache>
                <c:ptCount val="10"/>
                <c:pt idx="0">
                  <c:v>FY12/13</c:v>
                </c:pt>
                <c:pt idx="2">
                  <c:v>FY22/23</c:v>
                </c:pt>
                <c:pt idx="3">
                  <c:v>FY23/24</c:v>
                </c:pt>
                <c:pt idx="4">
                  <c:v>FY24/25</c:v>
                </c:pt>
                <c:pt idx="5">
                  <c:v>FY25/26</c:v>
                </c:pt>
                <c:pt idx="6">
                  <c:v>FY26/27</c:v>
                </c:pt>
                <c:pt idx="7">
                  <c:v>FY27/28</c:v>
                </c:pt>
                <c:pt idx="8">
                  <c:v>FY28/29</c:v>
                </c:pt>
                <c:pt idx="9">
                  <c:v>FY29/30</c:v>
                </c:pt>
              </c:strCache>
            </c:strRef>
          </c:cat>
          <c:val>
            <c:numRef>
              <c:f>'Target level of amb'!$C$13:$L$13</c:f>
              <c:numCache>
                <c:formatCode>General</c:formatCode>
                <c:ptCount val="10"/>
                <c:pt idx="0">
                  <c:v>#N/A</c:v>
                </c:pt>
                <c:pt idx="1">
                  <c:v>#N/A</c:v>
                </c:pt>
                <c:pt idx="2" formatCode="#,##0">
                  <c:v>237822</c:v>
                </c:pt>
                <c:pt idx="3">
                  <c:v>#N/A</c:v>
                </c:pt>
                <c:pt idx="4" formatCode="_-* #,##0_-;\-* #,##0_-;_-* &quot;-&quot;??_-;_-@_-">
                  <c:v>209283.36000000002</c:v>
                </c:pt>
                <c:pt idx="5">
                  <c:v>#N/A</c:v>
                </c:pt>
                <c:pt idx="6">
                  <c:v>#N/A</c:v>
                </c:pt>
                <c:pt idx="7">
                  <c:v>#N/A</c:v>
                </c:pt>
                <c:pt idx="8">
                  <c:v>#N/A</c:v>
                </c:pt>
                <c:pt idx="9" formatCode="_-* #,##0_-;\-* #,##0_-;_-* &quot;-&quot;??_-;_-@_-">
                  <c:v>137936.76</c:v>
                </c:pt>
              </c:numCache>
            </c:numRef>
          </c:val>
          <c:smooth val="0"/>
          <c:extLst>
            <c:ext xmlns:c16="http://schemas.microsoft.com/office/drawing/2014/chart" uri="{C3380CC4-5D6E-409C-BE32-E72D297353CC}">
              <c16:uniqueId val="{00000008-ACED-4711-824A-FB90201F1185}"/>
            </c:ext>
          </c:extLst>
        </c:ser>
        <c:ser>
          <c:idx val="5"/>
          <c:order val="6"/>
          <c:tx>
            <c:strRef>
              <c:f>'Target level of amb'!$B$12</c:f>
              <c:strCache>
                <c:ptCount val="1"/>
                <c:pt idx="0">
                  <c:v>FY24/25 Cat 1 and 2 25% target (Statement of Intent 2024-28)</c:v>
                </c:pt>
              </c:strCache>
            </c:strRef>
          </c:tx>
          <c:spPr>
            <a:ln w="28575" cap="rnd">
              <a:solidFill>
                <a:schemeClr val="accent6"/>
              </a:solidFill>
              <a:prstDash val="dash"/>
              <a:round/>
            </a:ln>
            <a:effectLst/>
          </c:spPr>
          <c:marker>
            <c:symbol val="x"/>
            <c:size val="10"/>
            <c:spPr>
              <a:solidFill>
                <a:schemeClr val="accent6"/>
              </a:solidFill>
              <a:ln w="9525">
                <a:solidFill>
                  <a:schemeClr val="accent6"/>
                </a:solidFill>
              </a:ln>
              <a:effectLst/>
            </c:spPr>
          </c:marker>
          <c:dPt>
            <c:idx val="2"/>
            <c:marker>
              <c:symbol val="none"/>
            </c:marker>
            <c:bubble3D val="0"/>
            <c:extLst>
              <c:ext xmlns:c16="http://schemas.microsoft.com/office/drawing/2014/chart" uri="{C3380CC4-5D6E-409C-BE32-E72D297353CC}">
                <c16:uniqueId val="{00000009-ACED-4711-824A-FB90201F1185}"/>
              </c:ext>
            </c:extLst>
          </c:dPt>
          <c:dPt>
            <c:idx val="3"/>
            <c:marker>
              <c:symbol val="none"/>
            </c:marker>
            <c:bubble3D val="0"/>
            <c:extLst>
              <c:ext xmlns:c16="http://schemas.microsoft.com/office/drawing/2014/chart" uri="{C3380CC4-5D6E-409C-BE32-E72D297353CC}">
                <c16:uniqueId val="{0000000A-ACED-4711-824A-FB90201F1185}"/>
              </c:ext>
            </c:extLst>
          </c:dPt>
          <c:dPt>
            <c:idx val="4"/>
            <c:marker>
              <c:symbol val="x"/>
              <c:size val="10"/>
              <c:spPr>
                <a:solidFill>
                  <a:schemeClr val="accent6"/>
                </a:solidFill>
                <a:ln w="9525">
                  <a:solidFill>
                    <a:schemeClr val="accent6"/>
                  </a:solidFill>
                </a:ln>
                <a:effectLst/>
              </c:spPr>
            </c:marker>
            <c:bubble3D val="0"/>
            <c:extLst>
              <c:ext xmlns:c16="http://schemas.microsoft.com/office/drawing/2014/chart" uri="{C3380CC4-5D6E-409C-BE32-E72D297353CC}">
                <c16:uniqueId val="{0000000B-ACED-4711-824A-FB90201F1185}"/>
              </c:ext>
            </c:extLst>
          </c:dPt>
          <c:cat>
            <c:strRef>
              <c:f>'Target level of amb'!$C$6:$L$6</c:f>
              <c:strCache>
                <c:ptCount val="10"/>
                <c:pt idx="0">
                  <c:v>FY12/13</c:v>
                </c:pt>
                <c:pt idx="2">
                  <c:v>FY22/23</c:v>
                </c:pt>
                <c:pt idx="3">
                  <c:v>FY23/24</c:v>
                </c:pt>
                <c:pt idx="4">
                  <c:v>FY24/25</c:v>
                </c:pt>
                <c:pt idx="5">
                  <c:v>FY25/26</c:v>
                </c:pt>
                <c:pt idx="6">
                  <c:v>FY26/27</c:v>
                </c:pt>
                <c:pt idx="7">
                  <c:v>FY27/28</c:v>
                </c:pt>
                <c:pt idx="8">
                  <c:v>FY28/29</c:v>
                </c:pt>
                <c:pt idx="9">
                  <c:v>FY29/30</c:v>
                </c:pt>
              </c:strCache>
            </c:strRef>
          </c:cat>
          <c:val>
            <c:numRef>
              <c:f>'Target level of amb'!$C$12:$L$12</c:f>
              <c:numCache>
                <c:formatCode>General</c:formatCode>
                <c:ptCount val="10"/>
                <c:pt idx="0">
                  <c:v>#N/A</c:v>
                </c:pt>
                <c:pt idx="1">
                  <c:v>#N/A</c:v>
                </c:pt>
                <c:pt idx="2" formatCode="_-* #,##0_-;\-* #,##0_-;_-* &quot;-&quot;??_-;_-@_-">
                  <c:v>144118</c:v>
                </c:pt>
                <c:pt idx="3" formatCode="_-* #,##0_-;\-* #,##0_-;_-* &quot;-&quot;??_-;_-@_-">
                  <c:v>132108.16666666666</c:v>
                </c:pt>
                <c:pt idx="4" formatCode="_-* #,##0_-;\-* #,##0_-;_-* &quot;-&quot;??_-;_-@_-">
                  <c:v>108088.5</c:v>
                </c:pt>
              </c:numCache>
            </c:numRef>
          </c:val>
          <c:smooth val="1"/>
          <c:extLst>
            <c:ext xmlns:c16="http://schemas.microsoft.com/office/drawing/2014/chart" uri="{C3380CC4-5D6E-409C-BE32-E72D297353CC}">
              <c16:uniqueId val="{0000000C-ACED-4711-824A-FB90201F1185}"/>
            </c:ext>
          </c:extLst>
        </c:ser>
        <c:ser>
          <c:idx val="7"/>
          <c:order val="7"/>
          <c:tx>
            <c:strRef>
              <c:f>'Target level of amb'!$B$14</c:f>
              <c:strCache>
                <c:ptCount val="1"/>
                <c:pt idx="0">
                  <c:v>FY26/27 science based target</c:v>
                </c:pt>
              </c:strCache>
            </c:strRef>
          </c:tx>
          <c:spPr>
            <a:ln w="28575" cap="rnd">
              <a:solidFill>
                <a:schemeClr val="bg2">
                  <a:lumMod val="50000"/>
                </a:schemeClr>
              </a:solidFill>
              <a:prstDash val="sysDash"/>
              <a:round/>
            </a:ln>
            <a:effectLst/>
          </c:spPr>
          <c:marker>
            <c:symbol val="triangle"/>
            <c:size val="10"/>
            <c:spPr>
              <a:solidFill>
                <a:schemeClr val="bg2">
                  <a:lumMod val="50000"/>
                </a:schemeClr>
              </a:solidFill>
              <a:ln w="9525">
                <a:solidFill>
                  <a:schemeClr val="bg2">
                    <a:lumMod val="50000"/>
                  </a:schemeClr>
                </a:solidFill>
              </a:ln>
              <a:effectLst/>
            </c:spPr>
          </c:marker>
          <c:dPt>
            <c:idx val="2"/>
            <c:marker>
              <c:symbol val="none"/>
            </c:marker>
            <c:bubble3D val="0"/>
            <c:extLst>
              <c:ext xmlns:c16="http://schemas.microsoft.com/office/drawing/2014/chart" uri="{C3380CC4-5D6E-409C-BE32-E72D297353CC}">
                <c16:uniqueId val="{0000000D-ACED-4711-824A-FB90201F1185}"/>
              </c:ext>
            </c:extLst>
          </c:dPt>
          <c:dPt>
            <c:idx val="4"/>
            <c:marker>
              <c:symbol val="triangle"/>
              <c:size val="10"/>
              <c:spPr>
                <a:solidFill>
                  <a:schemeClr val="bg2">
                    <a:lumMod val="50000"/>
                  </a:schemeClr>
                </a:solidFill>
                <a:ln w="9525">
                  <a:solidFill>
                    <a:schemeClr val="bg2">
                      <a:lumMod val="50000"/>
                    </a:schemeClr>
                  </a:solidFill>
                </a:ln>
                <a:effectLst/>
              </c:spPr>
            </c:marker>
            <c:bubble3D val="0"/>
            <c:extLst>
              <c:ext xmlns:c16="http://schemas.microsoft.com/office/drawing/2014/chart" uri="{C3380CC4-5D6E-409C-BE32-E72D297353CC}">
                <c16:uniqueId val="{0000000E-ACED-4711-824A-FB90201F1185}"/>
              </c:ext>
            </c:extLst>
          </c:dPt>
          <c:dPt>
            <c:idx val="6"/>
            <c:marker>
              <c:symbol val="triangle"/>
              <c:size val="10"/>
              <c:spPr>
                <a:solidFill>
                  <a:schemeClr val="bg2">
                    <a:lumMod val="50000"/>
                  </a:schemeClr>
                </a:solidFill>
                <a:ln w="9525">
                  <a:solidFill>
                    <a:schemeClr val="bg2">
                      <a:lumMod val="50000"/>
                    </a:schemeClr>
                  </a:solidFill>
                </a:ln>
                <a:effectLst/>
              </c:spPr>
            </c:marker>
            <c:bubble3D val="0"/>
            <c:extLst>
              <c:ext xmlns:c16="http://schemas.microsoft.com/office/drawing/2014/chart" uri="{C3380CC4-5D6E-409C-BE32-E72D297353CC}">
                <c16:uniqueId val="{0000000F-ACED-4711-824A-FB90201F1185}"/>
              </c:ext>
            </c:extLst>
          </c:dPt>
          <c:val>
            <c:numRef>
              <c:f>'Target level of amb'!$C$14:$I$14</c:f>
              <c:numCache>
                <c:formatCode>General</c:formatCode>
                <c:ptCount val="7"/>
                <c:pt idx="0">
                  <c:v>#N/A</c:v>
                </c:pt>
                <c:pt idx="1">
                  <c:v>#N/A</c:v>
                </c:pt>
                <c:pt idx="2" formatCode="#,##0">
                  <c:v>237822</c:v>
                </c:pt>
                <c:pt idx="3">
                  <c:v>#N/A</c:v>
                </c:pt>
                <c:pt idx="4">
                  <c:v>#N/A</c:v>
                </c:pt>
                <c:pt idx="5">
                  <c:v>#N/A</c:v>
                </c:pt>
                <c:pt idx="6">
                  <c:v>180744.72</c:v>
                </c:pt>
              </c:numCache>
            </c:numRef>
          </c:val>
          <c:smooth val="0"/>
          <c:extLst>
            <c:ext xmlns:c16="http://schemas.microsoft.com/office/drawing/2014/chart" uri="{C3380CC4-5D6E-409C-BE32-E72D297353CC}">
              <c16:uniqueId val="{00000010-ACED-4711-824A-FB90201F1185}"/>
            </c:ext>
          </c:extLst>
        </c:ser>
        <c:dLbls>
          <c:showLegendKey val="0"/>
          <c:showVal val="0"/>
          <c:showCatName val="0"/>
          <c:showSerName val="0"/>
          <c:showPercent val="0"/>
          <c:showBubbleSize val="0"/>
        </c:dLbls>
        <c:marker val="1"/>
        <c:smooth val="0"/>
        <c:axId val="261372495"/>
        <c:axId val="261399375"/>
      </c:lineChart>
      <c:catAx>
        <c:axId val="261372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61399375"/>
        <c:crosses val="autoZero"/>
        <c:auto val="1"/>
        <c:lblAlgn val="ctr"/>
        <c:lblOffset val="100"/>
        <c:noMultiLvlLbl val="0"/>
      </c:catAx>
      <c:valAx>
        <c:axId val="26139937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NZ"/>
                  <a:t>GHG emissions (tCO</a:t>
                </a:r>
                <a:r>
                  <a:rPr lang="en-NZ" baseline="-25000"/>
                  <a:t>2</a:t>
                </a:r>
                <a:r>
                  <a:rPr lang="en-NZ"/>
                  <a:t>e)</a:t>
                </a:r>
              </a:p>
            </c:rich>
          </c:tx>
          <c:layout>
            <c:manualLayout>
              <c:xMode val="edge"/>
              <c:yMode val="edge"/>
              <c:x val="6.2253579580825898E-3"/>
              <c:y val="0.3474215909927147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61372495"/>
        <c:crosses val="autoZero"/>
        <c:crossBetween val="between"/>
      </c:valAx>
      <c:spPr>
        <a:noFill/>
        <a:ln>
          <a:noFill/>
        </a:ln>
        <a:effectLst/>
      </c:spPr>
    </c:plotArea>
    <c:legend>
      <c:legendPos val="r"/>
      <c:layout>
        <c:manualLayout>
          <c:xMode val="edge"/>
          <c:yMode val="edge"/>
          <c:x val="0.71231934615767967"/>
          <c:y val="0.14111384207815145"/>
          <c:w val="0.27522993792615519"/>
          <c:h val="0.78319287659136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5624880517244"/>
          <c:y val="2.2631644728619449E-2"/>
          <c:w val="0.60104344188767234"/>
          <c:h val="0.86399934925489685"/>
        </c:manualLayout>
      </c:layout>
      <c:areaChart>
        <c:grouping val="stacked"/>
        <c:varyColors val="0"/>
        <c:ser>
          <c:idx val="5"/>
          <c:order val="6"/>
          <c:tx>
            <c:strRef>
              <c:f>CHARTS!$B$298</c:f>
              <c:strCache>
                <c:ptCount val="1"/>
                <c:pt idx="0">
                  <c:v>GAP</c:v>
                </c:pt>
              </c:strCache>
            </c:strRef>
          </c:tx>
          <c:spPr>
            <a:noFill/>
            <a:ln w="25400">
              <a:noFill/>
            </a:ln>
            <a:effectLst/>
          </c:spPr>
          <c:cat>
            <c:strRef>
              <c:f>CHARTS!$C$251:$J$251</c:f>
              <c:strCache>
                <c:ptCount val="8"/>
                <c:pt idx="0">
                  <c:v>FY22/23</c:v>
                </c:pt>
                <c:pt idx="1">
                  <c:v>FY23/24</c:v>
                </c:pt>
                <c:pt idx="2">
                  <c:v>FY24/25</c:v>
                </c:pt>
                <c:pt idx="3">
                  <c:v>FY25/26</c:v>
                </c:pt>
                <c:pt idx="4">
                  <c:v>FY26/27</c:v>
                </c:pt>
                <c:pt idx="5">
                  <c:v>FY27/28</c:v>
                </c:pt>
                <c:pt idx="6">
                  <c:v>FY28/29</c:v>
                </c:pt>
                <c:pt idx="7">
                  <c:v>FY29/30</c:v>
                </c:pt>
              </c:strCache>
            </c:strRef>
          </c:cat>
          <c:val>
            <c:numRef>
              <c:f>CHARTS!$C$312:$J$312</c:f>
              <c:numCache>
                <c:formatCode>_(* #,##0.00_);_(* \(#,##0.00\);_(* "-"??_);_(@_)</c:formatCode>
                <c:ptCount val="8"/>
                <c:pt idx="1">
                  <c:v>205275</c:v>
                </c:pt>
                <c:pt idx="2">
                  <c:v>190649.68116949039</c:v>
                </c:pt>
                <c:pt idx="3">
                  <c:v>170874.54059950376</c:v>
                </c:pt>
                <c:pt idx="4">
                  <c:v>157408.07198615046</c:v>
                </c:pt>
                <c:pt idx="5">
                  <c:v>159265.18693895085</c:v>
                </c:pt>
                <c:pt idx="6">
                  <c:v>161164.65948219242</c:v>
                </c:pt>
                <c:pt idx="7">
                  <c:v>163102.55583968846</c:v>
                </c:pt>
              </c:numCache>
            </c:numRef>
          </c:val>
          <c:extLst>
            <c:ext xmlns:c16="http://schemas.microsoft.com/office/drawing/2014/chart" uri="{C3380CC4-5D6E-409C-BE32-E72D297353CC}">
              <c16:uniqueId val="{00000000-B27F-4ED6-AA78-2DB7623F90FA}"/>
            </c:ext>
          </c:extLst>
        </c:ser>
        <c:ser>
          <c:idx val="8"/>
          <c:order val="8"/>
          <c:tx>
            <c:strRef>
              <c:f>CHARTS!$B$315</c:f>
              <c:strCache>
                <c:ptCount val="1"/>
                <c:pt idx="0">
                  <c:v>Medical gases and vapour actions</c:v>
                </c:pt>
              </c:strCache>
            </c:strRef>
          </c:tx>
          <c:spPr>
            <a:solidFill>
              <a:schemeClr val="accent4"/>
            </a:solidFill>
            <a:ln w="25400">
              <a:noFill/>
            </a:ln>
            <a:effectLst/>
          </c:spPr>
          <c:cat>
            <c:strRef>
              <c:f>CHARTS!$C$251:$J$251</c:f>
              <c:strCache>
                <c:ptCount val="8"/>
                <c:pt idx="0">
                  <c:v>FY22/23</c:v>
                </c:pt>
                <c:pt idx="1">
                  <c:v>FY23/24</c:v>
                </c:pt>
                <c:pt idx="2">
                  <c:v>FY24/25</c:v>
                </c:pt>
                <c:pt idx="3">
                  <c:v>FY25/26</c:v>
                </c:pt>
                <c:pt idx="4">
                  <c:v>FY26/27</c:v>
                </c:pt>
                <c:pt idx="5">
                  <c:v>FY27/28</c:v>
                </c:pt>
                <c:pt idx="6">
                  <c:v>FY28/29</c:v>
                </c:pt>
                <c:pt idx="7">
                  <c:v>FY29/30</c:v>
                </c:pt>
              </c:strCache>
            </c:strRef>
          </c:cat>
          <c:val>
            <c:numRef>
              <c:f>CHARTS!$C$315:$J$315</c:f>
              <c:numCache>
                <c:formatCode>General</c:formatCode>
                <c:ptCount val="8"/>
                <c:pt idx="0">
                  <c:v>#N/A</c:v>
                </c:pt>
                <c:pt idx="1">
                  <c:v>#N/A</c:v>
                </c:pt>
                <c:pt idx="2" formatCode="0">
                  <c:v>3777.7824862531211</c:v>
                </c:pt>
                <c:pt idx="3" formatCode="0">
                  <c:v>3853.3381359781829</c:v>
                </c:pt>
                <c:pt idx="4" formatCode="0">
                  <c:v>3930.4048986977464</c:v>
                </c:pt>
                <c:pt idx="5" formatCode="0">
                  <c:v>3930.4048986977464</c:v>
                </c:pt>
                <c:pt idx="6" formatCode="0">
                  <c:v>3930.4048986977464</c:v>
                </c:pt>
                <c:pt idx="7" formatCode="0">
                  <c:v>3930.4048986977464</c:v>
                </c:pt>
              </c:numCache>
            </c:numRef>
          </c:val>
          <c:extLst>
            <c:ext xmlns:c16="http://schemas.microsoft.com/office/drawing/2014/chart" uri="{C3380CC4-5D6E-409C-BE32-E72D297353CC}">
              <c16:uniqueId val="{00000001-B27F-4ED6-AA78-2DB7623F90FA}"/>
            </c:ext>
          </c:extLst>
        </c:ser>
        <c:ser>
          <c:idx val="7"/>
          <c:order val="9"/>
          <c:tx>
            <c:strRef>
              <c:f>CHARTS!$B$314</c:f>
              <c:strCache>
                <c:ptCount val="1"/>
                <c:pt idx="0">
                  <c:v>Business travel, fleet and funded patient travel actions</c:v>
                </c:pt>
              </c:strCache>
            </c:strRef>
          </c:tx>
          <c:spPr>
            <a:solidFill>
              <a:schemeClr val="accent3"/>
            </a:solidFill>
            <a:ln w="25400">
              <a:noFill/>
            </a:ln>
            <a:effectLst/>
          </c:spPr>
          <c:cat>
            <c:strRef>
              <c:f>CHARTS!$C$251:$J$251</c:f>
              <c:strCache>
                <c:ptCount val="8"/>
                <c:pt idx="0">
                  <c:v>FY22/23</c:v>
                </c:pt>
                <c:pt idx="1">
                  <c:v>FY23/24</c:v>
                </c:pt>
                <c:pt idx="2">
                  <c:v>FY24/25</c:v>
                </c:pt>
                <c:pt idx="3">
                  <c:v>FY25/26</c:v>
                </c:pt>
                <c:pt idx="4">
                  <c:v>FY26/27</c:v>
                </c:pt>
                <c:pt idx="5">
                  <c:v>FY27/28</c:v>
                </c:pt>
                <c:pt idx="6">
                  <c:v>FY28/29</c:v>
                </c:pt>
                <c:pt idx="7">
                  <c:v>FY29/30</c:v>
                </c:pt>
              </c:strCache>
            </c:strRef>
          </c:cat>
          <c:val>
            <c:numRef>
              <c:f>CHARTS!$C$314:$J$314</c:f>
              <c:numCache>
                <c:formatCode>General</c:formatCode>
                <c:ptCount val="8"/>
                <c:pt idx="0">
                  <c:v>#N/A</c:v>
                </c:pt>
                <c:pt idx="1">
                  <c:v>#N/A</c:v>
                </c:pt>
                <c:pt idx="2" formatCode="0">
                  <c:v>6828.1549135077594</c:v>
                </c:pt>
                <c:pt idx="3" formatCode="0">
                  <c:v>22989.488237188711</c:v>
                </c:pt>
                <c:pt idx="4" formatCode="0">
                  <c:v>23312.851537537921</c:v>
                </c:pt>
                <c:pt idx="5" formatCode="0">
                  <c:v>23560.674085620103</c:v>
                </c:pt>
                <c:pt idx="6" formatCode="0">
                  <c:v>23787.088289501287</c:v>
                </c:pt>
                <c:pt idx="7" formatCode="0">
                  <c:v>23996.235415255178</c:v>
                </c:pt>
              </c:numCache>
            </c:numRef>
          </c:val>
          <c:extLst>
            <c:ext xmlns:c16="http://schemas.microsoft.com/office/drawing/2014/chart" uri="{C3380CC4-5D6E-409C-BE32-E72D297353CC}">
              <c16:uniqueId val="{00000002-B27F-4ED6-AA78-2DB7623F90FA}"/>
            </c:ext>
          </c:extLst>
        </c:ser>
        <c:ser>
          <c:idx val="6"/>
          <c:order val="10"/>
          <c:tx>
            <c:strRef>
              <c:f>CHARTS!$B$313</c:f>
              <c:strCache>
                <c:ptCount val="1"/>
                <c:pt idx="0">
                  <c:v>Energy, water and waste actions</c:v>
                </c:pt>
              </c:strCache>
            </c:strRef>
          </c:tx>
          <c:spPr>
            <a:solidFill>
              <a:schemeClr val="accent1"/>
            </a:solidFill>
            <a:ln w="25400">
              <a:noFill/>
            </a:ln>
            <a:effectLst/>
          </c:spPr>
          <c:cat>
            <c:strRef>
              <c:f>CHARTS!$C$251:$J$251</c:f>
              <c:strCache>
                <c:ptCount val="8"/>
                <c:pt idx="0">
                  <c:v>FY22/23</c:v>
                </c:pt>
                <c:pt idx="1">
                  <c:v>FY23/24</c:v>
                </c:pt>
                <c:pt idx="2">
                  <c:v>FY24/25</c:v>
                </c:pt>
                <c:pt idx="3">
                  <c:v>FY25/26</c:v>
                </c:pt>
                <c:pt idx="4">
                  <c:v>FY26/27</c:v>
                </c:pt>
                <c:pt idx="5">
                  <c:v>FY27/28</c:v>
                </c:pt>
                <c:pt idx="6">
                  <c:v>FY28/29</c:v>
                </c:pt>
                <c:pt idx="7">
                  <c:v>FY29/30</c:v>
                </c:pt>
              </c:strCache>
            </c:strRef>
          </c:cat>
          <c:val>
            <c:numRef>
              <c:f>CHARTS!$C$313:$J$313</c:f>
              <c:numCache>
                <c:formatCode>General</c:formatCode>
                <c:ptCount val="8"/>
                <c:pt idx="0">
                  <c:v>#N/A</c:v>
                </c:pt>
                <c:pt idx="1">
                  <c:v>#N/A</c:v>
                </c:pt>
                <c:pt idx="2" formatCode="0">
                  <c:v>6072.1314307487364</c:v>
                </c:pt>
                <c:pt idx="3" formatCode="0">
                  <c:v>11683.660527329344</c:v>
                </c:pt>
                <c:pt idx="4" formatCode="0">
                  <c:v>26843.709352613874</c:v>
                </c:pt>
                <c:pt idx="5" formatCode="0">
                  <c:v>26853.7222294813</c:v>
                </c:pt>
                <c:pt idx="6" formatCode="0">
                  <c:v>26863.935363886074</c:v>
                </c:pt>
                <c:pt idx="7" formatCode="0">
                  <c:v>26874.352760978942</c:v>
                </c:pt>
              </c:numCache>
            </c:numRef>
          </c:val>
          <c:extLst>
            <c:ext xmlns:c16="http://schemas.microsoft.com/office/drawing/2014/chart" uri="{C3380CC4-5D6E-409C-BE32-E72D297353CC}">
              <c16:uniqueId val="{00000003-B27F-4ED6-AA78-2DB7623F90FA}"/>
            </c:ext>
          </c:extLst>
        </c:ser>
        <c:dLbls>
          <c:showLegendKey val="0"/>
          <c:showVal val="0"/>
          <c:showCatName val="0"/>
          <c:showSerName val="0"/>
          <c:showPercent val="0"/>
          <c:showBubbleSize val="0"/>
        </c:dLbls>
        <c:axId val="387342848"/>
        <c:axId val="387340448"/>
        <c:extLst>
          <c:ext xmlns:c15="http://schemas.microsoft.com/office/drawing/2012/chart" uri="{02D57815-91ED-43cb-92C2-25804820EDAC}">
            <c15:filteredAreaSeries>
              <c15:ser>
                <c:idx val="9"/>
                <c:order val="7"/>
                <c:tx>
                  <c:strRef>
                    <c:extLst>
                      <c:ext uri="{02D57815-91ED-43cb-92C2-25804820EDAC}">
                        <c15:formulaRef>
                          <c15:sqref>CHARTS!$B$302</c15:sqref>
                        </c15:formulaRef>
                      </c:ext>
                    </c:extLst>
                    <c:strCache>
                      <c:ptCount val="1"/>
                      <c:pt idx="0">
                        <c:v>Lowest certainty </c:v>
                      </c:pt>
                    </c:strCache>
                  </c:strRef>
                </c:tx>
                <c:spPr>
                  <a:solidFill>
                    <a:srgbClr val="FF0000"/>
                  </a:solidFill>
                  <a:ln w="25400">
                    <a:noFill/>
                  </a:ln>
                  <a:effectLst/>
                </c:spPr>
                <c:cat>
                  <c:strRef>
                    <c:extLst>
                      <c:ext uri="{02D57815-91ED-43cb-92C2-25804820EDAC}">
                        <c15:formulaRef>
                          <c15:sqref>CHARTS!$C$251:$J$251</c15:sqref>
                        </c15:formulaRef>
                      </c:ext>
                    </c:extLst>
                    <c:strCache>
                      <c:ptCount val="8"/>
                      <c:pt idx="0">
                        <c:v>FY22/23</c:v>
                      </c:pt>
                      <c:pt idx="1">
                        <c:v>FY23/24</c:v>
                      </c:pt>
                      <c:pt idx="2">
                        <c:v>FY24/25</c:v>
                      </c:pt>
                      <c:pt idx="3">
                        <c:v>FY25/26</c:v>
                      </c:pt>
                      <c:pt idx="4">
                        <c:v>FY26/27</c:v>
                      </c:pt>
                      <c:pt idx="5">
                        <c:v>FY27/28</c:v>
                      </c:pt>
                      <c:pt idx="6">
                        <c:v>FY28/29</c:v>
                      </c:pt>
                      <c:pt idx="7">
                        <c:v>FY29/30</c:v>
                      </c:pt>
                    </c:strCache>
                  </c:strRef>
                </c:cat>
                <c:val>
                  <c:numRef>
                    <c:extLst>
                      <c:ext uri="{02D57815-91ED-43cb-92C2-25804820EDAC}">
                        <c15:formulaRef>
                          <c15:sqref>CHARTS!$C$302:$J$302</c15:sqref>
                        </c15:formulaRef>
                      </c:ext>
                    </c:extLst>
                    <c:numCache>
                      <c:formatCode>General</c:formatCode>
                      <c:ptCount val="8"/>
                      <c:pt idx="0">
                        <c:v>#N/A</c:v>
                      </c:pt>
                      <c:pt idx="1">
                        <c:v>#N/A</c:v>
                      </c:pt>
                      <c:pt idx="2" formatCode="0">
                        <c:v>0</c:v>
                      </c:pt>
                      <c:pt idx="3" formatCode="0">
                        <c:v>0</c:v>
                      </c:pt>
                      <c:pt idx="4" formatCode="0">
                        <c:v>0</c:v>
                      </c:pt>
                      <c:pt idx="5" formatCode="0">
                        <c:v>0</c:v>
                      </c:pt>
                      <c:pt idx="6" formatCode="0">
                        <c:v>0</c:v>
                      </c:pt>
                      <c:pt idx="7" formatCode="0">
                        <c:v>0</c:v>
                      </c:pt>
                    </c:numCache>
                  </c:numRef>
                </c:val>
                <c:extLst>
                  <c:ext xmlns:c16="http://schemas.microsoft.com/office/drawing/2014/chart" uri="{C3380CC4-5D6E-409C-BE32-E72D297353CC}">
                    <c16:uniqueId val="{00000010-B27F-4ED6-AA78-2DB7623F90FA}"/>
                  </c:ext>
                </c:extLst>
              </c15:ser>
            </c15:filteredAreaSeries>
          </c:ext>
        </c:extLst>
      </c:areaChart>
      <c:barChart>
        <c:barDir val="col"/>
        <c:grouping val="clustered"/>
        <c:varyColors val="0"/>
        <c:ser>
          <c:idx val="0"/>
          <c:order val="0"/>
          <c:tx>
            <c:strRef>
              <c:f>CHARTS!$B$307</c:f>
              <c:strCache>
                <c:ptCount val="1"/>
                <c:pt idx="0">
                  <c:v>Actual emissions</c:v>
                </c:pt>
              </c:strCache>
            </c:strRef>
          </c:tx>
          <c:spPr>
            <a:solidFill>
              <a:schemeClr val="accent6"/>
            </a:solidFill>
            <a:ln>
              <a:noFill/>
            </a:ln>
            <a:effectLst/>
          </c:spPr>
          <c:invertIfNegative val="0"/>
          <c:cat>
            <c:strRef>
              <c:f>CHARTS!$C$251:$J$251</c:f>
              <c:strCache>
                <c:ptCount val="8"/>
                <c:pt idx="0">
                  <c:v>FY22/23</c:v>
                </c:pt>
                <c:pt idx="1">
                  <c:v>FY23/24</c:v>
                </c:pt>
                <c:pt idx="2">
                  <c:v>FY24/25</c:v>
                </c:pt>
                <c:pt idx="3">
                  <c:v>FY25/26</c:v>
                </c:pt>
                <c:pt idx="4">
                  <c:v>FY26/27</c:v>
                </c:pt>
                <c:pt idx="5">
                  <c:v>FY27/28</c:v>
                </c:pt>
                <c:pt idx="6">
                  <c:v>FY28/29</c:v>
                </c:pt>
                <c:pt idx="7">
                  <c:v>FY29/30</c:v>
                </c:pt>
              </c:strCache>
            </c:strRef>
          </c:cat>
          <c:val>
            <c:numRef>
              <c:f>CHARTS!$C$307:$J$307</c:f>
              <c:numCache>
                <c:formatCode>_-* #,##0_-;\-* #,##0_-;_-* "-"??_-;_-@_-</c:formatCode>
                <c:ptCount val="8"/>
                <c:pt idx="0">
                  <c:v>237822</c:v>
                </c:pt>
                <c:pt idx="1">
                  <c:v>205275</c:v>
                </c:pt>
              </c:numCache>
            </c:numRef>
          </c:val>
          <c:extLst>
            <c:ext xmlns:c16="http://schemas.microsoft.com/office/drawing/2014/chart" uri="{C3380CC4-5D6E-409C-BE32-E72D297353CC}">
              <c16:uniqueId val="{00000004-B27F-4ED6-AA78-2DB7623F90FA}"/>
            </c:ext>
          </c:extLst>
        </c:ser>
        <c:dLbls>
          <c:showLegendKey val="0"/>
          <c:showVal val="0"/>
          <c:showCatName val="0"/>
          <c:showSerName val="0"/>
          <c:showPercent val="0"/>
          <c:showBubbleSize val="0"/>
        </c:dLbls>
        <c:gapWidth val="150"/>
        <c:axId val="387342848"/>
        <c:axId val="387340448"/>
      </c:barChart>
      <c:lineChart>
        <c:grouping val="standard"/>
        <c:varyColors val="0"/>
        <c:ser>
          <c:idx val="1"/>
          <c:order val="1"/>
          <c:tx>
            <c:strRef>
              <c:f>CHARTS!$B$308</c:f>
              <c:strCache>
                <c:ptCount val="1"/>
                <c:pt idx="0">
                  <c:v>BAU Projection</c:v>
                </c:pt>
              </c:strCache>
            </c:strRef>
          </c:tx>
          <c:spPr>
            <a:ln w="28575" cap="rnd">
              <a:solidFill>
                <a:schemeClr val="tx1"/>
              </a:solidFill>
              <a:round/>
            </a:ln>
            <a:effectLst/>
          </c:spPr>
          <c:marker>
            <c:symbol val="none"/>
          </c:marker>
          <c:cat>
            <c:strRef>
              <c:f>CHARTS!$C$251:$J$251</c:f>
              <c:strCache>
                <c:ptCount val="8"/>
                <c:pt idx="0">
                  <c:v>FY22/23</c:v>
                </c:pt>
                <c:pt idx="1">
                  <c:v>FY23/24</c:v>
                </c:pt>
                <c:pt idx="2">
                  <c:v>FY24/25</c:v>
                </c:pt>
                <c:pt idx="3">
                  <c:v>FY25/26</c:v>
                </c:pt>
                <c:pt idx="4">
                  <c:v>FY26/27</c:v>
                </c:pt>
                <c:pt idx="5">
                  <c:v>FY27/28</c:v>
                </c:pt>
                <c:pt idx="6">
                  <c:v>FY28/29</c:v>
                </c:pt>
                <c:pt idx="7">
                  <c:v>FY29/30</c:v>
                </c:pt>
              </c:strCache>
            </c:strRef>
          </c:cat>
          <c:val>
            <c:numRef>
              <c:f>CHARTS!$C$308:$J$308</c:f>
              <c:numCache>
                <c:formatCode>_-* #,##0_-;\-* #,##0_-;_-* "-"??_-;_-@_-</c:formatCode>
                <c:ptCount val="8"/>
                <c:pt idx="1">
                  <c:v>205275</c:v>
                </c:pt>
                <c:pt idx="2">
                  <c:v>207327.75</c:v>
                </c:pt>
                <c:pt idx="3">
                  <c:v>209401.0275</c:v>
                </c:pt>
                <c:pt idx="4">
                  <c:v>211495.037775</c:v>
                </c:pt>
                <c:pt idx="5">
                  <c:v>213609.98815275001</c:v>
                </c:pt>
                <c:pt idx="6">
                  <c:v>215746.08803427752</c:v>
                </c:pt>
                <c:pt idx="7">
                  <c:v>217903.5489146203</c:v>
                </c:pt>
              </c:numCache>
            </c:numRef>
          </c:val>
          <c:smooth val="0"/>
          <c:extLst>
            <c:ext xmlns:c16="http://schemas.microsoft.com/office/drawing/2014/chart" uri="{C3380CC4-5D6E-409C-BE32-E72D297353CC}">
              <c16:uniqueId val="{00000005-B27F-4ED6-AA78-2DB7623F90FA}"/>
            </c:ext>
          </c:extLst>
        </c:ser>
        <c:ser>
          <c:idx val="3"/>
          <c:order val="3"/>
          <c:tx>
            <c:strRef>
              <c:f>CHARTS!$B$310</c:f>
              <c:strCache>
                <c:ptCount val="1"/>
                <c:pt idx="0">
                  <c:v>FY29/30 CNGP science based level of ambition  </c:v>
                </c:pt>
              </c:strCache>
            </c:strRef>
          </c:tx>
          <c:spPr>
            <a:ln w="28575" cap="rnd">
              <a:solidFill>
                <a:schemeClr val="accent1">
                  <a:lumMod val="20000"/>
                  <a:lumOff val="80000"/>
                </a:schemeClr>
              </a:solidFill>
              <a:prstDash val="sysDash"/>
              <a:round/>
            </a:ln>
            <a:effectLst/>
          </c:spPr>
          <c:marker>
            <c:symbol val="circle"/>
            <c:size val="10"/>
            <c:spPr>
              <a:solidFill>
                <a:schemeClr val="accent1">
                  <a:lumMod val="20000"/>
                  <a:lumOff val="80000"/>
                </a:schemeClr>
              </a:solidFill>
              <a:ln w="9525">
                <a:solidFill>
                  <a:schemeClr val="accent1">
                    <a:lumMod val="20000"/>
                    <a:lumOff val="80000"/>
                  </a:schemeClr>
                </a:solidFill>
              </a:ln>
              <a:effectLst/>
            </c:spPr>
          </c:marker>
          <c:dPt>
            <c:idx val="0"/>
            <c:marker>
              <c:symbol val="none"/>
            </c:marker>
            <c:bubble3D val="0"/>
            <c:extLst>
              <c:ext xmlns:c16="http://schemas.microsoft.com/office/drawing/2014/chart" uri="{C3380CC4-5D6E-409C-BE32-E72D297353CC}">
                <c16:uniqueId val="{00000006-B27F-4ED6-AA78-2DB7623F90FA}"/>
              </c:ext>
            </c:extLst>
          </c:dPt>
          <c:dPt>
            <c:idx val="2"/>
            <c:marker>
              <c:symbol val="circle"/>
              <c:size val="10"/>
              <c:spPr>
                <a:solidFill>
                  <a:schemeClr val="accent1">
                    <a:lumMod val="20000"/>
                    <a:lumOff val="80000"/>
                  </a:schemeClr>
                </a:solidFill>
                <a:ln w="9525">
                  <a:solidFill>
                    <a:schemeClr val="accent1">
                      <a:lumMod val="20000"/>
                      <a:lumOff val="80000"/>
                    </a:schemeClr>
                  </a:solidFill>
                </a:ln>
                <a:effectLst/>
              </c:spPr>
            </c:marker>
            <c:bubble3D val="0"/>
            <c:extLst>
              <c:ext xmlns:c16="http://schemas.microsoft.com/office/drawing/2014/chart" uri="{C3380CC4-5D6E-409C-BE32-E72D297353CC}">
                <c16:uniqueId val="{00000007-B27F-4ED6-AA78-2DB7623F90FA}"/>
              </c:ext>
            </c:extLst>
          </c:dPt>
          <c:dPt>
            <c:idx val="7"/>
            <c:marker>
              <c:symbol val="circle"/>
              <c:size val="10"/>
              <c:spPr>
                <a:solidFill>
                  <a:schemeClr val="accent1">
                    <a:lumMod val="20000"/>
                    <a:lumOff val="80000"/>
                  </a:schemeClr>
                </a:solidFill>
                <a:ln w="9525">
                  <a:solidFill>
                    <a:schemeClr val="accent1">
                      <a:lumMod val="20000"/>
                      <a:lumOff val="80000"/>
                    </a:schemeClr>
                  </a:solidFill>
                </a:ln>
                <a:effectLst/>
              </c:spPr>
            </c:marker>
            <c:bubble3D val="0"/>
            <c:extLst>
              <c:ext xmlns:c16="http://schemas.microsoft.com/office/drawing/2014/chart" uri="{C3380CC4-5D6E-409C-BE32-E72D297353CC}">
                <c16:uniqueId val="{00000008-B27F-4ED6-AA78-2DB7623F90FA}"/>
              </c:ext>
            </c:extLst>
          </c:dPt>
          <c:cat>
            <c:strRef>
              <c:f>CHARTS!$C$251:$J$251</c:f>
              <c:strCache>
                <c:ptCount val="8"/>
                <c:pt idx="0">
                  <c:v>FY22/23</c:v>
                </c:pt>
                <c:pt idx="1">
                  <c:v>FY23/24</c:v>
                </c:pt>
                <c:pt idx="2">
                  <c:v>FY24/25</c:v>
                </c:pt>
                <c:pt idx="3">
                  <c:v>FY25/26</c:v>
                </c:pt>
                <c:pt idx="4">
                  <c:v>FY26/27</c:v>
                </c:pt>
                <c:pt idx="5">
                  <c:v>FY27/28</c:v>
                </c:pt>
                <c:pt idx="6">
                  <c:v>FY28/29</c:v>
                </c:pt>
                <c:pt idx="7">
                  <c:v>FY29/30</c:v>
                </c:pt>
              </c:strCache>
              <c:extLst xmlns:c15="http://schemas.microsoft.com/office/drawing/2012/chart"/>
            </c:strRef>
          </c:cat>
          <c:val>
            <c:numRef>
              <c:f>CHARTS!$C$310:$J$310</c:f>
              <c:numCache>
                <c:formatCode>_-* #,##0_-;\-* #,##0_-;_-* "-"??_-;_-@_-</c:formatCode>
                <c:ptCount val="8"/>
                <c:pt idx="0">
                  <c:v>237822</c:v>
                </c:pt>
                <c:pt idx="1">
                  <c:v>#N/A</c:v>
                </c:pt>
                <c:pt idx="2">
                  <c:v>#N/A</c:v>
                </c:pt>
                <c:pt idx="3">
                  <c:v>#N/A</c:v>
                </c:pt>
                <c:pt idx="4">
                  <c:v>#N/A</c:v>
                </c:pt>
                <c:pt idx="5">
                  <c:v>#N/A</c:v>
                </c:pt>
                <c:pt idx="6">
                  <c:v>#N/A</c:v>
                </c:pt>
                <c:pt idx="7">
                  <c:v>137936.76</c:v>
                </c:pt>
              </c:numCache>
            </c:numRef>
          </c:val>
          <c:smooth val="0"/>
          <c:extLst xmlns:c15="http://schemas.microsoft.com/office/drawing/2012/chart">
            <c:ext xmlns:c16="http://schemas.microsoft.com/office/drawing/2014/chart" uri="{C3380CC4-5D6E-409C-BE32-E72D297353CC}">
              <c16:uniqueId val="{00000009-B27F-4ED6-AA78-2DB7623F90FA}"/>
            </c:ext>
          </c:extLst>
        </c:ser>
        <c:ser>
          <c:idx val="4"/>
          <c:order val="4"/>
          <c:tx>
            <c:strRef>
              <c:f>'Target level of amb'!$B$12</c:f>
              <c:strCache>
                <c:ptCount val="1"/>
                <c:pt idx="0">
                  <c:v>FY24/25 Cat 1 and 2 25% target (Statement of Intent 2024-28)</c:v>
                </c:pt>
              </c:strCache>
            </c:strRef>
          </c:tx>
          <c:spPr>
            <a:ln w="28575" cap="rnd">
              <a:solidFill>
                <a:schemeClr val="accent6">
                  <a:lumMod val="20000"/>
                  <a:lumOff val="80000"/>
                </a:schemeClr>
              </a:solidFill>
              <a:prstDash val="dash"/>
              <a:round/>
            </a:ln>
            <a:effectLst/>
          </c:spPr>
          <c:marker>
            <c:symbol val="star"/>
            <c:size val="11"/>
            <c:spPr>
              <a:solidFill>
                <a:schemeClr val="accent6">
                  <a:lumMod val="20000"/>
                  <a:lumOff val="80000"/>
                </a:schemeClr>
              </a:solidFill>
              <a:ln w="9525">
                <a:solidFill>
                  <a:schemeClr val="accent6">
                    <a:lumMod val="20000"/>
                    <a:lumOff val="80000"/>
                  </a:schemeClr>
                </a:solidFill>
              </a:ln>
              <a:effectLst/>
            </c:spPr>
          </c:marker>
          <c:dPt>
            <c:idx val="0"/>
            <c:marker>
              <c:symbol val="none"/>
            </c:marker>
            <c:bubble3D val="0"/>
            <c:extLst>
              <c:ext xmlns:c16="http://schemas.microsoft.com/office/drawing/2014/chart" uri="{C3380CC4-5D6E-409C-BE32-E72D297353CC}">
                <c16:uniqueId val="{0000000A-B27F-4ED6-AA78-2DB7623F90FA}"/>
              </c:ext>
            </c:extLst>
          </c:dPt>
          <c:dPt>
            <c:idx val="2"/>
            <c:marker>
              <c:symbol val="star"/>
              <c:size val="11"/>
              <c:spPr>
                <a:solidFill>
                  <a:schemeClr val="accent6">
                    <a:lumMod val="20000"/>
                    <a:lumOff val="80000"/>
                  </a:schemeClr>
                </a:solidFill>
                <a:ln w="9525">
                  <a:solidFill>
                    <a:schemeClr val="accent6">
                      <a:lumMod val="20000"/>
                      <a:lumOff val="80000"/>
                    </a:schemeClr>
                  </a:solidFill>
                  <a:prstDash val="dash"/>
                </a:ln>
                <a:effectLst/>
              </c:spPr>
            </c:marker>
            <c:bubble3D val="0"/>
            <c:extLst>
              <c:ext xmlns:c16="http://schemas.microsoft.com/office/drawing/2014/chart" uri="{C3380CC4-5D6E-409C-BE32-E72D297353CC}">
                <c16:uniqueId val="{0000000B-B27F-4ED6-AA78-2DB7623F90FA}"/>
              </c:ext>
            </c:extLst>
          </c:dPt>
          <c:cat>
            <c:strRef>
              <c:f>CHARTS!$C$251:$J$251</c:f>
              <c:strCache>
                <c:ptCount val="8"/>
                <c:pt idx="0">
                  <c:v>FY22/23</c:v>
                </c:pt>
                <c:pt idx="1">
                  <c:v>FY23/24</c:v>
                </c:pt>
                <c:pt idx="2">
                  <c:v>FY24/25</c:v>
                </c:pt>
                <c:pt idx="3">
                  <c:v>FY25/26</c:v>
                </c:pt>
                <c:pt idx="4">
                  <c:v>FY26/27</c:v>
                </c:pt>
                <c:pt idx="5">
                  <c:v>FY27/28</c:v>
                </c:pt>
                <c:pt idx="6">
                  <c:v>FY28/29</c:v>
                </c:pt>
                <c:pt idx="7">
                  <c:v>FY29/30</c:v>
                </c:pt>
              </c:strCache>
            </c:strRef>
          </c:cat>
          <c:val>
            <c:numRef>
              <c:f>CHARTS!$C$311:$J$311</c:f>
              <c:numCache>
                <c:formatCode>_-* #,##0_-;\-* #,##0_-;_-* "-"??_-;_-@_-</c:formatCode>
                <c:ptCount val="8"/>
                <c:pt idx="0">
                  <c:v>237822</c:v>
                </c:pt>
                <c:pt idx="1">
                  <c:v>#N/A</c:v>
                </c:pt>
                <c:pt idx="2">
                  <c:v>201792</c:v>
                </c:pt>
                <c:pt idx="3" formatCode="General">
                  <c:v>#N/A</c:v>
                </c:pt>
                <c:pt idx="4" formatCode="General">
                  <c:v>#N/A</c:v>
                </c:pt>
                <c:pt idx="5" formatCode="General">
                  <c:v>#N/A</c:v>
                </c:pt>
                <c:pt idx="6" formatCode="General">
                  <c:v>#N/A</c:v>
                </c:pt>
                <c:pt idx="7" formatCode="General">
                  <c:v>#N/A</c:v>
                </c:pt>
              </c:numCache>
            </c:numRef>
          </c:val>
          <c:smooth val="0"/>
          <c:extLst>
            <c:ext xmlns:c16="http://schemas.microsoft.com/office/drawing/2014/chart" uri="{C3380CC4-5D6E-409C-BE32-E72D297353CC}">
              <c16:uniqueId val="{0000000C-B27F-4ED6-AA78-2DB7623F90FA}"/>
            </c:ext>
          </c:extLst>
        </c:ser>
        <c:ser>
          <c:idx val="10"/>
          <c:order val="5"/>
          <c:tx>
            <c:strRef>
              <c:f>CHARTS!$B$256</c:f>
              <c:strCache>
                <c:ptCount val="1"/>
                <c:pt idx="0">
                  <c:v>FY26/27 science based target</c:v>
                </c:pt>
              </c:strCache>
            </c:strRef>
          </c:tx>
          <c:spPr>
            <a:ln w="28575" cap="rnd">
              <a:solidFill>
                <a:schemeClr val="bg2">
                  <a:lumMod val="50000"/>
                </a:schemeClr>
              </a:solidFill>
              <a:prstDash val="dash"/>
              <a:round/>
            </a:ln>
            <a:effectLst/>
          </c:spPr>
          <c:marker>
            <c:symbol val="triangle"/>
            <c:size val="10"/>
            <c:spPr>
              <a:solidFill>
                <a:schemeClr val="bg2">
                  <a:lumMod val="50000"/>
                </a:schemeClr>
              </a:solidFill>
              <a:ln w="9525">
                <a:solidFill>
                  <a:schemeClr val="bg2">
                    <a:lumMod val="50000"/>
                  </a:schemeClr>
                </a:solidFill>
              </a:ln>
              <a:effectLst/>
            </c:spPr>
          </c:marker>
          <c:dPt>
            <c:idx val="0"/>
            <c:marker>
              <c:symbol val="none"/>
            </c:marker>
            <c:bubble3D val="0"/>
            <c:extLst>
              <c:ext xmlns:c16="http://schemas.microsoft.com/office/drawing/2014/chart" uri="{C3380CC4-5D6E-409C-BE32-E72D297353CC}">
                <c16:uniqueId val="{0000000D-B27F-4ED6-AA78-2DB7623F90FA}"/>
              </c:ext>
            </c:extLst>
          </c:dPt>
          <c:val>
            <c:numRef>
              <c:f>CHARTS!$C$256:$G$256</c:f>
              <c:numCache>
                <c:formatCode>General</c:formatCode>
                <c:ptCount val="5"/>
                <c:pt idx="0" formatCode="_-* #,##0_-;\-* #,##0_-;_-* &quot;-&quot;??_-;_-@_-">
                  <c:v>237822</c:v>
                </c:pt>
                <c:pt idx="1">
                  <c:v>#N/A</c:v>
                </c:pt>
                <c:pt idx="2">
                  <c:v>#N/A</c:v>
                </c:pt>
                <c:pt idx="3">
                  <c:v>#N/A</c:v>
                </c:pt>
                <c:pt idx="4" formatCode="_(* #,##0.00_);_(* \(#,##0.00\);_(* &quot;-&quot;??_);_(@_)">
                  <c:v>180744.72</c:v>
                </c:pt>
              </c:numCache>
            </c:numRef>
          </c:val>
          <c:smooth val="0"/>
          <c:extLst>
            <c:ext xmlns:c16="http://schemas.microsoft.com/office/drawing/2014/chart" uri="{C3380CC4-5D6E-409C-BE32-E72D297353CC}">
              <c16:uniqueId val="{0000000E-B27F-4ED6-AA78-2DB7623F90FA}"/>
            </c:ext>
          </c:extLst>
        </c:ser>
        <c:dLbls>
          <c:showLegendKey val="0"/>
          <c:showVal val="0"/>
          <c:showCatName val="0"/>
          <c:showSerName val="0"/>
          <c:showPercent val="0"/>
          <c:showBubbleSize val="0"/>
        </c:dLbls>
        <c:marker val="1"/>
        <c:smooth val="0"/>
        <c:axId val="387342848"/>
        <c:axId val="387340448"/>
        <c:extLst>
          <c:ext xmlns:c15="http://schemas.microsoft.com/office/drawing/2012/chart" uri="{02D57815-91ED-43cb-92C2-25804820EDAC}">
            <c15:filteredLineSeries>
              <c15:ser>
                <c:idx val="2"/>
                <c:order val="2"/>
                <c:tx>
                  <c:strRef>
                    <c:extLst>
                      <c:ext uri="{02D57815-91ED-43cb-92C2-25804820EDAC}">
                        <c15:formulaRef>
                          <c15:sqref>CHARTS!$B$309</c15:sqref>
                        </c15:formulaRef>
                      </c:ext>
                    </c:extLst>
                    <c:strCache>
                      <c:ptCount val="1"/>
                      <c:pt idx="0">
                        <c:v>Reduction pathway</c:v>
                      </c:pt>
                    </c:strCache>
                  </c:strRef>
                </c:tx>
                <c:spPr>
                  <a:ln w="28575" cap="rnd">
                    <a:solidFill>
                      <a:schemeClr val="bg1">
                        <a:lumMod val="50000"/>
                      </a:schemeClr>
                    </a:solidFill>
                    <a:round/>
                  </a:ln>
                  <a:effectLst/>
                </c:spPr>
                <c:marker>
                  <c:symbol val="none"/>
                </c:marker>
                <c:cat>
                  <c:strRef>
                    <c:extLst>
                      <c:ext uri="{02D57815-91ED-43cb-92C2-25804820EDAC}">
                        <c15:formulaRef>
                          <c15:sqref>CHARTS!$C$251:$J$251</c15:sqref>
                        </c15:formulaRef>
                      </c:ext>
                    </c:extLst>
                    <c:strCache>
                      <c:ptCount val="8"/>
                      <c:pt idx="0">
                        <c:v>FY22/23</c:v>
                      </c:pt>
                      <c:pt idx="1">
                        <c:v>FY23/24</c:v>
                      </c:pt>
                      <c:pt idx="2">
                        <c:v>FY24/25</c:v>
                      </c:pt>
                      <c:pt idx="3">
                        <c:v>FY25/26</c:v>
                      </c:pt>
                      <c:pt idx="4">
                        <c:v>FY26/27</c:v>
                      </c:pt>
                      <c:pt idx="5">
                        <c:v>FY27/28</c:v>
                      </c:pt>
                      <c:pt idx="6">
                        <c:v>FY28/29</c:v>
                      </c:pt>
                      <c:pt idx="7">
                        <c:v>FY29/30</c:v>
                      </c:pt>
                    </c:strCache>
                  </c:strRef>
                </c:cat>
                <c:val>
                  <c:numRef>
                    <c:extLst>
                      <c:ext uri="{02D57815-91ED-43cb-92C2-25804820EDAC}">
                        <c15:formulaRef>
                          <c15:sqref>CHARTS!$C$309:$J$309</c15:sqref>
                        </c15:formulaRef>
                      </c:ext>
                    </c:extLst>
                    <c:numCache>
                      <c:formatCode>_-* #,##0_-;\-* #,##0_-;_-* "-"??_-;_-@_-</c:formatCode>
                      <c:ptCount val="8"/>
                      <c:pt idx="0">
                        <c:v>237822</c:v>
                      </c:pt>
                      <c:pt idx="1">
                        <c:v>205275</c:v>
                      </c:pt>
                      <c:pt idx="2">
                        <c:v>190649.68116949039</c:v>
                      </c:pt>
                      <c:pt idx="3">
                        <c:v>170874.54059950376</c:v>
                      </c:pt>
                      <c:pt idx="4">
                        <c:v>157408.07198615046</c:v>
                      </c:pt>
                      <c:pt idx="5">
                        <c:v>159265.18693895085</c:v>
                      </c:pt>
                      <c:pt idx="6">
                        <c:v>161164.65948219242</c:v>
                      </c:pt>
                      <c:pt idx="7">
                        <c:v>163102.55583968846</c:v>
                      </c:pt>
                    </c:numCache>
                  </c:numRef>
                </c:val>
                <c:smooth val="0"/>
                <c:extLst>
                  <c:ext xmlns:c16="http://schemas.microsoft.com/office/drawing/2014/chart" uri="{C3380CC4-5D6E-409C-BE32-E72D297353CC}">
                    <c16:uniqueId val="{0000000F-B27F-4ED6-AA78-2DB7623F90FA}"/>
                  </c:ext>
                </c:extLst>
              </c15:ser>
            </c15:filteredLineSeries>
          </c:ext>
        </c:extLst>
      </c:lineChart>
      <c:catAx>
        <c:axId val="38734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87340448"/>
        <c:crosses val="autoZero"/>
        <c:auto val="1"/>
        <c:lblAlgn val="ctr"/>
        <c:lblOffset val="100"/>
        <c:noMultiLvlLbl val="0"/>
      </c:catAx>
      <c:valAx>
        <c:axId val="38734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GHG emissions (tCO</a:t>
                </a:r>
                <a:r>
                  <a:rPr lang="en-US" baseline="-25000"/>
                  <a:t>2</a:t>
                </a:r>
                <a:r>
                  <a:rPr lang="en-US"/>
                  <a:t>e)</a:t>
                </a:r>
              </a:p>
            </c:rich>
          </c:tx>
          <c:layout>
            <c:manualLayout>
              <c:xMode val="edge"/>
              <c:yMode val="edge"/>
              <c:x val="7.9998300689691233E-3"/>
              <c:y val="0.3866669690318949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87342848"/>
        <c:crosses val="autoZero"/>
        <c:crossBetween val="between"/>
      </c:valAx>
      <c:spPr>
        <a:noFill/>
        <a:ln>
          <a:noFill/>
        </a:ln>
        <a:effectLst/>
      </c:spPr>
    </c:plotArea>
    <c:legend>
      <c:legendPos val="r"/>
      <c:legendEntry>
        <c:idx val="3"/>
        <c:delete val="1"/>
      </c:legendEntry>
      <c:layout>
        <c:manualLayout>
          <c:xMode val="edge"/>
          <c:yMode val="edge"/>
          <c:x val="0.75723832663685253"/>
          <c:y val="3.1832960775476489E-2"/>
          <c:w val="0.2237862594422014"/>
          <c:h val="0.9438198884284606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'[240809 ERP modelling V0.2.xlsx]CHARTS'!$B$30:$B$43</cx:f>
        <cx:lvl ptCount="14">
          <cx:pt idx="0">FY22/23 Baseline actual</cx:pt>
          <cx:pt idx="1">FY23/24 actual</cx:pt>
          <cx:pt idx="2">BAU growth</cx:pt>
          <cx:pt idx="3">ETP Stage 1 - complete</cx:pt>
          <cx:pt idx="4">ETP Stage 1 - to be complete</cx:pt>
          <cx:pt idx="5">ETP Stage 2 - potential†</cx:pt>
          <cx:pt idx="6">Coal Boiler Programme</cx:pt>
          <cx:pt idx="7">Other energy efficiency projects</cx:pt>
          <cx:pt idx="8">Buidling energy optimisation</cx:pt>
          <cx:pt idx="9">Waste segregation*</cx:pt>
          <cx:pt idx="10">Water efficiency*</cx:pt>
          <cx:pt idx="11">FY26/27 projection</cx:pt>
          <cx:pt idx="12">Gap to achieve level of ambition</cx:pt>
          <cx:pt idx="13">FY29/30 CNGP level of ambition</cx:pt>
        </cx:lvl>
      </cx:strDim>
      <cx:numDim type="val">
        <cx:f>'[240809 ERP modelling V0.2.xlsx]CHARTS'!$D$30:$D$43</cx:f>
        <cx:lvl ptCount="14" formatCode="_-* #,##0_-;\-* #,##0_-;_-* &quot;-&quot;??_-;_-@_-">
          <cx:pt idx="0">130744</cx:pt>
          <cx:pt idx="1">107948.54174779174</cx:pt>
          <cx:pt idx="2">6000</cx:pt>
          <cx:pt idx="3">-110</cx:pt>
          <cx:pt idx="4">-10900</cx:pt>
          <cx:pt idx="5">-4000</cx:pt>
          <cx:pt idx="6">-7000</cx:pt>
          <cx:pt idx="7">-1970</cx:pt>
          <cx:pt idx="8">-2390</cx:pt>
          <cx:pt idx="9">-340</cx:pt>
          <cx:pt idx="10">-160</cx:pt>
          <cx:pt idx="11">87100</cx:pt>
          <cx:pt idx="12">-11300</cx:pt>
          <cx:pt idx="13">75800</cx:pt>
        </cx:lvl>
      </cx:numDim>
    </cx:data>
  </cx:chartData>
  <cx:chart>
    <cx:plotArea>
      <cx:plotAreaRegion>
        <cx:series layoutId="waterfall" uniqueId="{630BABFB-791D-41C6-B80E-1E48B585C642}">
          <cx:spPr>
            <a:solidFill>
              <a:schemeClr val="accent5"/>
            </a:solidFill>
            <a:ln>
              <a:noFill/>
            </a:ln>
          </cx:spPr>
          <cx:dataPt idx="0">
            <cx:spPr>
              <a:solidFill>
                <a:srgbClr val="660033"/>
              </a:solidFill>
            </cx:spPr>
          </cx:dataPt>
          <cx:dataPt idx="1">
            <cx:spPr>
              <a:solidFill>
                <a:srgbClr val="660033"/>
              </a:solidFill>
            </cx:spPr>
          </cx:dataPt>
          <cx:dataPt idx="2">
            <cx:spPr>
              <a:solidFill>
                <a:srgbClr val="003399"/>
              </a:solidFill>
            </cx:spPr>
          </cx:dataPt>
          <cx:dataPt idx="11">
            <cx:spPr>
              <a:solidFill>
                <a:srgbClr val="4D2379"/>
              </a:solidFill>
            </cx:spPr>
          </cx:dataPt>
          <cx:dataPt idx="12">
            <cx:spPr>
              <a:solidFill>
                <a:srgbClr val="F6F4EC">
                  <a:lumMod val="50000"/>
                </a:srgbClr>
              </a:solidFill>
            </cx:spPr>
          </cx:dataPt>
          <cx:dataPt idx="13">
            <cx:spPr>
              <a:solidFill>
                <a:srgbClr val="28A1AC"/>
              </a:solidFill>
            </cx:spPr>
          </cx:dataPt>
          <cx:dataLabels pos="outEnd">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visibility seriesName="0" categoryName="0" value="1"/>
          </cx:dataLabels>
          <cx:dataId val="0"/>
          <cx:layoutPr>
            <cx:visibility connectorLines="0"/>
            <cx:subtotals>
              <cx:idx val="1"/>
              <cx:idx val="11"/>
              <cx:idx val="13"/>
            </cx:subtotals>
          </cx:layoutPr>
        </cx:series>
      </cx:plotAreaRegion>
      <cx:axis id="0">
        <cx:catScaling gapWidth="0.5"/>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Aptos Narrow" panose="02110004020202020204"/>
                  </a:rPr>
                  <a:t>GHG emissions (tCO</a:t>
                </a:r>
                <a:r>
                  <a:rPr lang="en-US" sz="900" b="0" i="0" u="none" strike="noStrike" baseline="-25000">
                    <a:solidFill>
                      <a:sysClr val="windowText" lastClr="000000">
                        <a:lumMod val="65000"/>
                        <a:lumOff val="35000"/>
                      </a:sysClr>
                    </a:solidFill>
                    <a:latin typeface="Aptos Narrow" panose="02110004020202020204"/>
                  </a:rPr>
                  <a:t>2</a:t>
                </a:r>
                <a:r>
                  <a:rPr lang="en-US" sz="900" b="0" i="0" u="none" strike="noStrike" baseline="0">
                    <a:solidFill>
                      <a:sysClr val="windowText" lastClr="000000">
                        <a:lumMod val="65000"/>
                        <a:lumOff val="35000"/>
                      </a:sysClr>
                    </a:solidFill>
                    <a:latin typeface="Aptos Narrow" panose="02110004020202020204"/>
                  </a:rPr>
                  <a:t>e)</a:t>
                </a:r>
              </a:p>
            </cx:rich>
          </cx:tx>
        </cx:title>
        <cx:majorGridlines/>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'[240809 ERP modelling V0.2.xlsx]CHARTS'!$B$82:$B$93</cx:f>
        <cx:lvl ptCount="12">
          <cx:pt idx="0">FY22/23 Baseline</cx:pt>
          <cx:pt idx="1">FY23/24</cx:pt>
          <cx:pt idx="2">BAU growth</cx:pt>
          <cx:pt idx="3">CME - economy class only*</cx:pt>
          <cx:pt idx="4">Staff business travel reduction </cx:pt>
          <cx:pt idx="5">Fleet optimisation</cx:pt>
          <cx:pt idx="6">Fleet BEV Transition</cx:pt>
          <cx:pt idx="7">Fleet ICE to Hybrid†</cx:pt>
          <cx:pt idx="8">Further Fleet from ICE to hybrid†</cx:pt>
          <cx:pt idx="9">FY26/27 projection</cx:pt>
          <cx:pt idx="10">Gap to achieve level of ambition</cx:pt>
          <cx:pt idx="11">FY29/30 CNGP level of ambition</cx:pt>
        </cx:lvl>
      </cx:strDim>
      <cx:numDim type="val">
        <cx:f>'[240809 ERP modelling V0.2.xlsx]CHARTS'!$C$82:$C$93</cx:f>
        <cx:lvl ptCount="12" formatCode="_-* #,##0_-;\-* #,##0_-;_-* &quot;-&quot;??_-;_-@_-">
          <cx:pt idx="0">88463</cx:pt>
          <cx:pt idx="1">90763</cx:pt>
          <cx:pt idx="2">3550</cx:pt>
          <cx:pt idx="3">-8500</cx:pt>
          <cx:pt idx="4">-6800</cx:pt>
          <cx:pt idx="5">-400</cx:pt>
          <cx:pt idx="6">-80</cx:pt>
          <cx:pt idx="7">-50</cx:pt>
          <cx:pt idx="8">-50</cx:pt>
          <cx:pt idx="9">78400</cx:pt>
          <cx:pt idx="10">-27100</cx:pt>
          <cx:pt idx="11">51308.540000000008</cx:pt>
        </cx:lvl>
      </cx:numDim>
    </cx:data>
  </cx:chartData>
  <cx:chart>
    <cx:plotArea>
      <cx:plotAreaRegion>
        <cx:series layoutId="waterfall" uniqueId="{630BABFB-791D-41C6-B80E-1E48B585C642}">
          <cx:spPr>
            <a:solidFill>
              <a:schemeClr val="accent5"/>
            </a:solidFill>
            <a:ln>
              <a:noFill/>
            </a:ln>
          </cx:spPr>
          <cx:dataPt idx="0">
            <cx:spPr>
              <a:solidFill>
                <a:srgbClr val="660033"/>
              </a:solidFill>
            </cx:spPr>
          </cx:dataPt>
          <cx:dataPt idx="1">
            <cx:spPr>
              <a:solidFill>
                <a:srgbClr val="660033"/>
              </a:solidFill>
            </cx:spPr>
          </cx:dataPt>
          <cx:dataPt idx="2">
            <cx:spPr>
              <a:solidFill>
                <a:srgbClr val="003399"/>
              </a:solidFill>
            </cx:spPr>
          </cx:dataPt>
          <cx:dataPt idx="9">
            <cx:spPr>
              <a:solidFill>
                <a:srgbClr val="4D2379"/>
              </a:solidFill>
            </cx:spPr>
          </cx:dataPt>
          <cx:dataPt idx="10">
            <cx:spPr>
              <a:solidFill>
                <a:srgbClr val="F6F4EC">
                  <a:lumMod val="50000"/>
                </a:srgbClr>
              </a:solidFill>
            </cx:spPr>
          </cx:dataPt>
          <cx:dataPt idx="11">
            <cx:spPr>
              <a:solidFill>
                <a:srgbClr val="28A1AC"/>
              </a:solidFill>
            </cx:spPr>
          </cx:dataPt>
          <cx:dataLabels pos="outEnd">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visibility seriesName="0" categoryName="0" value="1"/>
          </cx:dataLabels>
          <cx:dataId val="0"/>
          <cx:layoutPr>
            <cx:subtotals>
              <cx:idx val="1"/>
              <cx:idx val="9"/>
              <cx:idx val="11"/>
            </cx:subtotals>
          </cx:layoutPr>
        </cx:series>
      </cx:plotAreaRegion>
      <cx:axis id="0">
        <cx:catScaling gapWidth="0.5"/>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axis id="1">
        <cx:valScaling/>
        <cx:title>
          <cx:tx>
            <cx:rich>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Aptos Narrow" panose="02110004020202020204"/>
                  </a:rPr>
                  <a:t>GHG emissions (tCO</a:t>
                </a:r>
                <a:r>
                  <a:rPr lang="en-US" sz="900" b="0" i="0" u="none" strike="noStrike" baseline="-25000">
                    <a:solidFill>
                      <a:sysClr val="windowText" lastClr="000000">
                        <a:lumMod val="65000"/>
                        <a:lumOff val="35000"/>
                      </a:sysClr>
                    </a:solidFill>
                    <a:latin typeface="Aptos Narrow" panose="02110004020202020204"/>
                  </a:rPr>
                  <a:t>2</a:t>
                </a:r>
                <a:r>
                  <a:rPr lang="en-US" sz="900" b="0" i="0" u="none" strike="noStrike" baseline="0">
                    <a:solidFill>
                      <a:sysClr val="windowText" lastClr="000000">
                        <a:lumMod val="65000"/>
                        <a:lumOff val="35000"/>
                      </a:sysClr>
                    </a:solidFill>
                    <a:latin typeface="Aptos Narrow" panose="02110004020202020204"/>
                  </a:rPr>
                  <a:t>e)</a:t>
                </a:r>
              </a:p>
            </cx:rich>
          </cx:tx>
        </cx:title>
        <cx:majorGridlines/>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CHARTS!$B$124:$B$131</cx:f>
        <cx:lvl ptCount="8">
          <cx:pt idx="0">FY22/23 Baseline</cx:pt>
          <cx:pt idx="1">FY23/24</cx:pt>
          <cx:pt idx="2">BAU growth</cx:pt>
          <cx:pt idx="3">Nitrous Oxide leak remediation†</cx:pt>
          <cx:pt idx="4">Low emissions aneasthetics*</cx:pt>
          <cx:pt idx="5">FY26/27 projection</cx:pt>
          <cx:pt idx="6">Gap to achieve level of ambition</cx:pt>
          <cx:pt idx="7">FY29/30 CNGP level of ambition</cx:pt>
        </cx:lvl>
      </cx:strDim>
      <cx:numDim type="val">
        <cx:f>CHARTS!$C$124:$C$131</cx:f>
        <cx:lvl ptCount="8" formatCode="_-* #,##0_-;\-* #,##0_-;_-* &quot;-&quot;??_-;_-@_-">
          <cx:pt idx="0">15697</cx:pt>
          <cx:pt idx="1">13670.62959473</cx:pt>
          <cx:pt idx="2">840</cx:pt>
          <cx:pt idx="3">-3900</cx:pt>
          <cx:pt idx="4">-40</cx:pt>
          <cx:pt idx="5">10610.62959473</cx:pt>
          <cx:pt idx="6">-1506.3695947300002</cx:pt>
          <cx:pt idx="7">9104.2600000000002</cx:pt>
        </cx:lvl>
      </cx:numDim>
    </cx:data>
  </cx:chartData>
  <cx:chart>
    <cx:plotArea>
      <cx:plotAreaRegion>
        <cx:series layoutId="waterfall" uniqueId="{630BABFB-791D-41C6-B80E-1E48B585C642}">
          <cx:spPr>
            <a:solidFill>
              <a:schemeClr val="accent5"/>
            </a:solidFill>
            <a:ln>
              <a:noFill/>
            </a:ln>
          </cx:spPr>
          <cx:dataPt idx="0">
            <cx:spPr>
              <a:solidFill>
                <a:srgbClr val="660033"/>
              </a:solidFill>
            </cx:spPr>
          </cx:dataPt>
          <cx:dataPt idx="1">
            <cx:spPr>
              <a:solidFill>
                <a:srgbClr val="660033"/>
              </a:solidFill>
            </cx:spPr>
          </cx:dataPt>
          <cx:dataPt idx="2">
            <cx:spPr>
              <a:solidFill>
                <a:srgbClr val="003399"/>
              </a:solidFill>
            </cx:spPr>
          </cx:dataPt>
          <cx:dataPt idx="5">
            <cx:spPr>
              <a:solidFill>
                <a:srgbClr val="4D2379"/>
              </a:solidFill>
            </cx:spPr>
          </cx:dataPt>
          <cx:dataPt idx="6">
            <cx:spPr>
              <a:solidFill>
                <a:srgbClr val="F6F4EC">
                  <a:lumMod val="50000"/>
                </a:srgbClr>
              </a:solidFill>
            </cx:spPr>
          </cx:dataPt>
          <cx:dataPt idx="7">
            <cx:spPr>
              <a:solidFill>
                <a:srgbClr val="28A1AC"/>
              </a:solidFill>
            </cx:spPr>
          </cx:dataPt>
          <cx:dataLabels pos="outEnd">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visibility seriesName="0" categoryName="0" value="1"/>
          </cx:dataLabels>
          <cx:dataId val="0"/>
          <cx:layoutPr>
            <cx:subtotals>
              <cx:idx val="1"/>
              <cx:idx val="5"/>
              <cx:idx val="7"/>
            </cx:subtotals>
          </cx:layoutPr>
        </cx:series>
      </cx:plotAreaRegion>
      <cx:axis id="0">
        <cx:catScaling gapWidth="0.5"/>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axis id="1">
        <cx:valScaling/>
        <cx:title>
          <cx:tx>
            <cx:txData>
              <cx:v>GHG emissions (tCO2e)</cx:v>
            </cx:txData>
          </cx:tx>
          <cx:txPr>
            <a:bodyPr spcFirstLastPara="1" vertOverflow="ellipsis" horzOverflow="overflow" wrap="square" lIns="0" tIns="0" rIns="0" bIns="0" anchor="ctr" anchorCtr="1"/>
            <a:lstStyle/>
            <a:p>
              <a:pPr algn="ctr" rtl="0">
                <a:defRPr/>
              </a:pPr>
              <a:r>
                <a:rPr lang="en-US" sz="900" b="0" i="0" u="none" strike="noStrike" baseline="0">
                  <a:solidFill>
                    <a:sysClr val="windowText" lastClr="000000">
                      <a:lumMod val="65000"/>
                      <a:lumOff val="35000"/>
                    </a:sysClr>
                  </a:solidFill>
                  <a:latin typeface="Aptos Narrow" panose="02110004020202020204"/>
                </a:rPr>
                <a:t>GHG emissions (tCO2e)</a:t>
              </a:r>
            </a:p>
          </cx:txPr>
        </cx:title>
        <cx:majorGridlines/>
        <cx:tickLabels/>
        <cx:txPr>
          <a:bodyPr vertOverflow="overflow" horzOverflow="overflow" wrap="square" lIns="0" tIns="0" rIns="0" bIns="0"/>
          <a:lstStyle/>
          <a:p>
            <a:pPr algn="ctr" rtl="0">
              <a:defRPr sz="1200" b="0" i="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0.2848</cdr:x>
      <cdr:y>0.02942</cdr:y>
    </cdr:from>
    <cdr:to>
      <cdr:x>0.74973</cdr:x>
      <cdr:y>0.11317</cdr:y>
    </cdr:to>
    <cdr:sp macro="" textlink="">
      <cdr:nvSpPr>
        <cdr:cNvPr id="2" name="Callout: Line 1"/>
        <cdr:cNvSpPr/>
      </cdr:nvSpPr>
      <cdr:spPr>
        <a:xfrm xmlns:a="http://schemas.openxmlformats.org/drawingml/2006/main">
          <a:off x="1743039" y="171683"/>
          <a:ext cx="2845432" cy="488718"/>
        </a:xfrm>
        <a:prstGeom xmlns:a="http://schemas.openxmlformats.org/drawingml/2006/main" prst="borderCallout1">
          <a:avLst>
            <a:gd name="adj1" fmla="val 48361"/>
            <a:gd name="adj2" fmla="val -436"/>
            <a:gd name="adj3" fmla="val 77249"/>
            <a:gd name="adj4" fmla="val -21306"/>
          </a:avLst>
        </a:prstGeom>
        <a:solidFill xmlns:a="http://schemas.openxmlformats.org/drawingml/2006/main">
          <a:schemeClr val="bg1">
            <a:lumMod val="85000"/>
          </a:schemeClr>
        </a:solidFill>
        <a:ln xmlns:a="http://schemas.openxmlformats.org/drawingml/2006/main">
          <a:solidFill>
            <a:schemeClr val="bg1">
              <a:lumMod val="65000"/>
            </a:schemeClr>
          </a:solid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20000"/>
            </a:lnSpc>
            <a:spcBef>
              <a:spcPts val="600"/>
            </a:spcBef>
            <a:spcAft>
              <a:spcPts val="1200"/>
            </a:spcAft>
          </a:pPr>
          <a:r>
            <a:rPr lang="en-NZ" sz="1000">
              <a:solidFill>
                <a:srgbClr val="000000"/>
              </a:solidFill>
              <a:effectLst/>
              <a:ea typeface="Arial" panose="020B0604020202020204" pitchFamily="34" charset="0"/>
              <a:cs typeface="Times New Roman" panose="02020603050405020304" pitchFamily="18" charset="0"/>
            </a:rPr>
            <a:t>Emissions estimate for FY12/13 is a backcast based on data from 11 DHBs only</a:t>
          </a:r>
          <a:endParaRPr lang="en-NZ" sz="1200">
            <a:effectLst/>
            <a:ea typeface="Arial" panose="020B060402020202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15107</Words>
  <Characters>86110</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101015</CharactersWithSpaces>
  <SharedDoc>false</SharedDoc>
  <HLinks>
    <vt:vector size="546" baseType="variant">
      <vt:variant>
        <vt:i4>4587547</vt:i4>
      </vt:variant>
      <vt:variant>
        <vt:i4>561</vt:i4>
      </vt:variant>
      <vt:variant>
        <vt:i4>0</vt:i4>
      </vt:variant>
      <vt:variant>
        <vt:i4>5</vt:i4>
      </vt:variant>
      <vt:variant>
        <vt:lpwstr>https://innovation.health.nz/projects/piki-te-ora-remote-patient-monitoring/</vt:lpwstr>
      </vt:variant>
      <vt:variant>
        <vt:lpwstr/>
      </vt:variant>
      <vt:variant>
        <vt:i4>2359404</vt:i4>
      </vt:variant>
      <vt:variant>
        <vt:i4>504</vt:i4>
      </vt:variant>
      <vt:variant>
        <vt:i4>0</vt:i4>
      </vt:variant>
      <vt:variant>
        <vt:i4>5</vt:i4>
      </vt:variant>
      <vt:variant>
        <vt:lpwstr>https://www.tewhatuora.govt.nz/publications/greenhouse-gas-emissions-inventory-report-fy202324</vt:lpwstr>
      </vt:variant>
      <vt:variant>
        <vt:lpwstr/>
      </vt:variant>
      <vt:variant>
        <vt:i4>3735585</vt:i4>
      </vt:variant>
      <vt:variant>
        <vt:i4>501</vt:i4>
      </vt:variant>
      <vt:variant>
        <vt:i4>0</vt:i4>
      </vt:variant>
      <vt:variant>
        <vt:i4>5</vt:i4>
      </vt:variant>
      <vt:variant>
        <vt:lpwstr>https://www.tewhatuora.govt.nz/publications/greenhouse-gas-inventory-report-2022-23</vt:lpwstr>
      </vt:variant>
      <vt:variant>
        <vt:lpwstr/>
      </vt:variant>
      <vt:variant>
        <vt:i4>4988965</vt:i4>
      </vt:variant>
      <vt:variant>
        <vt:i4>498</vt:i4>
      </vt:variant>
      <vt:variant>
        <vt:i4>0</vt:i4>
      </vt:variant>
      <vt:variant>
        <vt:i4>5</vt:i4>
      </vt:variant>
      <vt:variant>
        <vt:lpwstr>https://hauoraaotearoa.sharepoint.com/sites/2000062/Emissions Management/ERP 2024-25/ERP 2025 Planning/Crown Entities Act 2004 No 115 (as at 01 July 2024), Public Act Contents – New Zealand Legislation</vt:lpwstr>
      </vt:variant>
      <vt:variant>
        <vt:lpwstr/>
      </vt:variant>
      <vt:variant>
        <vt:i4>1703993</vt:i4>
      </vt:variant>
      <vt:variant>
        <vt:i4>491</vt:i4>
      </vt:variant>
      <vt:variant>
        <vt:i4>0</vt:i4>
      </vt:variant>
      <vt:variant>
        <vt:i4>5</vt:i4>
      </vt:variant>
      <vt:variant>
        <vt:lpwstr/>
      </vt:variant>
      <vt:variant>
        <vt:lpwstr>_Toc198286807</vt:lpwstr>
      </vt:variant>
      <vt:variant>
        <vt:i4>1703993</vt:i4>
      </vt:variant>
      <vt:variant>
        <vt:i4>485</vt:i4>
      </vt:variant>
      <vt:variant>
        <vt:i4>0</vt:i4>
      </vt:variant>
      <vt:variant>
        <vt:i4>5</vt:i4>
      </vt:variant>
      <vt:variant>
        <vt:lpwstr/>
      </vt:variant>
      <vt:variant>
        <vt:lpwstr>_Toc198286806</vt:lpwstr>
      </vt:variant>
      <vt:variant>
        <vt:i4>1703993</vt:i4>
      </vt:variant>
      <vt:variant>
        <vt:i4>479</vt:i4>
      </vt:variant>
      <vt:variant>
        <vt:i4>0</vt:i4>
      </vt:variant>
      <vt:variant>
        <vt:i4>5</vt:i4>
      </vt:variant>
      <vt:variant>
        <vt:lpwstr/>
      </vt:variant>
      <vt:variant>
        <vt:lpwstr>_Toc198286805</vt:lpwstr>
      </vt:variant>
      <vt:variant>
        <vt:i4>1703993</vt:i4>
      </vt:variant>
      <vt:variant>
        <vt:i4>473</vt:i4>
      </vt:variant>
      <vt:variant>
        <vt:i4>0</vt:i4>
      </vt:variant>
      <vt:variant>
        <vt:i4>5</vt:i4>
      </vt:variant>
      <vt:variant>
        <vt:lpwstr/>
      </vt:variant>
      <vt:variant>
        <vt:lpwstr>_Toc198286804</vt:lpwstr>
      </vt:variant>
      <vt:variant>
        <vt:i4>1703993</vt:i4>
      </vt:variant>
      <vt:variant>
        <vt:i4>467</vt:i4>
      </vt:variant>
      <vt:variant>
        <vt:i4>0</vt:i4>
      </vt:variant>
      <vt:variant>
        <vt:i4>5</vt:i4>
      </vt:variant>
      <vt:variant>
        <vt:lpwstr/>
      </vt:variant>
      <vt:variant>
        <vt:lpwstr>_Toc198286803</vt:lpwstr>
      </vt:variant>
      <vt:variant>
        <vt:i4>1703993</vt:i4>
      </vt:variant>
      <vt:variant>
        <vt:i4>461</vt:i4>
      </vt:variant>
      <vt:variant>
        <vt:i4>0</vt:i4>
      </vt:variant>
      <vt:variant>
        <vt:i4>5</vt:i4>
      </vt:variant>
      <vt:variant>
        <vt:lpwstr/>
      </vt:variant>
      <vt:variant>
        <vt:lpwstr>_Toc198286802</vt:lpwstr>
      </vt:variant>
      <vt:variant>
        <vt:i4>1703993</vt:i4>
      </vt:variant>
      <vt:variant>
        <vt:i4>455</vt:i4>
      </vt:variant>
      <vt:variant>
        <vt:i4>0</vt:i4>
      </vt:variant>
      <vt:variant>
        <vt:i4>5</vt:i4>
      </vt:variant>
      <vt:variant>
        <vt:lpwstr/>
      </vt:variant>
      <vt:variant>
        <vt:lpwstr>_Toc198286801</vt:lpwstr>
      </vt:variant>
      <vt:variant>
        <vt:i4>1703993</vt:i4>
      </vt:variant>
      <vt:variant>
        <vt:i4>449</vt:i4>
      </vt:variant>
      <vt:variant>
        <vt:i4>0</vt:i4>
      </vt:variant>
      <vt:variant>
        <vt:i4>5</vt:i4>
      </vt:variant>
      <vt:variant>
        <vt:lpwstr/>
      </vt:variant>
      <vt:variant>
        <vt:lpwstr>_Toc198286800</vt:lpwstr>
      </vt:variant>
      <vt:variant>
        <vt:i4>1245238</vt:i4>
      </vt:variant>
      <vt:variant>
        <vt:i4>443</vt:i4>
      </vt:variant>
      <vt:variant>
        <vt:i4>0</vt:i4>
      </vt:variant>
      <vt:variant>
        <vt:i4>5</vt:i4>
      </vt:variant>
      <vt:variant>
        <vt:lpwstr/>
      </vt:variant>
      <vt:variant>
        <vt:lpwstr>_Toc198286799</vt:lpwstr>
      </vt:variant>
      <vt:variant>
        <vt:i4>1245238</vt:i4>
      </vt:variant>
      <vt:variant>
        <vt:i4>434</vt:i4>
      </vt:variant>
      <vt:variant>
        <vt:i4>0</vt:i4>
      </vt:variant>
      <vt:variant>
        <vt:i4>5</vt:i4>
      </vt:variant>
      <vt:variant>
        <vt:lpwstr/>
      </vt:variant>
      <vt:variant>
        <vt:lpwstr>_Toc198286798</vt:lpwstr>
      </vt:variant>
      <vt:variant>
        <vt:i4>1245238</vt:i4>
      </vt:variant>
      <vt:variant>
        <vt:i4>428</vt:i4>
      </vt:variant>
      <vt:variant>
        <vt:i4>0</vt:i4>
      </vt:variant>
      <vt:variant>
        <vt:i4>5</vt:i4>
      </vt:variant>
      <vt:variant>
        <vt:lpwstr/>
      </vt:variant>
      <vt:variant>
        <vt:lpwstr>_Toc198286797</vt:lpwstr>
      </vt:variant>
      <vt:variant>
        <vt:i4>1245238</vt:i4>
      </vt:variant>
      <vt:variant>
        <vt:i4>422</vt:i4>
      </vt:variant>
      <vt:variant>
        <vt:i4>0</vt:i4>
      </vt:variant>
      <vt:variant>
        <vt:i4>5</vt:i4>
      </vt:variant>
      <vt:variant>
        <vt:lpwstr/>
      </vt:variant>
      <vt:variant>
        <vt:lpwstr>_Toc198286796</vt:lpwstr>
      </vt:variant>
      <vt:variant>
        <vt:i4>1245238</vt:i4>
      </vt:variant>
      <vt:variant>
        <vt:i4>416</vt:i4>
      </vt:variant>
      <vt:variant>
        <vt:i4>0</vt:i4>
      </vt:variant>
      <vt:variant>
        <vt:i4>5</vt:i4>
      </vt:variant>
      <vt:variant>
        <vt:lpwstr/>
      </vt:variant>
      <vt:variant>
        <vt:lpwstr>_Toc198286795</vt:lpwstr>
      </vt:variant>
      <vt:variant>
        <vt:i4>1245238</vt:i4>
      </vt:variant>
      <vt:variant>
        <vt:i4>410</vt:i4>
      </vt:variant>
      <vt:variant>
        <vt:i4>0</vt:i4>
      </vt:variant>
      <vt:variant>
        <vt:i4>5</vt:i4>
      </vt:variant>
      <vt:variant>
        <vt:lpwstr/>
      </vt:variant>
      <vt:variant>
        <vt:lpwstr>_Toc198286794</vt:lpwstr>
      </vt:variant>
      <vt:variant>
        <vt:i4>1245238</vt:i4>
      </vt:variant>
      <vt:variant>
        <vt:i4>404</vt:i4>
      </vt:variant>
      <vt:variant>
        <vt:i4>0</vt:i4>
      </vt:variant>
      <vt:variant>
        <vt:i4>5</vt:i4>
      </vt:variant>
      <vt:variant>
        <vt:lpwstr/>
      </vt:variant>
      <vt:variant>
        <vt:lpwstr>_Toc198286793</vt:lpwstr>
      </vt:variant>
      <vt:variant>
        <vt:i4>1245238</vt:i4>
      </vt:variant>
      <vt:variant>
        <vt:i4>398</vt:i4>
      </vt:variant>
      <vt:variant>
        <vt:i4>0</vt:i4>
      </vt:variant>
      <vt:variant>
        <vt:i4>5</vt:i4>
      </vt:variant>
      <vt:variant>
        <vt:lpwstr/>
      </vt:variant>
      <vt:variant>
        <vt:lpwstr>_Toc198286792</vt:lpwstr>
      </vt:variant>
      <vt:variant>
        <vt:i4>1245238</vt:i4>
      </vt:variant>
      <vt:variant>
        <vt:i4>392</vt:i4>
      </vt:variant>
      <vt:variant>
        <vt:i4>0</vt:i4>
      </vt:variant>
      <vt:variant>
        <vt:i4>5</vt:i4>
      </vt:variant>
      <vt:variant>
        <vt:lpwstr/>
      </vt:variant>
      <vt:variant>
        <vt:lpwstr>_Toc198286791</vt:lpwstr>
      </vt:variant>
      <vt:variant>
        <vt:i4>1245238</vt:i4>
      </vt:variant>
      <vt:variant>
        <vt:i4>386</vt:i4>
      </vt:variant>
      <vt:variant>
        <vt:i4>0</vt:i4>
      </vt:variant>
      <vt:variant>
        <vt:i4>5</vt:i4>
      </vt:variant>
      <vt:variant>
        <vt:lpwstr/>
      </vt:variant>
      <vt:variant>
        <vt:lpwstr>_Toc198286790</vt:lpwstr>
      </vt:variant>
      <vt:variant>
        <vt:i4>1179702</vt:i4>
      </vt:variant>
      <vt:variant>
        <vt:i4>380</vt:i4>
      </vt:variant>
      <vt:variant>
        <vt:i4>0</vt:i4>
      </vt:variant>
      <vt:variant>
        <vt:i4>5</vt:i4>
      </vt:variant>
      <vt:variant>
        <vt:lpwstr/>
      </vt:variant>
      <vt:variant>
        <vt:lpwstr>_Toc198286789</vt:lpwstr>
      </vt:variant>
      <vt:variant>
        <vt:i4>1179702</vt:i4>
      </vt:variant>
      <vt:variant>
        <vt:i4>374</vt:i4>
      </vt:variant>
      <vt:variant>
        <vt:i4>0</vt:i4>
      </vt:variant>
      <vt:variant>
        <vt:i4>5</vt:i4>
      </vt:variant>
      <vt:variant>
        <vt:lpwstr/>
      </vt:variant>
      <vt:variant>
        <vt:lpwstr>_Toc198286788</vt:lpwstr>
      </vt:variant>
      <vt:variant>
        <vt:i4>1179702</vt:i4>
      </vt:variant>
      <vt:variant>
        <vt:i4>368</vt:i4>
      </vt:variant>
      <vt:variant>
        <vt:i4>0</vt:i4>
      </vt:variant>
      <vt:variant>
        <vt:i4>5</vt:i4>
      </vt:variant>
      <vt:variant>
        <vt:lpwstr/>
      </vt:variant>
      <vt:variant>
        <vt:lpwstr>_Toc198286787</vt:lpwstr>
      </vt:variant>
      <vt:variant>
        <vt:i4>1179702</vt:i4>
      </vt:variant>
      <vt:variant>
        <vt:i4>362</vt:i4>
      </vt:variant>
      <vt:variant>
        <vt:i4>0</vt:i4>
      </vt:variant>
      <vt:variant>
        <vt:i4>5</vt:i4>
      </vt:variant>
      <vt:variant>
        <vt:lpwstr/>
      </vt:variant>
      <vt:variant>
        <vt:lpwstr>_Toc198286786</vt:lpwstr>
      </vt:variant>
      <vt:variant>
        <vt:i4>1179702</vt:i4>
      </vt:variant>
      <vt:variant>
        <vt:i4>356</vt:i4>
      </vt:variant>
      <vt:variant>
        <vt:i4>0</vt:i4>
      </vt:variant>
      <vt:variant>
        <vt:i4>5</vt:i4>
      </vt:variant>
      <vt:variant>
        <vt:lpwstr/>
      </vt:variant>
      <vt:variant>
        <vt:lpwstr>_Toc198286785</vt:lpwstr>
      </vt:variant>
      <vt:variant>
        <vt:i4>1179702</vt:i4>
      </vt:variant>
      <vt:variant>
        <vt:i4>350</vt:i4>
      </vt:variant>
      <vt:variant>
        <vt:i4>0</vt:i4>
      </vt:variant>
      <vt:variant>
        <vt:i4>5</vt:i4>
      </vt:variant>
      <vt:variant>
        <vt:lpwstr/>
      </vt:variant>
      <vt:variant>
        <vt:lpwstr>_Toc198286784</vt:lpwstr>
      </vt:variant>
      <vt:variant>
        <vt:i4>1179702</vt:i4>
      </vt:variant>
      <vt:variant>
        <vt:i4>344</vt:i4>
      </vt:variant>
      <vt:variant>
        <vt:i4>0</vt:i4>
      </vt:variant>
      <vt:variant>
        <vt:i4>5</vt:i4>
      </vt:variant>
      <vt:variant>
        <vt:lpwstr/>
      </vt:variant>
      <vt:variant>
        <vt:lpwstr>_Toc198286783</vt:lpwstr>
      </vt:variant>
      <vt:variant>
        <vt:i4>1179702</vt:i4>
      </vt:variant>
      <vt:variant>
        <vt:i4>335</vt:i4>
      </vt:variant>
      <vt:variant>
        <vt:i4>0</vt:i4>
      </vt:variant>
      <vt:variant>
        <vt:i4>5</vt:i4>
      </vt:variant>
      <vt:variant>
        <vt:lpwstr/>
      </vt:variant>
      <vt:variant>
        <vt:lpwstr>_Toc198286782</vt:lpwstr>
      </vt:variant>
      <vt:variant>
        <vt:i4>1179702</vt:i4>
      </vt:variant>
      <vt:variant>
        <vt:i4>329</vt:i4>
      </vt:variant>
      <vt:variant>
        <vt:i4>0</vt:i4>
      </vt:variant>
      <vt:variant>
        <vt:i4>5</vt:i4>
      </vt:variant>
      <vt:variant>
        <vt:lpwstr/>
      </vt:variant>
      <vt:variant>
        <vt:lpwstr>_Toc198286781</vt:lpwstr>
      </vt:variant>
      <vt:variant>
        <vt:i4>1179702</vt:i4>
      </vt:variant>
      <vt:variant>
        <vt:i4>323</vt:i4>
      </vt:variant>
      <vt:variant>
        <vt:i4>0</vt:i4>
      </vt:variant>
      <vt:variant>
        <vt:i4>5</vt:i4>
      </vt:variant>
      <vt:variant>
        <vt:lpwstr/>
      </vt:variant>
      <vt:variant>
        <vt:lpwstr>_Toc198286780</vt:lpwstr>
      </vt:variant>
      <vt:variant>
        <vt:i4>1900598</vt:i4>
      </vt:variant>
      <vt:variant>
        <vt:i4>317</vt:i4>
      </vt:variant>
      <vt:variant>
        <vt:i4>0</vt:i4>
      </vt:variant>
      <vt:variant>
        <vt:i4>5</vt:i4>
      </vt:variant>
      <vt:variant>
        <vt:lpwstr/>
      </vt:variant>
      <vt:variant>
        <vt:lpwstr>_Toc198286779</vt:lpwstr>
      </vt:variant>
      <vt:variant>
        <vt:i4>1900598</vt:i4>
      </vt:variant>
      <vt:variant>
        <vt:i4>311</vt:i4>
      </vt:variant>
      <vt:variant>
        <vt:i4>0</vt:i4>
      </vt:variant>
      <vt:variant>
        <vt:i4>5</vt:i4>
      </vt:variant>
      <vt:variant>
        <vt:lpwstr/>
      </vt:variant>
      <vt:variant>
        <vt:lpwstr>_Toc198286778</vt:lpwstr>
      </vt:variant>
      <vt:variant>
        <vt:i4>1900598</vt:i4>
      </vt:variant>
      <vt:variant>
        <vt:i4>305</vt:i4>
      </vt:variant>
      <vt:variant>
        <vt:i4>0</vt:i4>
      </vt:variant>
      <vt:variant>
        <vt:i4>5</vt:i4>
      </vt:variant>
      <vt:variant>
        <vt:lpwstr/>
      </vt:variant>
      <vt:variant>
        <vt:lpwstr>_Toc198286777</vt:lpwstr>
      </vt:variant>
      <vt:variant>
        <vt:i4>1900598</vt:i4>
      </vt:variant>
      <vt:variant>
        <vt:i4>299</vt:i4>
      </vt:variant>
      <vt:variant>
        <vt:i4>0</vt:i4>
      </vt:variant>
      <vt:variant>
        <vt:i4>5</vt:i4>
      </vt:variant>
      <vt:variant>
        <vt:lpwstr/>
      </vt:variant>
      <vt:variant>
        <vt:lpwstr>_Toc198286776</vt:lpwstr>
      </vt:variant>
      <vt:variant>
        <vt:i4>1900598</vt:i4>
      </vt:variant>
      <vt:variant>
        <vt:i4>293</vt:i4>
      </vt:variant>
      <vt:variant>
        <vt:i4>0</vt:i4>
      </vt:variant>
      <vt:variant>
        <vt:i4>5</vt:i4>
      </vt:variant>
      <vt:variant>
        <vt:lpwstr/>
      </vt:variant>
      <vt:variant>
        <vt:lpwstr>_Toc198286775</vt:lpwstr>
      </vt:variant>
      <vt:variant>
        <vt:i4>1900598</vt:i4>
      </vt:variant>
      <vt:variant>
        <vt:i4>287</vt:i4>
      </vt:variant>
      <vt:variant>
        <vt:i4>0</vt:i4>
      </vt:variant>
      <vt:variant>
        <vt:i4>5</vt:i4>
      </vt:variant>
      <vt:variant>
        <vt:lpwstr/>
      </vt:variant>
      <vt:variant>
        <vt:lpwstr>_Toc198286774</vt:lpwstr>
      </vt:variant>
      <vt:variant>
        <vt:i4>1900598</vt:i4>
      </vt:variant>
      <vt:variant>
        <vt:i4>281</vt:i4>
      </vt:variant>
      <vt:variant>
        <vt:i4>0</vt:i4>
      </vt:variant>
      <vt:variant>
        <vt:i4>5</vt:i4>
      </vt:variant>
      <vt:variant>
        <vt:lpwstr/>
      </vt:variant>
      <vt:variant>
        <vt:lpwstr>_Toc198286773</vt:lpwstr>
      </vt:variant>
      <vt:variant>
        <vt:i4>1900598</vt:i4>
      </vt:variant>
      <vt:variant>
        <vt:i4>275</vt:i4>
      </vt:variant>
      <vt:variant>
        <vt:i4>0</vt:i4>
      </vt:variant>
      <vt:variant>
        <vt:i4>5</vt:i4>
      </vt:variant>
      <vt:variant>
        <vt:lpwstr/>
      </vt:variant>
      <vt:variant>
        <vt:lpwstr>_Toc198286772</vt:lpwstr>
      </vt:variant>
      <vt:variant>
        <vt:i4>1900598</vt:i4>
      </vt:variant>
      <vt:variant>
        <vt:i4>269</vt:i4>
      </vt:variant>
      <vt:variant>
        <vt:i4>0</vt:i4>
      </vt:variant>
      <vt:variant>
        <vt:i4>5</vt:i4>
      </vt:variant>
      <vt:variant>
        <vt:lpwstr/>
      </vt:variant>
      <vt:variant>
        <vt:lpwstr>_Toc198286771</vt:lpwstr>
      </vt:variant>
      <vt:variant>
        <vt:i4>1900598</vt:i4>
      </vt:variant>
      <vt:variant>
        <vt:i4>263</vt:i4>
      </vt:variant>
      <vt:variant>
        <vt:i4>0</vt:i4>
      </vt:variant>
      <vt:variant>
        <vt:i4>5</vt:i4>
      </vt:variant>
      <vt:variant>
        <vt:lpwstr/>
      </vt:variant>
      <vt:variant>
        <vt:lpwstr>_Toc198286770</vt:lpwstr>
      </vt:variant>
      <vt:variant>
        <vt:i4>1835062</vt:i4>
      </vt:variant>
      <vt:variant>
        <vt:i4>257</vt:i4>
      </vt:variant>
      <vt:variant>
        <vt:i4>0</vt:i4>
      </vt:variant>
      <vt:variant>
        <vt:i4>5</vt:i4>
      </vt:variant>
      <vt:variant>
        <vt:lpwstr/>
      </vt:variant>
      <vt:variant>
        <vt:lpwstr>_Toc198286769</vt:lpwstr>
      </vt:variant>
      <vt:variant>
        <vt:i4>1835062</vt:i4>
      </vt:variant>
      <vt:variant>
        <vt:i4>251</vt:i4>
      </vt:variant>
      <vt:variant>
        <vt:i4>0</vt:i4>
      </vt:variant>
      <vt:variant>
        <vt:i4>5</vt:i4>
      </vt:variant>
      <vt:variant>
        <vt:lpwstr/>
      </vt:variant>
      <vt:variant>
        <vt:lpwstr>_Toc198286768</vt:lpwstr>
      </vt:variant>
      <vt:variant>
        <vt:i4>1835062</vt:i4>
      </vt:variant>
      <vt:variant>
        <vt:i4>245</vt:i4>
      </vt:variant>
      <vt:variant>
        <vt:i4>0</vt:i4>
      </vt:variant>
      <vt:variant>
        <vt:i4>5</vt:i4>
      </vt:variant>
      <vt:variant>
        <vt:lpwstr/>
      </vt:variant>
      <vt:variant>
        <vt:lpwstr>_Toc198286767</vt:lpwstr>
      </vt:variant>
      <vt:variant>
        <vt:i4>1835062</vt:i4>
      </vt:variant>
      <vt:variant>
        <vt:i4>239</vt:i4>
      </vt:variant>
      <vt:variant>
        <vt:i4>0</vt:i4>
      </vt:variant>
      <vt:variant>
        <vt:i4>5</vt:i4>
      </vt:variant>
      <vt:variant>
        <vt:lpwstr/>
      </vt:variant>
      <vt:variant>
        <vt:lpwstr>_Toc198286766</vt:lpwstr>
      </vt:variant>
      <vt:variant>
        <vt:i4>1835062</vt:i4>
      </vt:variant>
      <vt:variant>
        <vt:i4>233</vt:i4>
      </vt:variant>
      <vt:variant>
        <vt:i4>0</vt:i4>
      </vt:variant>
      <vt:variant>
        <vt:i4>5</vt:i4>
      </vt:variant>
      <vt:variant>
        <vt:lpwstr/>
      </vt:variant>
      <vt:variant>
        <vt:lpwstr>_Toc198286765</vt:lpwstr>
      </vt:variant>
      <vt:variant>
        <vt:i4>1835062</vt:i4>
      </vt:variant>
      <vt:variant>
        <vt:i4>227</vt:i4>
      </vt:variant>
      <vt:variant>
        <vt:i4>0</vt:i4>
      </vt:variant>
      <vt:variant>
        <vt:i4>5</vt:i4>
      </vt:variant>
      <vt:variant>
        <vt:lpwstr/>
      </vt:variant>
      <vt:variant>
        <vt:lpwstr>_Toc198286764</vt:lpwstr>
      </vt:variant>
      <vt:variant>
        <vt:i4>1835062</vt:i4>
      </vt:variant>
      <vt:variant>
        <vt:i4>221</vt:i4>
      </vt:variant>
      <vt:variant>
        <vt:i4>0</vt:i4>
      </vt:variant>
      <vt:variant>
        <vt:i4>5</vt:i4>
      </vt:variant>
      <vt:variant>
        <vt:lpwstr/>
      </vt:variant>
      <vt:variant>
        <vt:lpwstr>_Toc198286763</vt:lpwstr>
      </vt:variant>
      <vt:variant>
        <vt:i4>1835062</vt:i4>
      </vt:variant>
      <vt:variant>
        <vt:i4>215</vt:i4>
      </vt:variant>
      <vt:variant>
        <vt:i4>0</vt:i4>
      </vt:variant>
      <vt:variant>
        <vt:i4>5</vt:i4>
      </vt:variant>
      <vt:variant>
        <vt:lpwstr/>
      </vt:variant>
      <vt:variant>
        <vt:lpwstr>_Toc198286762</vt:lpwstr>
      </vt:variant>
      <vt:variant>
        <vt:i4>1835062</vt:i4>
      </vt:variant>
      <vt:variant>
        <vt:i4>209</vt:i4>
      </vt:variant>
      <vt:variant>
        <vt:i4>0</vt:i4>
      </vt:variant>
      <vt:variant>
        <vt:i4>5</vt:i4>
      </vt:variant>
      <vt:variant>
        <vt:lpwstr/>
      </vt:variant>
      <vt:variant>
        <vt:lpwstr>_Toc198286761</vt:lpwstr>
      </vt:variant>
      <vt:variant>
        <vt:i4>1835062</vt:i4>
      </vt:variant>
      <vt:variant>
        <vt:i4>203</vt:i4>
      </vt:variant>
      <vt:variant>
        <vt:i4>0</vt:i4>
      </vt:variant>
      <vt:variant>
        <vt:i4>5</vt:i4>
      </vt:variant>
      <vt:variant>
        <vt:lpwstr/>
      </vt:variant>
      <vt:variant>
        <vt:lpwstr>_Toc198286760</vt:lpwstr>
      </vt:variant>
      <vt:variant>
        <vt:i4>2031670</vt:i4>
      </vt:variant>
      <vt:variant>
        <vt:i4>197</vt:i4>
      </vt:variant>
      <vt:variant>
        <vt:i4>0</vt:i4>
      </vt:variant>
      <vt:variant>
        <vt:i4>5</vt:i4>
      </vt:variant>
      <vt:variant>
        <vt:lpwstr/>
      </vt:variant>
      <vt:variant>
        <vt:lpwstr>_Toc198286759</vt:lpwstr>
      </vt:variant>
      <vt:variant>
        <vt:i4>2031670</vt:i4>
      </vt:variant>
      <vt:variant>
        <vt:i4>191</vt:i4>
      </vt:variant>
      <vt:variant>
        <vt:i4>0</vt:i4>
      </vt:variant>
      <vt:variant>
        <vt:i4>5</vt:i4>
      </vt:variant>
      <vt:variant>
        <vt:lpwstr/>
      </vt:variant>
      <vt:variant>
        <vt:lpwstr>_Toc198286758</vt:lpwstr>
      </vt:variant>
      <vt:variant>
        <vt:i4>2031670</vt:i4>
      </vt:variant>
      <vt:variant>
        <vt:i4>185</vt:i4>
      </vt:variant>
      <vt:variant>
        <vt:i4>0</vt:i4>
      </vt:variant>
      <vt:variant>
        <vt:i4>5</vt:i4>
      </vt:variant>
      <vt:variant>
        <vt:lpwstr/>
      </vt:variant>
      <vt:variant>
        <vt:lpwstr>_Toc198286757</vt:lpwstr>
      </vt:variant>
      <vt:variant>
        <vt:i4>2031670</vt:i4>
      </vt:variant>
      <vt:variant>
        <vt:i4>179</vt:i4>
      </vt:variant>
      <vt:variant>
        <vt:i4>0</vt:i4>
      </vt:variant>
      <vt:variant>
        <vt:i4>5</vt:i4>
      </vt:variant>
      <vt:variant>
        <vt:lpwstr/>
      </vt:variant>
      <vt:variant>
        <vt:lpwstr>_Toc198286756</vt:lpwstr>
      </vt:variant>
      <vt:variant>
        <vt:i4>2031670</vt:i4>
      </vt:variant>
      <vt:variant>
        <vt:i4>173</vt:i4>
      </vt:variant>
      <vt:variant>
        <vt:i4>0</vt:i4>
      </vt:variant>
      <vt:variant>
        <vt:i4>5</vt:i4>
      </vt:variant>
      <vt:variant>
        <vt:lpwstr/>
      </vt:variant>
      <vt:variant>
        <vt:lpwstr>_Toc198286755</vt:lpwstr>
      </vt:variant>
      <vt:variant>
        <vt:i4>2031670</vt:i4>
      </vt:variant>
      <vt:variant>
        <vt:i4>167</vt:i4>
      </vt:variant>
      <vt:variant>
        <vt:i4>0</vt:i4>
      </vt:variant>
      <vt:variant>
        <vt:i4>5</vt:i4>
      </vt:variant>
      <vt:variant>
        <vt:lpwstr/>
      </vt:variant>
      <vt:variant>
        <vt:lpwstr>_Toc198286754</vt:lpwstr>
      </vt:variant>
      <vt:variant>
        <vt:i4>2031670</vt:i4>
      </vt:variant>
      <vt:variant>
        <vt:i4>161</vt:i4>
      </vt:variant>
      <vt:variant>
        <vt:i4>0</vt:i4>
      </vt:variant>
      <vt:variant>
        <vt:i4>5</vt:i4>
      </vt:variant>
      <vt:variant>
        <vt:lpwstr/>
      </vt:variant>
      <vt:variant>
        <vt:lpwstr>_Toc198286753</vt:lpwstr>
      </vt:variant>
      <vt:variant>
        <vt:i4>2031670</vt:i4>
      </vt:variant>
      <vt:variant>
        <vt:i4>155</vt:i4>
      </vt:variant>
      <vt:variant>
        <vt:i4>0</vt:i4>
      </vt:variant>
      <vt:variant>
        <vt:i4>5</vt:i4>
      </vt:variant>
      <vt:variant>
        <vt:lpwstr/>
      </vt:variant>
      <vt:variant>
        <vt:lpwstr>_Toc198286752</vt:lpwstr>
      </vt:variant>
      <vt:variant>
        <vt:i4>2031670</vt:i4>
      </vt:variant>
      <vt:variant>
        <vt:i4>149</vt:i4>
      </vt:variant>
      <vt:variant>
        <vt:i4>0</vt:i4>
      </vt:variant>
      <vt:variant>
        <vt:i4>5</vt:i4>
      </vt:variant>
      <vt:variant>
        <vt:lpwstr/>
      </vt:variant>
      <vt:variant>
        <vt:lpwstr>_Toc198286751</vt:lpwstr>
      </vt:variant>
      <vt:variant>
        <vt:i4>2031670</vt:i4>
      </vt:variant>
      <vt:variant>
        <vt:i4>143</vt:i4>
      </vt:variant>
      <vt:variant>
        <vt:i4>0</vt:i4>
      </vt:variant>
      <vt:variant>
        <vt:i4>5</vt:i4>
      </vt:variant>
      <vt:variant>
        <vt:lpwstr/>
      </vt:variant>
      <vt:variant>
        <vt:lpwstr>_Toc198286750</vt:lpwstr>
      </vt:variant>
      <vt:variant>
        <vt:i4>1966134</vt:i4>
      </vt:variant>
      <vt:variant>
        <vt:i4>137</vt:i4>
      </vt:variant>
      <vt:variant>
        <vt:i4>0</vt:i4>
      </vt:variant>
      <vt:variant>
        <vt:i4>5</vt:i4>
      </vt:variant>
      <vt:variant>
        <vt:lpwstr/>
      </vt:variant>
      <vt:variant>
        <vt:lpwstr>_Toc198286749</vt:lpwstr>
      </vt:variant>
      <vt:variant>
        <vt:i4>1966134</vt:i4>
      </vt:variant>
      <vt:variant>
        <vt:i4>131</vt:i4>
      </vt:variant>
      <vt:variant>
        <vt:i4>0</vt:i4>
      </vt:variant>
      <vt:variant>
        <vt:i4>5</vt:i4>
      </vt:variant>
      <vt:variant>
        <vt:lpwstr/>
      </vt:variant>
      <vt:variant>
        <vt:lpwstr>_Toc198286748</vt:lpwstr>
      </vt:variant>
      <vt:variant>
        <vt:i4>1966134</vt:i4>
      </vt:variant>
      <vt:variant>
        <vt:i4>125</vt:i4>
      </vt:variant>
      <vt:variant>
        <vt:i4>0</vt:i4>
      </vt:variant>
      <vt:variant>
        <vt:i4>5</vt:i4>
      </vt:variant>
      <vt:variant>
        <vt:lpwstr/>
      </vt:variant>
      <vt:variant>
        <vt:lpwstr>_Toc198286747</vt:lpwstr>
      </vt:variant>
      <vt:variant>
        <vt:i4>1966134</vt:i4>
      </vt:variant>
      <vt:variant>
        <vt:i4>119</vt:i4>
      </vt:variant>
      <vt:variant>
        <vt:i4>0</vt:i4>
      </vt:variant>
      <vt:variant>
        <vt:i4>5</vt:i4>
      </vt:variant>
      <vt:variant>
        <vt:lpwstr/>
      </vt:variant>
      <vt:variant>
        <vt:lpwstr>_Toc198286746</vt:lpwstr>
      </vt:variant>
      <vt:variant>
        <vt:i4>1966134</vt:i4>
      </vt:variant>
      <vt:variant>
        <vt:i4>113</vt:i4>
      </vt:variant>
      <vt:variant>
        <vt:i4>0</vt:i4>
      </vt:variant>
      <vt:variant>
        <vt:i4>5</vt:i4>
      </vt:variant>
      <vt:variant>
        <vt:lpwstr/>
      </vt:variant>
      <vt:variant>
        <vt:lpwstr>_Toc198286745</vt:lpwstr>
      </vt:variant>
      <vt:variant>
        <vt:i4>1966134</vt:i4>
      </vt:variant>
      <vt:variant>
        <vt:i4>107</vt:i4>
      </vt:variant>
      <vt:variant>
        <vt:i4>0</vt:i4>
      </vt:variant>
      <vt:variant>
        <vt:i4>5</vt:i4>
      </vt:variant>
      <vt:variant>
        <vt:lpwstr/>
      </vt:variant>
      <vt:variant>
        <vt:lpwstr>_Toc198286744</vt:lpwstr>
      </vt:variant>
      <vt:variant>
        <vt:i4>1966134</vt:i4>
      </vt:variant>
      <vt:variant>
        <vt:i4>101</vt:i4>
      </vt:variant>
      <vt:variant>
        <vt:i4>0</vt:i4>
      </vt:variant>
      <vt:variant>
        <vt:i4>5</vt:i4>
      </vt:variant>
      <vt:variant>
        <vt:lpwstr/>
      </vt:variant>
      <vt:variant>
        <vt:lpwstr>_Toc198286743</vt:lpwstr>
      </vt:variant>
      <vt:variant>
        <vt:i4>1966134</vt:i4>
      </vt:variant>
      <vt:variant>
        <vt:i4>95</vt:i4>
      </vt:variant>
      <vt:variant>
        <vt:i4>0</vt:i4>
      </vt:variant>
      <vt:variant>
        <vt:i4>5</vt:i4>
      </vt:variant>
      <vt:variant>
        <vt:lpwstr/>
      </vt:variant>
      <vt:variant>
        <vt:lpwstr>_Toc198286742</vt:lpwstr>
      </vt:variant>
      <vt:variant>
        <vt:i4>1966134</vt:i4>
      </vt:variant>
      <vt:variant>
        <vt:i4>89</vt:i4>
      </vt:variant>
      <vt:variant>
        <vt:i4>0</vt:i4>
      </vt:variant>
      <vt:variant>
        <vt:i4>5</vt:i4>
      </vt:variant>
      <vt:variant>
        <vt:lpwstr/>
      </vt:variant>
      <vt:variant>
        <vt:lpwstr>_Toc198286741</vt:lpwstr>
      </vt:variant>
      <vt:variant>
        <vt:i4>1966134</vt:i4>
      </vt:variant>
      <vt:variant>
        <vt:i4>83</vt:i4>
      </vt:variant>
      <vt:variant>
        <vt:i4>0</vt:i4>
      </vt:variant>
      <vt:variant>
        <vt:i4>5</vt:i4>
      </vt:variant>
      <vt:variant>
        <vt:lpwstr/>
      </vt:variant>
      <vt:variant>
        <vt:lpwstr>_Toc198286740</vt:lpwstr>
      </vt:variant>
      <vt:variant>
        <vt:i4>1638454</vt:i4>
      </vt:variant>
      <vt:variant>
        <vt:i4>77</vt:i4>
      </vt:variant>
      <vt:variant>
        <vt:i4>0</vt:i4>
      </vt:variant>
      <vt:variant>
        <vt:i4>5</vt:i4>
      </vt:variant>
      <vt:variant>
        <vt:lpwstr/>
      </vt:variant>
      <vt:variant>
        <vt:lpwstr>_Toc198286739</vt:lpwstr>
      </vt:variant>
      <vt:variant>
        <vt:i4>1638454</vt:i4>
      </vt:variant>
      <vt:variant>
        <vt:i4>71</vt:i4>
      </vt:variant>
      <vt:variant>
        <vt:i4>0</vt:i4>
      </vt:variant>
      <vt:variant>
        <vt:i4>5</vt:i4>
      </vt:variant>
      <vt:variant>
        <vt:lpwstr/>
      </vt:variant>
      <vt:variant>
        <vt:lpwstr>_Toc198286738</vt:lpwstr>
      </vt:variant>
      <vt:variant>
        <vt:i4>1638454</vt:i4>
      </vt:variant>
      <vt:variant>
        <vt:i4>65</vt:i4>
      </vt:variant>
      <vt:variant>
        <vt:i4>0</vt:i4>
      </vt:variant>
      <vt:variant>
        <vt:i4>5</vt:i4>
      </vt:variant>
      <vt:variant>
        <vt:lpwstr/>
      </vt:variant>
      <vt:variant>
        <vt:lpwstr>_Toc198286737</vt:lpwstr>
      </vt:variant>
      <vt:variant>
        <vt:i4>1638454</vt:i4>
      </vt:variant>
      <vt:variant>
        <vt:i4>59</vt:i4>
      </vt:variant>
      <vt:variant>
        <vt:i4>0</vt:i4>
      </vt:variant>
      <vt:variant>
        <vt:i4>5</vt:i4>
      </vt:variant>
      <vt:variant>
        <vt:lpwstr/>
      </vt:variant>
      <vt:variant>
        <vt:lpwstr>_Toc198286736</vt:lpwstr>
      </vt:variant>
      <vt:variant>
        <vt:i4>1638454</vt:i4>
      </vt:variant>
      <vt:variant>
        <vt:i4>53</vt:i4>
      </vt:variant>
      <vt:variant>
        <vt:i4>0</vt:i4>
      </vt:variant>
      <vt:variant>
        <vt:i4>5</vt:i4>
      </vt:variant>
      <vt:variant>
        <vt:lpwstr/>
      </vt:variant>
      <vt:variant>
        <vt:lpwstr>_Toc198286735</vt:lpwstr>
      </vt:variant>
      <vt:variant>
        <vt:i4>1638454</vt:i4>
      </vt:variant>
      <vt:variant>
        <vt:i4>47</vt:i4>
      </vt:variant>
      <vt:variant>
        <vt:i4>0</vt:i4>
      </vt:variant>
      <vt:variant>
        <vt:i4>5</vt:i4>
      </vt:variant>
      <vt:variant>
        <vt:lpwstr/>
      </vt:variant>
      <vt:variant>
        <vt:lpwstr>_Toc198286734</vt:lpwstr>
      </vt:variant>
      <vt:variant>
        <vt:i4>1638454</vt:i4>
      </vt:variant>
      <vt:variant>
        <vt:i4>41</vt:i4>
      </vt:variant>
      <vt:variant>
        <vt:i4>0</vt:i4>
      </vt:variant>
      <vt:variant>
        <vt:i4>5</vt:i4>
      </vt:variant>
      <vt:variant>
        <vt:lpwstr/>
      </vt:variant>
      <vt:variant>
        <vt:lpwstr>_Toc198286733</vt:lpwstr>
      </vt:variant>
      <vt:variant>
        <vt:i4>1638454</vt:i4>
      </vt:variant>
      <vt:variant>
        <vt:i4>35</vt:i4>
      </vt:variant>
      <vt:variant>
        <vt:i4>0</vt:i4>
      </vt:variant>
      <vt:variant>
        <vt:i4>5</vt:i4>
      </vt:variant>
      <vt:variant>
        <vt:lpwstr/>
      </vt:variant>
      <vt:variant>
        <vt:lpwstr>_Toc198286732</vt:lpwstr>
      </vt:variant>
      <vt:variant>
        <vt:i4>1638454</vt:i4>
      </vt:variant>
      <vt:variant>
        <vt:i4>29</vt:i4>
      </vt:variant>
      <vt:variant>
        <vt:i4>0</vt:i4>
      </vt:variant>
      <vt:variant>
        <vt:i4>5</vt:i4>
      </vt:variant>
      <vt:variant>
        <vt:lpwstr/>
      </vt:variant>
      <vt:variant>
        <vt:lpwstr>_Toc198286731</vt:lpwstr>
      </vt:variant>
      <vt:variant>
        <vt:i4>1638454</vt:i4>
      </vt:variant>
      <vt:variant>
        <vt:i4>23</vt:i4>
      </vt:variant>
      <vt:variant>
        <vt:i4>0</vt:i4>
      </vt:variant>
      <vt:variant>
        <vt:i4>5</vt:i4>
      </vt:variant>
      <vt:variant>
        <vt:lpwstr/>
      </vt:variant>
      <vt:variant>
        <vt:lpwstr>_Toc198286730</vt:lpwstr>
      </vt:variant>
      <vt:variant>
        <vt:i4>1572918</vt:i4>
      </vt:variant>
      <vt:variant>
        <vt:i4>17</vt:i4>
      </vt:variant>
      <vt:variant>
        <vt:i4>0</vt:i4>
      </vt:variant>
      <vt:variant>
        <vt:i4>5</vt:i4>
      </vt:variant>
      <vt:variant>
        <vt:lpwstr/>
      </vt:variant>
      <vt:variant>
        <vt:lpwstr>_Toc198286729</vt:lpwstr>
      </vt:variant>
      <vt:variant>
        <vt:i4>1572918</vt:i4>
      </vt:variant>
      <vt:variant>
        <vt:i4>11</vt:i4>
      </vt:variant>
      <vt:variant>
        <vt:i4>0</vt:i4>
      </vt:variant>
      <vt:variant>
        <vt:i4>5</vt:i4>
      </vt:variant>
      <vt:variant>
        <vt:lpwstr/>
      </vt:variant>
      <vt:variant>
        <vt:lpwstr>_Toc198286728</vt:lpwstr>
      </vt:variant>
      <vt:variant>
        <vt:i4>1572918</vt:i4>
      </vt:variant>
      <vt:variant>
        <vt:i4>5</vt:i4>
      </vt:variant>
      <vt:variant>
        <vt:i4>0</vt:i4>
      </vt:variant>
      <vt:variant>
        <vt:i4>5</vt:i4>
      </vt:variant>
      <vt:variant>
        <vt:lpwstr/>
      </vt:variant>
      <vt:variant>
        <vt:lpwstr>_Toc198286727</vt:lpwstr>
      </vt:variant>
      <vt:variant>
        <vt:i4>7995518</vt:i4>
      </vt:variant>
      <vt:variant>
        <vt:i4>0</vt:i4>
      </vt:variant>
      <vt:variant>
        <vt:i4>0</vt:i4>
      </vt:variant>
      <vt:variant>
        <vt:i4>5</vt:i4>
      </vt:variant>
      <vt:variant>
        <vt:lpwstr>https://www.tewhatuora.govt.nz/</vt:lpwstr>
      </vt:variant>
      <vt:variant>
        <vt:lpwstr/>
      </vt:variant>
      <vt:variant>
        <vt:i4>1376350</vt:i4>
      </vt:variant>
      <vt:variant>
        <vt:i4>12</vt:i4>
      </vt:variant>
      <vt:variant>
        <vt:i4>0</vt:i4>
      </vt:variant>
      <vt:variant>
        <vt:i4>5</vt:i4>
      </vt:variant>
      <vt:variant>
        <vt:lpwstr>https://www.ehinz.ac.nz/indicators/transport/about-transport-and-health/</vt:lpwstr>
      </vt:variant>
      <vt:variant>
        <vt:lpwstr/>
      </vt:variant>
      <vt:variant>
        <vt:i4>4784176</vt:i4>
      </vt:variant>
      <vt:variant>
        <vt:i4>9</vt:i4>
      </vt:variant>
      <vt:variant>
        <vt:i4>0</vt:i4>
      </vt:variant>
      <vt:variant>
        <vt:i4>5</vt:i4>
      </vt:variant>
      <vt:variant>
        <vt:lpwstr>https://global.noharm.org/sites/default/files/documents-files/5961/HealthCaresClimateFootprint_092319.pdf</vt:lpwstr>
      </vt:variant>
      <vt:variant>
        <vt:lpwstr/>
      </vt:variant>
      <vt:variant>
        <vt:i4>5505041</vt:i4>
      </vt:variant>
      <vt:variant>
        <vt:i4>6</vt:i4>
      </vt:variant>
      <vt:variant>
        <vt:i4>0</vt:i4>
      </vt:variant>
      <vt:variant>
        <vt:i4>5</vt:i4>
      </vt:variant>
      <vt:variant>
        <vt:lpwstr>https://ranzco.edu/news/ranzco-position-statement-on-diabetic-retinopathy-and-diabetic-retinal-screening-in-new-zealand/</vt:lpwstr>
      </vt:variant>
      <vt:variant>
        <vt:lpwstr/>
      </vt:variant>
      <vt:variant>
        <vt:i4>5439612</vt:i4>
      </vt:variant>
      <vt:variant>
        <vt:i4>3</vt:i4>
      </vt:variant>
      <vt:variant>
        <vt:i4>0</vt:i4>
      </vt:variant>
      <vt:variant>
        <vt:i4>5</vt:i4>
      </vt:variant>
      <vt:variant>
        <vt:lpwstr>https://youtu.be/Y_B2k1SaH5Y</vt:lpwstr>
      </vt:variant>
      <vt:variant>
        <vt:lpwstr/>
      </vt:variant>
      <vt:variant>
        <vt:i4>917523</vt:i4>
      </vt:variant>
      <vt:variant>
        <vt:i4>0</vt:i4>
      </vt:variant>
      <vt:variant>
        <vt:i4>0</vt:i4>
      </vt:variant>
      <vt:variant>
        <vt:i4>5</vt:i4>
      </vt:variant>
      <vt:variant>
        <vt:lpwstr>https://environment.govt.nz/assets/publications/climate-change/Carbon-Neutral-Government-Programme-A-guide-to-managing-your-greenhouse-gas-emissions.pdf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2025-07-31T23:35:00Z</dcterms:created>
  <dcterms:modified xsi:type="dcterms:W3CDTF">2025-07-31T23:39:00Z</dcterms:modified>
</cp:coreProperties>
</file>