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D5A34" w14:textId="316AF4E3" w:rsidR="00817A32" w:rsidRDefault="004F162C" w:rsidP="00817A32">
      <w:pPr>
        <w:jc w:val="right"/>
      </w:pPr>
      <w:r>
        <w:rPr>
          <w:noProof/>
        </w:rPr>
        <mc:AlternateContent>
          <mc:Choice Requires="wps">
            <w:drawing>
              <wp:anchor distT="0" distB="0" distL="114300" distR="114300" simplePos="0" relativeHeight="251668480" behindDoc="0" locked="0" layoutInCell="1" allowOverlap="1" wp14:anchorId="6731196C" wp14:editId="7B05F12D">
                <wp:simplePos x="0" y="0"/>
                <wp:positionH relativeFrom="column">
                  <wp:posOffset>-402039</wp:posOffset>
                </wp:positionH>
                <wp:positionV relativeFrom="paragraph">
                  <wp:posOffset>90943</wp:posOffset>
                </wp:positionV>
                <wp:extent cx="7164125" cy="4524292"/>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164125" cy="4524292"/>
                        </a:xfrm>
                        <a:prstGeom prst="rect">
                          <a:avLst/>
                        </a:prstGeom>
                        <a:noFill/>
                        <a:ln w="6350">
                          <a:noFill/>
                        </a:ln>
                      </wps:spPr>
                      <wps:txbx>
                        <w:txbxContent>
                          <w:p w14:paraId="1C700144" w14:textId="77777777" w:rsidR="004F162C" w:rsidRPr="007B485F" w:rsidRDefault="004F162C" w:rsidP="004F162C">
                            <w:pPr>
                              <w:pStyle w:val="NoSpacing"/>
                            </w:pPr>
                            <w:bookmarkStart w:id="0" w:name="_Hlk153265899"/>
                            <w:bookmarkEnd w:id="0"/>
                            <w:r w:rsidRPr="007B485F">
                              <w:t xml:space="preserve">Quarterly Performance Report  </w:t>
                            </w:r>
                          </w:p>
                          <w:p w14:paraId="320D2F65" w14:textId="77777777" w:rsidR="004F162C" w:rsidRDefault="004F16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1196C" id="_x0000_t202" coordsize="21600,21600" o:spt="202" path="m,l,21600r21600,l21600,xe">
                <v:stroke joinstyle="miter"/>
                <v:path gradientshapeok="t" o:connecttype="rect"/>
              </v:shapetype>
              <v:shape id="Text Box 17" o:spid="_x0000_s1026" type="#_x0000_t202" style="position:absolute;left:0;text-align:left;margin-left:-31.65pt;margin-top:7.15pt;width:564.1pt;height:35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" filled="f" stroked="f" strokeweight=".5pt">
                <v:textbox>
                  <w:txbxContent>
                    <w:p w14:paraId="1C700144" w14:textId="77777777" w:rsidR="004F162C" w:rsidRPr="007B485F" w:rsidRDefault="004F162C" w:rsidP="004F162C">
                      <w:pPr>
                        <w:pStyle w:val="NoSpacing"/>
                      </w:pPr>
                      <w:bookmarkStart w:id="1" w:name="_Hlk153265899"/>
                      <w:bookmarkEnd w:id="1"/>
                      <w:r w:rsidRPr="007B485F">
                        <w:t xml:space="preserve">Quarterly Performance Report  </w:t>
                      </w:r>
                    </w:p>
                    <w:p w14:paraId="320D2F65" w14:textId="77777777" w:rsidR="004F162C" w:rsidRDefault="004F162C"/>
                  </w:txbxContent>
                </v:textbox>
              </v:shape>
            </w:pict>
          </mc:Fallback>
        </mc:AlternateContent>
      </w:r>
      <w:r w:rsidR="00EF65BC">
        <w:rPr>
          <w:noProof/>
        </w:rPr>
        <w:drawing>
          <wp:anchor distT="0" distB="0" distL="114300" distR="114300" simplePos="0" relativeHeight="251667456" behindDoc="1" locked="0" layoutInCell="1" allowOverlap="1" wp14:anchorId="5C51AAFA" wp14:editId="40DE88CE">
            <wp:simplePos x="0" y="0"/>
            <wp:positionH relativeFrom="page">
              <wp:align>left</wp:align>
            </wp:positionH>
            <wp:positionV relativeFrom="paragraph">
              <wp:posOffset>-716722</wp:posOffset>
            </wp:positionV>
            <wp:extent cx="7602855" cy="10754006"/>
            <wp:effectExtent l="0" t="0" r="0" b="9525"/>
            <wp:wrapNone/>
            <wp:docPr id="1" name="Picture 1" descr="A blu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2855" cy="10754006"/>
                    </a:xfrm>
                    <a:prstGeom prst="rect">
                      <a:avLst/>
                    </a:prstGeom>
                  </pic:spPr>
                </pic:pic>
              </a:graphicData>
            </a:graphic>
            <wp14:sizeRelH relativeFrom="page">
              <wp14:pctWidth>0</wp14:pctWidth>
            </wp14:sizeRelH>
            <wp14:sizeRelV relativeFrom="page">
              <wp14:pctHeight>0</wp14:pctHeight>
            </wp14:sizeRelV>
          </wp:anchor>
        </w:drawing>
      </w:r>
    </w:p>
    <w:p w14:paraId="541A5DB2" w14:textId="61FB7F92" w:rsidR="00817A32" w:rsidRDefault="00511C5E" w:rsidP="0087795F">
      <w:r>
        <w:rPr>
          <w:noProof/>
        </w:rPr>
        <mc:AlternateContent>
          <mc:Choice Requires="wps">
            <w:drawing>
              <wp:anchor distT="0" distB="0" distL="114300" distR="114300" simplePos="0" relativeHeight="251669504" behindDoc="0" locked="0" layoutInCell="1" allowOverlap="1" wp14:anchorId="0859F197" wp14:editId="34B26856">
                <wp:simplePos x="0" y="0"/>
                <wp:positionH relativeFrom="column">
                  <wp:posOffset>-529259</wp:posOffset>
                </wp:positionH>
                <wp:positionV relativeFrom="paragraph">
                  <wp:posOffset>4979532</wp:posOffset>
                </wp:positionV>
                <wp:extent cx="7044856" cy="1884459"/>
                <wp:effectExtent l="0" t="0" r="0" b="1905"/>
                <wp:wrapNone/>
                <wp:docPr id="18" name="Text Box 18"/>
                <wp:cNvGraphicFramePr/>
                <a:graphic xmlns:a="http://schemas.openxmlformats.org/drawingml/2006/main">
                  <a:graphicData uri="http://schemas.microsoft.com/office/word/2010/wordprocessingShape">
                    <wps:wsp>
                      <wps:cNvSpPr txBox="1"/>
                      <wps:spPr>
                        <a:xfrm>
                          <a:off x="0" y="0"/>
                          <a:ext cx="7044856" cy="1884459"/>
                        </a:xfrm>
                        <a:prstGeom prst="rect">
                          <a:avLst/>
                        </a:prstGeom>
                        <a:noFill/>
                        <a:ln w="6350">
                          <a:noFill/>
                        </a:ln>
                      </wps:spPr>
                      <wps:txbx>
                        <w:txbxContent>
                          <w:p w14:paraId="5EAEC6D7" w14:textId="5FAEE36A" w:rsidR="00511C5E" w:rsidRPr="00A47060" w:rsidRDefault="00511C5E" w:rsidP="00511C5E">
                            <w:pPr>
                              <w:pStyle w:val="Provider"/>
                              <w:rPr>
                                <w:rFonts w:ascii="Arial" w:hAnsi="Arial" w:cs="Arial"/>
                                <w:color w:val="FFFFFF" w:themeColor="background1"/>
                              </w:rPr>
                            </w:pPr>
                            <w:r w:rsidRPr="00A47060">
                              <w:rPr>
                                <w:rFonts w:ascii="Arial" w:eastAsia="+mn-ea" w:hAnsi="Arial" w:cs="Arial"/>
                                <w:color w:val="FFFFFF" w:themeColor="background1"/>
                              </w:rPr>
                              <w:t xml:space="preserve">Quarter ending </w:t>
                            </w:r>
                            <w:r>
                              <w:rPr>
                                <w:rFonts w:ascii="Arial" w:eastAsia="+mn-ea" w:hAnsi="Arial" w:cs="Arial"/>
                                <w:color w:val="FFFFFF" w:themeColor="background1"/>
                              </w:rPr>
                              <w:t>3</w:t>
                            </w:r>
                            <w:r w:rsidR="0029527C">
                              <w:rPr>
                                <w:rFonts w:ascii="Arial" w:eastAsia="+mn-ea" w:hAnsi="Arial" w:cs="Arial"/>
                                <w:color w:val="FFFFFF" w:themeColor="background1"/>
                              </w:rPr>
                              <w:t>0</w:t>
                            </w:r>
                            <w:r w:rsidRPr="00A47060">
                              <w:rPr>
                                <w:rFonts w:ascii="Arial" w:eastAsia="+mn-ea" w:hAnsi="Arial" w:cs="Arial"/>
                                <w:color w:val="FFFFFF" w:themeColor="background1"/>
                              </w:rPr>
                              <w:t xml:space="preserve"> </w:t>
                            </w:r>
                            <w:r w:rsidR="0029527C">
                              <w:rPr>
                                <w:rFonts w:ascii="Arial" w:eastAsia="+mn-ea" w:hAnsi="Arial" w:cs="Arial"/>
                                <w:color w:val="FFFFFF" w:themeColor="background1"/>
                              </w:rPr>
                              <w:t>September</w:t>
                            </w:r>
                            <w:r>
                              <w:rPr>
                                <w:rFonts w:ascii="Arial" w:eastAsia="+mn-ea" w:hAnsi="Arial" w:cs="Arial"/>
                                <w:color w:val="FFFFFF" w:themeColor="background1"/>
                              </w:rPr>
                              <w:t xml:space="preserve"> </w:t>
                            </w:r>
                            <w:r w:rsidRPr="00A47060">
                              <w:rPr>
                                <w:rFonts w:ascii="Arial" w:eastAsia="+mn-ea" w:hAnsi="Arial" w:cs="Arial"/>
                                <w:color w:val="FFFFFF" w:themeColor="background1"/>
                              </w:rPr>
                              <w:t xml:space="preserve">2023 </w:t>
                            </w:r>
                          </w:p>
                          <w:p w14:paraId="7768A8C6" w14:textId="77777777" w:rsidR="00511C5E" w:rsidRDefault="00511C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59F197" id="Text Box 18" o:spid="_x0000_s1027" type="#_x0000_t202" style="position:absolute;margin-left:-41.65pt;margin-top:392.1pt;width:554.7pt;height:148.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" filled="f" stroked="f" strokeweight=".5pt">
                <v:textbox>
                  <w:txbxContent>
                    <w:p w14:paraId="5EAEC6D7" w14:textId="5FAEE36A" w:rsidR="00511C5E" w:rsidRPr="00A47060" w:rsidRDefault="00511C5E" w:rsidP="00511C5E">
                      <w:pPr>
                        <w:pStyle w:val="Provider"/>
                        <w:rPr>
                          <w:rFonts w:ascii="Arial" w:hAnsi="Arial" w:cs="Arial"/>
                          <w:color w:val="FFFFFF" w:themeColor="background1"/>
                        </w:rPr>
                      </w:pPr>
                      <w:r w:rsidRPr="00A47060">
                        <w:rPr>
                          <w:rFonts w:ascii="Arial" w:eastAsia="+mn-ea" w:hAnsi="Arial" w:cs="Arial"/>
                          <w:color w:val="FFFFFF" w:themeColor="background1"/>
                        </w:rPr>
                        <w:t xml:space="preserve">Quarter ending </w:t>
                      </w:r>
                      <w:r>
                        <w:rPr>
                          <w:rFonts w:ascii="Arial" w:eastAsia="+mn-ea" w:hAnsi="Arial" w:cs="Arial"/>
                          <w:color w:val="FFFFFF" w:themeColor="background1"/>
                        </w:rPr>
                        <w:t>3</w:t>
                      </w:r>
                      <w:r w:rsidR="0029527C">
                        <w:rPr>
                          <w:rFonts w:ascii="Arial" w:eastAsia="+mn-ea" w:hAnsi="Arial" w:cs="Arial"/>
                          <w:color w:val="FFFFFF" w:themeColor="background1"/>
                        </w:rPr>
                        <w:t>0</w:t>
                      </w:r>
                      <w:r w:rsidRPr="00A47060">
                        <w:rPr>
                          <w:rFonts w:ascii="Arial" w:eastAsia="+mn-ea" w:hAnsi="Arial" w:cs="Arial"/>
                          <w:color w:val="FFFFFF" w:themeColor="background1"/>
                        </w:rPr>
                        <w:t xml:space="preserve"> </w:t>
                      </w:r>
                      <w:r w:rsidR="0029527C">
                        <w:rPr>
                          <w:rFonts w:ascii="Arial" w:eastAsia="+mn-ea" w:hAnsi="Arial" w:cs="Arial"/>
                          <w:color w:val="FFFFFF" w:themeColor="background1"/>
                        </w:rPr>
                        <w:t>September</w:t>
                      </w:r>
                      <w:r>
                        <w:rPr>
                          <w:rFonts w:ascii="Arial" w:eastAsia="+mn-ea" w:hAnsi="Arial" w:cs="Arial"/>
                          <w:color w:val="FFFFFF" w:themeColor="background1"/>
                        </w:rPr>
                        <w:t xml:space="preserve"> </w:t>
                      </w:r>
                      <w:r w:rsidRPr="00A47060">
                        <w:rPr>
                          <w:rFonts w:ascii="Arial" w:eastAsia="+mn-ea" w:hAnsi="Arial" w:cs="Arial"/>
                          <w:color w:val="FFFFFF" w:themeColor="background1"/>
                        </w:rPr>
                        <w:t xml:space="preserve">2023 </w:t>
                      </w:r>
                    </w:p>
                    <w:p w14:paraId="7768A8C6" w14:textId="77777777" w:rsidR="00511C5E" w:rsidRDefault="00511C5E"/>
                  </w:txbxContent>
                </v:textbox>
              </v:shape>
            </w:pict>
          </mc:Fallback>
        </mc:AlternateContent>
      </w:r>
      <w:r w:rsidR="008D78D9">
        <w:rPr>
          <w:noProof/>
        </w:rPr>
        <w:drawing>
          <wp:anchor distT="0" distB="0" distL="114300" distR="114300" simplePos="0" relativeHeight="251665408" behindDoc="0" locked="0" layoutInCell="1" allowOverlap="1" wp14:anchorId="2A7FD416" wp14:editId="04F82BDC">
            <wp:simplePos x="0" y="0"/>
            <wp:positionH relativeFrom="margin">
              <wp:posOffset>-121920</wp:posOffset>
            </wp:positionH>
            <wp:positionV relativeFrom="margin">
              <wp:posOffset>9086850</wp:posOffset>
            </wp:positionV>
            <wp:extent cx="1799590" cy="431800"/>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9590" cy="431800"/>
                    </a:xfrm>
                    <a:prstGeom prst="rect">
                      <a:avLst/>
                    </a:prstGeom>
                  </pic:spPr>
                </pic:pic>
              </a:graphicData>
            </a:graphic>
            <wp14:sizeRelH relativeFrom="margin">
              <wp14:pctWidth>0</wp14:pctWidth>
            </wp14:sizeRelH>
            <wp14:sizeRelV relativeFrom="margin">
              <wp14:pctHeight>0</wp14:pctHeight>
            </wp14:sizeRelV>
          </wp:anchor>
        </w:drawing>
      </w:r>
      <w:r w:rsidR="0087795F">
        <w:t xml:space="preserve"> </w:t>
      </w:r>
      <w:r w:rsidR="00817A32">
        <w:br w:type="page"/>
      </w:r>
    </w:p>
    <w:p w14:paraId="12896995" w14:textId="725F09BE" w:rsidR="004C2E5B" w:rsidRPr="000879FC" w:rsidRDefault="004C2E5B" w:rsidP="004C2E5B">
      <w:pPr>
        <w:rPr>
          <w:szCs w:val="24"/>
        </w:rPr>
      </w:pPr>
      <w:r>
        <w:lastRenderedPageBreak/>
        <w:t xml:space="preserve">Citation: </w:t>
      </w:r>
      <w:r w:rsidR="00ED4008">
        <w:t>Te Whatu Ora – Health New Zealand</w:t>
      </w:r>
      <w:r>
        <w:t xml:space="preserve">. </w:t>
      </w:r>
      <w:r w:rsidR="0038189D">
        <w:t>202</w:t>
      </w:r>
      <w:r w:rsidR="00693348">
        <w:t>4</w:t>
      </w:r>
      <w:r>
        <w:t xml:space="preserve">. </w:t>
      </w:r>
      <w:r w:rsidR="0038189D">
        <w:rPr>
          <w:i/>
          <w:iCs/>
        </w:rPr>
        <w:t>Quarterly Performance Report</w:t>
      </w:r>
      <w:r w:rsidR="00693348">
        <w:rPr>
          <w:i/>
          <w:iCs/>
        </w:rPr>
        <w:t xml:space="preserve">: </w:t>
      </w:r>
      <w:r w:rsidR="00693348" w:rsidRPr="000879FC">
        <w:rPr>
          <w:i/>
          <w:iCs/>
          <w:szCs w:val="24"/>
        </w:rPr>
        <w:t>Quarter ending 30 September 2023</w:t>
      </w:r>
      <w:r w:rsidRPr="000879FC">
        <w:rPr>
          <w:szCs w:val="24"/>
        </w:rPr>
        <w:t xml:space="preserve">. Wellington: </w:t>
      </w:r>
      <w:r w:rsidR="00ED4008" w:rsidRPr="000879FC">
        <w:rPr>
          <w:szCs w:val="24"/>
        </w:rPr>
        <w:t>Te Whatu Ora – Health New Zealand</w:t>
      </w:r>
      <w:r w:rsidRPr="000879FC">
        <w:rPr>
          <w:szCs w:val="24"/>
        </w:rPr>
        <w:t>.</w:t>
      </w:r>
    </w:p>
    <w:p w14:paraId="3CA42C88" w14:textId="2B024614" w:rsidR="004C2E5B" w:rsidRPr="000879FC" w:rsidRDefault="004C2E5B" w:rsidP="004C2E5B">
      <w:pPr>
        <w:rPr>
          <w:szCs w:val="24"/>
        </w:rPr>
      </w:pPr>
      <w:r w:rsidRPr="000879FC">
        <w:rPr>
          <w:szCs w:val="24"/>
        </w:rPr>
        <w:t xml:space="preserve">Published in </w:t>
      </w:r>
      <w:r w:rsidR="002108F2" w:rsidRPr="000879FC">
        <w:rPr>
          <w:szCs w:val="24"/>
        </w:rPr>
        <w:t>February</w:t>
      </w:r>
      <w:r w:rsidR="00693348" w:rsidRPr="000879FC">
        <w:rPr>
          <w:szCs w:val="24"/>
        </w:rPr>
        <w:t xml:space="preserve"> 2024</w:t>
      </w:r>
      <w:r w:rsidRPr="000879FC">
        <w:rPr>
          <w:szCs w:val="24"/>
        </w:rPr>
        <w:t xml:space="preserve"> by </w:t>
      </w:r>
      <w:r w:rsidR="00ED4008" w:rsidRPr="000879FC">
        <w:rPr>
          <w:szCs w:val="24"/>
        </w:rPr>
        <w:t>Te Whatu Ora – Health New Zealand</w:t>
      </w:r>
      <w:r w:rsidRPr="000879FC">
        <w:rPr>
          <w:szCs w:val="24"/>
        </w:rPr>
        <w:br/>
        <w:t xml:space="preserve">PO Box </w:t>
      </w:r>
      <w:r w:rsidR="00F10DE1" w:rsidRPr="000879FC">
        <w:rPr>
          <w:szCs w:val="24"/>
        </w:rPr>
        <w:t>793</w:t>
      </w:r>
      <w:r w:rsidRPr="000879FC">
        <w:rPr>
          <w:szCs w:val="24"/>
        </w:rPr>
        <w:t>, Wellington 6140, New Zealand</w:t>
      </w:r>
    </w:p>
    <w:p w14:paraId="014D281D" w14:textId="322C87F8" w:rsidR="004C2E5B" w:rsidRPr="000879FC" w:rsidRDefault="00F91E73" w:rsidP="004C2E5B">
      <w:pPr>
        <w:rPr>
          <w:szCs w:val="24"/>
        </w:rPr>
      </w:pPr>
      <w:r w:rsidRPr="000879FC">
        <w:rPr>
          <w:szCs w:val="24"/>
        </w:rPr>
        <w:t>ISSN: 2816-1823 (online)</w:t>
      </w:r>
    </w:p>
    <w:p w14:paraId="080897B0" w14:textId="77777777" w:rsidR="00B75F7F" w:rsidRDefault="00B75F7F" w:rsidP="004C2E5B">
      <w:r w:rsidRPr="00EF30CD">
        <w:rPr>
          <w:noProof/>
          <w:lang w:eastAsia="en-NZ"/>
        </w:rPr>
        <w:drawing>
          <wp:inline distT="0" distB="0" distL="0" distR="0" wp14:anchorId="3FB73E8F" wp14:editId="3DA6BE47">
            <wp:extent cx="1413017" cy="314732"/>
            <wp:effectExtent l="0" t="0" r="0" b="9525"/>
            <wp:docPr id="5" name="Picture 5" descr="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 Whatu Ora logo"/>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13017" cy="314732"/>
                    </a:xfrm>
                    <a:prstGeom prst="rect">
                      <a:avLst/>
                    </a:prstGeom>
                    <a:noFill/>
                    <a:ln>
                      <a:noFill/>
                    </a:ln>
                  </pic:spPr>
                </pic:pic>
              </a:graphicData>
            </a:graphic>
          </wp:inline>
        </w:drawing>
      </w:r>
    </w:p>
    <w:p w14:paraId="4CAFE26D" w14:textId="77777777" w:rsidR="00B75F7F" w:rsidRDefault="00B75F7F" w:rsidP="00C033FA">
      <w:r w:rsidRPr="00B75F7F">
        <w:t>This document is available at</w:t>
      </w:r>
      <w:r w:rsidR="00ED4008">
        <w:t xml:space="preserve"> </w:t>
      </w:r>
      <w:hyperlink r:id="rId11"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50C2A182" w14:textId="77777777" w:rsidTr="00B75F7F">
        <w:tc>
          <w:tcPr>
            <w:tcW w:w="1696" w:type="dxa"/>
            <w:vAlign w:val="center"/>
          </w:tcPr>
          <w:p w14:paraId="128E4A60" w14:textId="77777777" w:rsidR="00B75F7F" w:rsidRDefault="00B75F7F" w:rsidP="00B75F7F">
            <w:r w:rsidRPr="00EF30CD">
              <w:rPr>
                <w:rFonts w:cs="Segoe UI"/>
                <w:b/>
                <w:noProof/>
                <w:sz w:val="15"/>
                <w:szCs w:val="15"/>
                <w:lang w:eastAsia="en-NZ"/>
              </w:rPr>
              <w:drawing>
                <wp:inline distT="0" distB="0" distL="0" distR="0" wp14:anchorId="1F4FEA3D" wp14:editId="57D9DFA1">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77C80DB4" w14:textId="77777777" w:rsidR="00B75F7F" w:rsidRDefault="00B75F7F" w:rsidP="00B75F7F">
            <w:r w:rsidRPr="00B75F7F">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tc>
      </w:tr>
    </w:tbl>
    <w:p w14:paraId="55BAE073" w14:textId="77777777" w:rsidR="00630DE1" w:rsidRPr="00B75F7F" w:rsidRDefault="00630DE1" w:rsidP="00B75F7F">
      <w:r>
        <w:br w:type="page"/>
      </w:r>
    </w:p>
    <w:p w14:paraId="7D418F03" w14:textId="77777777" w:rsidR="004C2E5B" w:rsidRDefault="004C2E5B" w:rsidP="004C2E5B">
      <w:pPr>
        <w:pStyle w:val="Heading1"/>
      </w:pPr>
      <w:bookmarkStart w:id="1" w:name="_Toc157771852"/>
      <w:r>
        <w:lastRenderedPageBreak/>
        <w:t>Foreword</w:t>
      </w:r>
      <w:r w:rsidR="0038189D">
        <w:t xml:space="preserve"> from our CEO</w:t>
      </w:r>
      <w:bookmarkEnd w:id="1"/>
    </w:p>
    <w:p w14:paraId="3F9628F8" w14:textId="77777777" w:rsidR="00693348" w:rsidRDefault="00693348" w:rsidP="00693348">
      <w:r>
        <w:t xml:space="preserve">On 1 July 2022, Te Whatu Ora | Health New Zealand became primarily responsible for leading the day-to-day running of Aotearoa New Zealand's public health services. </w:t>
      </w:r>
    </w:p>
    <w:p w14:paraId="7EAE8410" w14:textId="77777777" w:rsidR="00693348" w:rsidRDefault="00693348" w:rsidP="00693348">
      <w:r>
        <w:t>The creation of Te Whatu Ora enables us to maximise the scale and efficiency of our expenditure to contribute to the overall health and wellbeing of New Zealanders. By ensuring that people have access to healthcare services, improving public health, early detection of diseases, and proactive management of care, we can decrease future demand and lower the total cost of healthcare over time. We have made early progress in realising the benefits of merging 28 entities, and some functions of the Ministry of Health| Manatū Hauora, while maintaining continuity of services throughout New Zealand.</w:t>
      </w:r>
    </w:p>
    <w:p w14:paraId="080D4F14" w14:textId="77777777" w:rsidR="00693348" w:rsidRDefault="00693348" w:rsidP="00693348">
      <w:r>
        <w:t>As an organisation, we are deeply committed to ensuring accurate performance reporting, as we strongly believe in the importance of this work as a way to establish public trust and confidence in our operations.</w:t>
      </w:r>
    </w:p>
    <w:p w14:paraId="315761BD" w14:textId="0002A93D" w:rsidR="00693348" w:rsidRDefault="00693348" w:rsidP="00693348">
      <w:r>
        <w:t>This quarterly performance report covers the period 1 July to the end of September 2023</w:t>
      </w:r>
      <w:r w:rsidR="00BE0B66">
        <w:t xml:space="preserve">. It highlights our work over this period and </w:t>
      </w:r>
      <w:r>
        <w:t>informs the Minister of Health on how our performance aligns with expectations</w:t>
      </w:r>
      <w:r w:rsidR="003F70B0">
        <w:t xml:space="preserve"> including how it aligns with </w:t>
      </w:r>
      <w:r>
        <w:t>our Statement of Performance Expectations (SPE) 2023-2024 and Te Pae Tata | Interim New Zealand Health Plan 2022-2024.</w:t>
      </w:r>
    </w:p>
    <w:p w14:paraId="411B82AC" w14:textId="51C033A8" w:rsidR="0038189D" w:rsidRPr="0038189D" w:rsidRDefault="00693348" w:rsidP="00693348">
      <w:r w:rsidRPr="00693348">
        <w:t>Highlights from Quarter One include</w:t>
      </w:r>
      <w:r w:rsidR="0038189D" w:rsidRPr="0038189D">
        <w:t>:</w:t>
      </w:r>
    </w:p>
    <w:p w14:paraId="2D0B4915" w14:textId="0954458A" w:rsidR="00693348" w:rsidRDefault="00693348" w:rsidP="00693348">
      <w:pPr>
        <w:pStyle w:val="ListBullet"/>
      </w:pPr>
      <w:r>
        <w:t>84 Bachelor of Nursing students enroll</w:t>
      </w:r>
      <w:r w:rsidR="005D29BE">
        <w:t>ed</w:t>
      </w:r>
      <w:r>
        <w:t xml:space="preserve"> in Ara Te Pūkenga and 288 applicants within our Return to Nursing programme. </w:t>
      </w:r>
    </w:p>
    <w:p w14:paraId="24FF793B" w14:textId="5DF6F7B7" w:rsidR="00693348" w:rsidRDefault="00693348" w:rsidP="00693348">
      <w:pPr>
        <w:pStyle w:val="ListBullet"/>
      </w:pPr>
      <w:r>
        <w:t>Our International Recruitment Centre continu</w:t>
      </w:r>
      <w:r w:rsidR="00BA6130">
        <w:t>ed</w:t>
      </w:r>
      <w:r>
        <w:t xml:space="preserve"> to support health workers into New Zealand to help address immediate </w:t>
      </w:r>
      <w:r w:rsidR="00421FFB">
        <w:t xml:space="preserve">workforce </w:t>
      </w:r>
      <w:r>
        <w:t>pressures.</w:t>
      </w:r>
    </w:p>
    <w:p w14:paraId="77DA94A9" w14:textId="77777777" w:rsidR="00693348" w:rsidRDefault="00693348" w:rsidP="00693348">
      <w:pPr>
        <w:pStyle w:val="ListBullet"/>
      </w:pPr>
      <w:r>
        <w:t>Extra funding was allocated to regions to reduce waitlists for planned care by implementing innovative service delivery models and public and private capacity to provide treatment.</w:t>
      </w:r>
    </w:p>
    <w:p w14:paraId="17861B7F" w14:textId="56C63F72" w:rsidR="00693348" w:rsidRDefault="004111EB" w:rsidP="00693348">
      <w:pPr>
        <w:pStyle w:val="ListBullet"/>
      </w:pPr>
      <w:r>
        <w:t xml:space="preserve">In </w:t>
      </w:r>
      <w:r w:rsidR="00693348">
        <w:t xml:space="preserve">September, the National Cervical Screening Programme </w:t>
      </w:r>
      <w:r w:rsidR="004017E8">
        <w:t xml:space="preserve">introduced a </w:t>
      </w:r>
      <w:r w:rsidR="00693348">
        <w:t xml:space="preserve">new Human Papillomavirus (HPV) screening </w:t>
      </w:r>
      <w:r w:rsidR="004017E8">
        <w:t xml:space="preserve">technique </w:t>
      </w:r>
      <w:r w:rsidR="00693348">
        <w:t>along with expanded free cervical screening eligibility.</w:t>
      </w:r>
    </w:p>
    <w:p w14:paraId="0ED9939B" w14:textId="5DB91CFE" w:rsidR="00693348" w:rsidRDefault="00693348" w:rsidP="00693348">
      <w:pPr>
        <w:pStyle w:val="ListBullet"/>
      </w:pPr>
      <w:r>
        <w:t>The National Diabetes Action Plan covered by Ola Manuia Pacific health and Wellbeing Action Plan commenced</w:t>
      </w:r>
    </w:p>
    <w:p w14:paraId="4C006B30" w14:textId="0E7CCA2A" w:rsidR="00693348" w:rsidRDefault="00693348" w:rsidP="00693348">
      <w:pPr>
        <w:pStyle w:val="ListBullet"/>
      </w:pPr>
      <w:r>
        <w:t>As at 30 September 2023, the financial operating result was a $5m deficit, $2m favourable to budget. Planned savings remained largely on track after three months, year-to-date savings of $68m ha</w:t>
      </w:r>
      <w:r w:rsidR="002F22C2">
        <w:t>ve</w:t>
      </w:r>
      <w:r>
        <w:t xml:space="preserve"> been achieved.</w:t>
      </w:r>
    </w:p>
    <w:p w14:paraId="1303E903" w14:textId="77777777" w:rsidR="00693348" w:rsidRDefault="00693348" w:rsidP="00693348">
      <w:r>
        <w:lastRenderedPageBreak/>
        <w:t>Since the end of quarter one, several positive developments have occurred in the early part of quarter two. These include progress in developing and implementing the Rheumatic Fever National Care Coordination System, the Gout guide for health providers, and the HIV Action Plan (which includes training providers to carry out HIV testing). We look forward to reporting on these in our next quarterly report.</w:t>
      </w:r>
    </w:p>
    <w:p w14:paraId="180ECCB1" w14:textId="77777777" w:rsidR="00693348" w:rsidRDefault="00693348" w:rsidP="00693348"/>
    <w:p w14:paraId="4419DC10" w14:textId="377D6C1D" w:rsidR="0038189D" w:rsidRDefault="000D3BB8" w:rsidP="002F53A0">
      <w:r>
        <w:rPr>
          <w:color w:val="000000"/>
          <w:sz w:val="27"/>
          <w:szCs w:val="27"/>
        </w:rPr>
        <w:t xml:space="preserve">Fepulea’i Margie Apa </w:t>
      </w:r>
      <w:r w:rsidR="00A84390">
        <w:rPr>
          <w:color w:val="000000"/>
          <w:sz w:val="27"/>
          <w:szCs w:val="27"/>
        </w:rPr>
        <w:br/>
      </w:r>
      <w:r>
        <w:rPr>
          <w:color w:val="000000"/>
          <w:sz w:val="27"/>
          <w:szCs w:val="27"/>
        </w:rPr>
        <w:t xml:space="preserve">Chief Executive </w:t>
      </w:r>
      <w:r w:rsidR="00A84390">
        <w:rPr>
          <w:color w:val="000000"/>
          <w:sz w:val="27"/>
          <w:szCs w:val="27"/>
        </w:rPr>
        <w:br/>
      </w:r>
      <w:r>
        <w:rPr>
          <w:color w:val="000000"/>
          <w:sz w:val="27"/>
          <w:szCs w:val="27"/>
        </w:rPr>
        <w:t>Te Whatu Ora | Health New Zealand</w:t>
      </w:r>
      <w:r w:rsidR="0038189D">
        <w:br w:type="page"/>
      </w:r>
    </w:p>
    <w:sdt>
      <w:sdtPr>
        <w:rPr>
          <w:rFonts w:asciiTheme="minorHAnsi" w:eastAsiaTheme="minorHAnsi" w:hAnsiTheme="minorHAnsi" w:cstheme="minorBidi"/>
          <w:b w:val="0"/>
          <w:color w:val="auto"/>
          <w:sz w:val="24"/>
          <w:szCs w:val="22"/>
        </w:rPr>
        <w:id w:val="-1875375867"/>
        <w:docPartObj>
          <w:docPartGallery w:val="Table of Contents"/>
          <w:docPartUnique/>
        </w:docPartObj>
      </w:sdtPr>
      <w:sdtEndPr>
        <w:rPr>
          <w:bCs/>
          <w:noProof/>
        </w:rPr>
      </w:sdtEndPr>
      <w:sdtContent>
        <w:p w14:paraId="2F1C21EA" w14:textId="77777777" w:rsidR="00630DE1" w:rsidRDefault="00630DE1" w:rsidP="00630DE1">
          <w:pPr>
            <w:pStyle w:val="TOCHeading"/>
          </w:pPr>
          <w:r w:rsidRPr="00630DE1">
            <w:t>Contents</w:t>
          </w:r>
        </w:p>
        <w:p w14:paraId="7020DCCE" w14:textId="23C35624" w:rsidR="0043161D" w:rsidRDefault="00630DE1" w:rsidP="003C686F">
          <w:pPr>
            <w:pStyle w:val="TOC1"/>
            <w:rPr>
              <w:rFonts w:eastAsiaTheme="minorEastAsia"/>
              <w:noProof/>
              <w:kern w:val="2"/>
              <w:sz w:val="22"/>
              <w:lang w:eastAsia="en-NZ"/>
              <w14:ligatures w14:val="standardContextual"/>
            </w:rPr>
          </w:pPr>
          <w:r>
            <w:fldChar w:fldCharType="begin"/>
          </w:r>
          <w:r>
            <w:instrText xml:space="preserve"> TOC \o "1-2" \h \z \u </w:instrText>
          </w:r>
          <w:r>
            <w:fldChar w:fldCharType="separate"/>
          </w:r>
          <w:hyperlink w:anchor="_Toc157771852" w:history="1">
            <w:r w:rsidR="0043161D" w:rsidRPr="00943D51">
              <w:rPr>
                <w:rStyle w:val="Hyperlink"/>
                <w:noProof/>
              </w:rPr>
              <w:t>Foreword from our CEO</w:t>
            </w:r>
            <w:r w:rsidR="0043161D">
              <w:rPr>
                <w:noProof/>
                <w:webHidden/>
              </w:rPr>
              <w:tab/>
            </w:r>
            <w:r w:rsidR="0043161D">
              <w:rPr>
                <w:noProof/>
                <w:webHidden/>
              </w:rPr>
              <w:fldChar w:fldCharType="begin"/>
            </w:r>
            <w:r w:rsidR="0043161D">
              <w:rPr>
                <w:noProof/>
                <w:webHidden/>
              </w:rPr>
              <w:instrText xml:space="preserve"> PAGEREF _Toc157771852 \h </w:instrText>
            </w:r>
            <w:r w:rsidR="0043161D">
              <w:rPr>
                <w:noProof/>
                <w:webHidden/>
              </w:rPr>
            </w:r>
            <w:r w:rsidR="0043161D">
              <w:rPr>
                <w:noProof/>
                <w:webHidden/>
              </w:rPr>
              <w:fldChar w:fldCharType="separate"/>
            </w:r>
            <w:r w:rsidR="0043161D">
              <w:rPr>
                <w:noProof/>
                <w:webHidden/>
              </w:rPr>
              <w:t>3</w:t>
            </w:r>
            <w:r w:rsidR="0043161D">
              <w:rPr>
                <w:noProof/>
                <w:webHidden/>
              </w:rPr>
              <w:fldChar w:fldCharType="end"/>
            </w:r>
          </w:hyperlink>
        </w:p>
        <w:p w14:paraId="37C3D049" w14:textId="5FFAF438" w:rsidR="0043161D" w:rsidRDefault="007572D7" w:rsidP="003C686F">
          <w:pPr>
            <w:pStyle w:val="TOC1"/>
            <w:rPr>
              <w:rFonts w:eastAsiaTheme="minorEastAsia"/>
              <w:noProof/>
              <w:kern w:val="2"/>
              <w:sz w:val="22"/>
              <w:lang w:eastAsia="en-NZ"/>
              <w14:ligatures w14:val="standardContextual"/>
            </w:rPr>
          </w:pPr>
          <w:hyperlink w:anchor="_Toc157771853" w:history="1">
            <w:r w:rsidR="0043161D" w:rsidRPr="00943D51">
              <w:rPr>
                <w:rStyle w:val="Hyperlink"/>
                <w:noProof/>
              </w:rPr>
              <w:t>1</w:t>
            </w:r>
            <w:r w:rsidR="0043161D">
              <w:rPr>
                <w:rFonts w:eastAsiaTheme="minorEastAsia"/>
                <w:noProof/>
                <w:kern w:val="2"/>
                <w:sz w:val="22"/>
                <w:lang w:eastAsia="en-NZ"/>
                <w14:ligatures w14:val="standardContextual"/>
              </w:rPr>
              <w:tab/>
            </w:r>
            <w:r w:rsidR="0043161D" w:rsidRPr="00943D51">
              <w:rPr>
                <w:rStyle w:val="Hyperlink"/>
                <w:noProof/>
              </w:rPr>
              <w:t>Snapshot for the Quarter</w:t>
            </w:r>
            <w:r w:rsidR="0043161D">
              <w:rPr>
                <w:noProof/>
                <w:webHidden/>
              </w:rPr>
              <w:tab/>
            </w:r>
            <w:r w:rsidR="0043161D">
              <w:rPr>
                <w:noProof/>
                <w:webHidden/>
              </w:rPr>
              <w:fldChar w:fldCharType="begin"/>
            </w:r>
            <w:r w:rsidR="0043161D">
              <w:rPr>
                <w:noProof/>
                <w:webHidden/>
              </w:rPr>
              <w:instrText xml:space="preserve"> PAGEREF _Toc157771853 \h </w:instrText>
            </w:r>
            <w:r w:rsidR="0043161D">
              <w:rPr>
                <w:noProof/>
                <w:webHidden/>
              </w:rPr>
            </w:r>
            <w:r w:rsidR="0043161D">
              <w:rPr>
                <w:noProof/>
                <w:webHidden/>
              </w:rPr>
              <w:fldChar w:fldCharType="separate"/>
            </w:r>
            <w:r w:rsidR="0043161D">
              <w:rPr>
                <w:noProof/>
                <w:webHidden/>
              </w:rPr>
              <w:t>6</w:t>
            </w:r>
            <w:r w:rsidR="0043161D">
              <w:rPr>
                <w:noProof/>
                <w:webHidden/>
              </w:rPr>
              <w:fldChar w:fldCharType="end"/>
            </w:r>
          </w:hyperlink>
        </w:p>
        <w:p w14:paraId="6E1A4753" w14:textId="7D0D34F5" w:rsidR="0043161D" w:rsidRDefault="007572D7" w:rsidP="003C686F">
          <w:pPr>
            <w:pStyle w:val="TOC1"/>
            <w:rPr>
              <w:rFonts w:eastAsiaTheme="minorEastAsia"/>
              <w:noProof/>
              <w:kern w:val="2"/>
              <w:sz w:val="22"/>
              <w:lang w:eastAsia="en-NZ"/>
              <w14:ligatures w14:val="standardContextual"/>
            </w:rPr>
          </w:pPr>
          <w:hyperlink w:anchor="_Toc157771854" w:history="1">
            <w:r w:rsidR="0043161D" w:rsidRPr="00943D51">
              <w:rPr>
                <w:rStyle w:val="Hyperlink"/>
                <w:noProof/>
              </w:rPr>
              <w:t>2</w:t>
            </w:r>
            <w:r w:rsidR="0043161D">
              <w:rPr>
                <w:rFonts w:eastAsiaTheme="minorEastAsia"/>
                <w:noProof/>
                <w:kern w:val="2"/>
                <w:sz w:val="22"/>
                <w:lang w:eastAsia="en-NZ"/>
                <w14:ligatures w14:val="standardContextual"/>
              </w:rPr>
              <w:tab/>
            </w:r>
            <w:r w:rsidR="0043161D" w:rsidRPr="00943D51">
              <w:rPr>
                <w:rStyle w:val="Hyperlink"/>
                <w:noProof/>
              </w:rPr>
              <w:t>Evolving the Health System</w:t>
            </w:r>
            <w:r w:rsidR="0043161D">
              <w:rPr>
                <w:noProof/>
                <w:webHidden/>
              </w:rPr>
              <w:tab/>
            </w:r>
            <w:r w:rsidR="0043161D">
              <w:rPr>
                <w:noProof/>
                <w:webHidden/>
              </w:rPr>
              <w:fldChar w:fldCharType="begin"/>
            </w:r>
            <w:r w:rsidR="0043161D">
              <w:rPr>
                <w:noProof/>
                <w:webHidden/>
              </w:rPr>
              <w:instrText xml:space="preserve"> PAGEREF _Toc157771854 \h </w:instrText>
            </w:r>
            <w:r w:rsidR="0043161D">
              <w:rPr>
                <w:noProof/>
                <w:webHidden/>
              </w:rPr>
            </w:r>
            <w:r w:rsidR="0043161D">
              <w:rPr>
                <w:noProof/>
                <w:webHidden/>
              </w:rPr>
              <w:fldChar w:fldCharType="separate"/>
            </w:r>
            <w:r w:rsidR="0043161D">
              <w:rPr>
                <w:noProof/>
                <w:webHidden/>
              </w:rPr>
              <w:t>9</w:t>
            </w:r>
            <w:r w:rsidR="0043161D">
              <w:rPr>
                <w:noProof/>
                <w:webHidden/>
              </w:rPr>
              <w:fldChar w:fldCharType="end"/>
            </w:r>
          </w:hyperlink>
        </w:p>
        <w:p w14:paraId="012F2DF2" w14:textId="2FC21576" w:rsidR="0043161D" w:rsidRDefault="007572D7" w:rsidP="003C686F">
          <w:pPr>
            <w:pStyle w:val="TOC2"/>
            <w:tabs>
              <w:tab w:val="clear" w:pos="880"/>
              <w:tab w:val="left" w:pos="1134"/>
            </w:tabs>
            <w:ind w:left="1134" w:hanging="567"/>
            <w:rPr>
              <w:rFonts w:eastAsiaTheme="minorEastAsia"/>
              <w:noProof/>
              <w:kern w:val="2"/>
              <w:sz w:val="22"/>
              <w:lang w:eastAsia="en-NZ"/>
              <w14:ligatures w14:val="standardContextual"/>
            </w:rPr>
          </w:pPr>
          <w:hyperlink w:anchor="_Toc157771855" w:history="1">
            <w:r w:rsidR="0043161D" w:rsidRPr="00943D51">
              <w:rPr>
                <w:rStyle w:val="Hyperlink"/>
                <w:noProof/>
              </w:rPr>
              <w:t>2.1</w:t>
            </w:r>
            <w:r w:rsidR="003C686F">
              <w:rPr>
                <w:rStyle w:val="Hyperlink"/>
                <w:noProof/>
              </w:rPr>
              <w:tab/>
            </w:r>
            <w:r w:rsidR="0043161D" w:rsidRPr="00943D51">
              <w:rPr>
                <w:rStyle w:val="Hyperlink"/>
                <w:noProof/>
              </w:rPr>
              <w:t>The health system will reinforce Te Tiriti principles and obligations</w:t>
            </w:r>
            <w:r w:rsidR="0043161D">
              <w:rPr>
                <w:noProof/>
                <w:webHidden/>
              </w:rPr>
              <w:tab/>
            </w:r>
            <w:r w:rsidR="0043161D">
              <w:rPr>
                <w:noProof/>
                <w:webHidden/>
              </w:rPr>
              <w:fldChar w:fldCharType="begin"/>
            </w:r>
            <w:r w:rsidR="0043161D">
              <w:rPr>
                <w:noProof/>
                <w:webHidden/>
              </w:rPr>
              <w:instrText xml:space="preserve"> PAGEREF _Toc157771855 \h </w:instrText>
            </w:r>
            <w:r w:rsidR="0043161D">
              <w:rPr>
                <w:noProof/>
                <w:webHidden/>
              </w:rPr>
            </w:r>
            <w:r w:rsidR="0043161D">
              <w:rPr>
                <w:noProof/>
                <w:webHidden/>
              </w:rPr>
              <w:fldChar w:fldCharType="separate"/>
            </w:r>
            <w:r w:rsidR="0043161D">
              <w:rPr>
                <w:noProof/>
                <w:webHidden/>
              </w:rPr>
              <w:t>9</w:t>
            </w:r>
            <w:r w:rsidR="0043161D">
              <w:rPr>
                <w:noProof/>
                <w:webHidden/>
              </w:rPr>
              <w:fldChar w:fldCharType="end"/>
            </w:r>
          </w:hyperlink>
        </w:p>
        <w:p w14:paraId="0A025AE2" w14:textId="6D2E3D26" w:rsidR="0043161D" w:rsidRDefault="007572D7" w:rsidP="003C686F">
          <w:pPr>
            <w:pStyle w:val="TOC2"/>
            <w:tabs>
              <w:tab w:val="clear" w:pos="880"/>
              <w:tab w:val="left" w:pos="1134"/>
            </w:tabs>
            <w:ind w:left="1134" w:hanging="567"/>
            <w:rPr>
              <w:rFonts w:eastAsiaTheme="minorEastAsia"/>
              <w:noProof/>
              <w:kern w:val="2"/>
              <w:sz w:val="22"/>
              <w:lang w:eastAsia="en-NZ"/>
              <w14:ligatures w14:val="standardContextual"/>
            </w:rPr>
          </w:pPr>
          <w:hyperlink w:anchor="_Toc157771856" w:history="1">
            <w:r w:rsidR="0043161D" w:rsidRPr="00943D51">
              <w:rPr>
                <w:rStyle w:val="Hyperlink"/>
                <w:noProof/>
              </w:rPr>
              <w:t>2.2</w:t>
            </w:r>
            <w:r w:rsidR="003C686F">
              <w:rPr>
                <w:rFonts w:eastAsiaTheme="minorEastAsia"/>
                <w:noProof/>
                <w:kern w:val="2"/>
                <w:sz w:val="22"/>
                <w:lang w:eastAsia="en-NZ"/>
                <w14:ligatures w14:val="standardContextual"/>
              </w:rPr>
              <w:tab/>
            </w:r>
            <w:r w:rsidR="0043161D" w:rsidRPr="00943D51">
              <w:rPr>
                <w:rStyle w:val="Hyperlink"/>
                <w:noProof/>
              </w:rPr>
              <w:t>All people will be able to access a comprehensive range of support</w:t>
            </w:r>
            <w:r w:rsidR="00531A6B">
              <w:rPr>
                <w:rStyle w:val="Hyperlink"/>
                <w:noProof/>
              </w:rPr>
              <w:br/>
            </w:r>
            <w:r w:rsidR="0043161D" w:rsidRPr="00943D51">
              <w:rPr>
                <w:rStyle w:val="Hyperlink"/>
                <w:noProof/>
              </w:rPr>
              <w:t>in their local communities to help them stay well</w:t>
            </w:r>
            <w:r w:rsidR="0043161D">
              <w:rPr>
                <w:noProof/>
                <w:webHidden/>
              </w:rPr>
              <w:tab/>
            </w:r>
            <w:r w:rsidR="0043161D">
              <w:rPr>
                <w:noProof/>
                <w:webHidden/>
              </w:rPr>
              <w:fldChar w:fldCharType="begin"/>
            </w:r>
            <w:r w:rsidR="0043161D">
              <w:rPr>
                <w:noProof/>
                <w:webHidden/>
              </w:rPr>
              <w:instrText xml:space="preserve"> PAGEREF _Toc157771856 \h </w:instrText>
            </w:r>
            <w:r w:rsidR="0043161D">
              <w:rPr>
                <w:noProof/>
                <w:webHidden/>
              </w:rPr>
            </w:r>
            <w:r w:rsidR="0043161D">
              <w:rPr>
                <w:noProof/>
                <w:webHidden/>
              </w:rPr>
              <w:fldChar w:fldCharType="separate"/>
            </w:r>
            <w:r w:rsidR="0043161D">
              <w:rPr>
                <w:noProof/>
                <w:webHidden/>
              </w:rPr>
              <w:t>9</w:t>
            </w:r>
            <w:r w:rsidR="0043161D">
              <w:rPr>
                <w:noProof/>
                <w:webHidden/>
              </w:rPr>
              <w:fldChar w:fldCharType="end"/>
            </w:r>
          </w:hyperlink>
        </w:p>
        <w:p w14:paraId="17654BE6" w14:textId="1319D5D3" w:rsidR="0043161D" w:rsidRDefault="007572D7" w:rsidP="003C686F">
          <w:pPr>
            <w:pStyle w:val="TOC2"/>
            <w:tabs>
              <w:tab w:val="clear" w:pos="880"/>
              <w:tab w:val="left" w:pos="1134"/>
            </w:tabs>
            <w:ind w:left="1134" w:hanging="567"/>
            <w:rPr>
              <w:rFonts w:eastAsiaTheme="minorEastAsia"/>
              <w:noProof/>
              <w:kern w:val="2"/>
              <w:sz w:val="22"/>
              <w:lang w:eastAsia="en-NZ"/>
              <w14:ligatures w14:val="standardContextual"/>
            </w:rPr>
          </w:pPr>
          <w:hyperlink w:anchor="_Toc157771857" w:history="1">
            <w:r w:rsidR="0043161D" w:rsidRPr="00943D51">
              <w:rPr>
                <w:rStyle w:val="Hyperlink"/>
                <w:noProof/>
              </w:rPr>
              <w:t>2.3</w:t>
            </w:r>
            <w:r w:rsidR="003C686F">
              <w:rPr>
                <w:rFonts w:eastAsiaTheme="minorEastAsia"/>
                <w:noProof/>
                <w:kern w:val="2"/>
                <w:sz w:val="22"/>
                <w:lang w:eastAsia="en-NZ"/>
                <w14:ligatures w14:val="standardContextual"/>
              </w:rPr>
              <w:tab/>
            </w:r>
            <w:r w:rsidR="0043161D" w:rsidRPr="00943D51">
              <w:rPr>
                <w:rStyle w:val="Hyperlink"/>
                <w:noProof/>
              </w:rPr>
              <w:t>Everyone will have access to high quality emergency or specialist</w:t>
            </w:r>
            <w:r w:rsidR="00531A6B">
              <w:rPr>
                <w:rStyle w:val="Hyperlink"/>
                <w:noProof/>
              </w:rPr>
              <w:br/>
            </w:r>
            <w:r w:rsidR="0043161D" w:rsidRPr="00943D51">
              <w:rPr>
                <w:rStyle w:val="Hyperlink"/>
                <w:noProof/>
              </w:rPr>
              <w:t>care when they need it</w:t>
            </w:r>
            <w:r w:rsidR="0043161D">
              <w:rPr>
                <w:noProof/>
                <w:webHidden/>
              </w:rPr>
              <w:tab/>
            </w:r>
            <w:r w:rsidR="0043161D">
              <w:rPr>
                <w:noProof/>
                <w:webHidden/>
              </w:rPr>
              <w:fldChar w:fldCharType="begin"/>
            </w:r>
            <w:r w:rsidR="0043161D">
              <w:rPr>
                <w:noProof/>
                <w:webHidden/>
              </w:rPr>
              <w:instrText xml:space="preserve"> PAGEREF _Toc157771857 \h </w:instrText>
            </w:r>
            <w:r w:rsidR="0043161D">
              <w:rPr>
                <w:noProof/>
                <w:webHidden/>
              </w:rPr>
            </w:r>
            <w:r w:rsidR="0043161D">
              <w:rPr>
                <w:noProof/>
                <w:webHidden/>
              </w:rPr>
              <w:fldChar w:fldCharType="separate"/>
            </w:r>
            <w:r w:rsidR="0043161D">
              <w:rPr>
                <w:noProof/>
                <w:webHidden/>
              </w:rPr>
              <w:t>10</w:t>
            </w:r>
            <w:r w:rsidR="0043161D">
              <w:rPr>
                <w:noProof/>
                <w:webHidden/>
              </w:rPr>
              <w:fldChar w:fldCharType="end"/>
            </w:r>
          </w:hyperlink>
        </w:p>
        <w:p w14:paraId="241D7396" w14:textId="0ED1BD45" w:rsidR="0043161D" w:rsidRDefault="007572D7" w:rsidP="003C686F">
          <w:pPr>
            <w:pStyle w:val="TOC2"/>
            <w:tabs>
              <w:tab w:val="clear" w:pos="880"/>
              <w:tab w:val="left" w:pos="1134"/>
            </w:tabs>
            <w:ind w:left="1134" w:hanging="567"/>
            <w:rPr>
              <w:rFonts w:eastAsiaTheme="minorEastAsia"/>
              <w:noProof/>
              <w:kern w:val="2"/>
              <w:sz w:val="22"/>
              <w:lang w:eastAsia="en-NZ"/>
              <w14:ligatures w14:val="standardContextual"/>
            </w:rPr>
          </w:pPr>
          <w:hyperlink w:anchor="_Toc157771858" w:history="1">
            <w:r w:rsidR="0043161D" w:rsidRPr="00943D51">
              <w:rPr>
                <w:rStyle w:val="Hyperlink"/>
                <w:noProof/>
              </w:rPr>
              <w:t>2.4</w:t>
            </w:r>
            <w:r w:rsidR="003C686F">
              <w:rPr>
                <w:rFonts w:eastAsiaTheme="minorEastAsia"/>
                <w:noProof/>
                <w:kern w:val="2"/>
                <w:sz w:val="22"/>
                <w:lang w:eastAsia="en-NZ"/>
                <w14:ligatures w14:val="standardContextual"/>
              </w:rPr>
              <w:tab/>
            </w:r>
            <w:r w:rsidR="0043161D" w:rsidRPr="00943D51">
              <w:rPr>
                <w:rStyle w:val="Hyperlink"/>
                <w:noProof/>
              </w:rPr>
              <w:t>Digital services will provide more New Zealanders with the care</w:t>
            </w:r>
            <w:r w:rsidR="00531A6B">
              <w:rPr>
                <w:rStyle w:val="Hyperlink"/>
                <w:noProof/>
              </w:rPr>
              <w:br/>
            </w:r>
            <w:r w:rsidR="0043161D" w:rsidRPr="00943D51">
              <w:rPr>
                <w:rStyle w:val="Hyperlink"/>
                <w:noProof/>
              </w:rPr>
              <w:t>they will need in their homes and local communities</w:t>
            </w:r>
            <w:r w:rsidR="0043161D">
              <w:rPr>
                <w:noProof/>
                <w:webHidden/>
              </w:rPr>
              <w:tab/>
            </w:r>
            <w:r w:rsidR="0043161D">
              <w:rPr>
                <w:noProof/>
                <w:webHidden/>
              </w:rPr>
              <w:fldChar w:fldCharType="begin"/>
            </w:r>
            <w:r w:rsidR="0043161D">
              <w:rPr>
                <w:noProof/>
                <w:webHidden/>
              </w:rPr>
              <w:instrText xml:space="preserve"> PAGEREF _Toc157771858 \h </w:instrText>
            </w:r>
            <w:r w:rsidR="0043161D">
              <w:rPr>
                <w:noProof/>
                <w:webHidden/>
              </w:rPr>
            </w:r>
            <w:r w:rsidR="0043161D">
              <w:rPr>
                <w:noProof/>
                <w:webHidden/>
              </w:rPr>
              <w:fldChar w:fldCharType="separate"/>
            </w:r>
            <w:r w:rsidR="0043161D">
              <w:rPr>
                <w:noProof/>
                <w:webHidden/>
              </w:rPr>
              <w:t>11</w:t>
            </w:r>
            <w:r w:rsidR="0043161D">
              <w:rPr>
                <w:noProof/>
                <w:webHidden/>
              </w:rPr>
              <w:fldChar w:fldCharType="end"/>
            </w:r>
          </w:hyperlink>
        </w:p>
        <w:p w14:paraId="18E80617" w14:textId="5DD37A6A" w:rsidR="0043161D" w:rsidRDefault="007572D7" w:rsidP="003C686F">
          <w:pPr>
            <w:pStyle w:val="TOC2"/>
            <w:tabs>
              <w:tab w:val="clear" w:pos="880"/>
              <w:tab w:val="left" w:pos="1134"/>
            </w:tabs>
            <w:ind w:left="1134" w:hanging="567"/>
            <w:rPr>
              <w:rFonts w:eastAsiaTheme="minorEastAsia"/>
              <w:noProof/>
              <w:kern w:val="2"/>
              <w:sz w:val="22"/>
              <w:lang w:eastAsia="en-NZ"/>
              <w14:ligatures w14:val="standardContextual"/>
            </w:rPr>
          </w:pPr>
          <w:hyperlink w:anchor="_Toc157771859" w:history="1">
            <w:r w:rsidR="0043161D" w:rsidRPr="00943D51">
              <w:rPr>
                <w:rStyle w:val="Hyperlink"/>
                <w:noProof/>
              </w:rPr>
              <w:t>2.5</w:t>
            </w:r>
            <w:r w:rsidR="003C686F">
              <w:rPr>
                <w:rFonts w:eastAsiaTheme="minorEastAsia"/>
                <w:noProof/>
                <w:kern w:val="2"/>
                <w:sz w:val="22"/>
                <w:lang w:eastAsia="en-NZ"/>
                <w14:ligatures w14:val="standardContextual"/>
              </w:rPr>
              <w:tab/>
            </w:r>
            <w:r w:rsidR="0043161D" w:rsidRPr="00943D51">
              <w:rPr>
                <w:rStyle w:val="Hyperlink"/>
                <w:noProof/>
              </w:rPr>
              <w:t>Health and care workers will be valued and well-trained for the</w:t>
            </w:r>
            <w:r w:rsidR="00531A6B">
              <w:rPr>
                <w:rStyle w:val="Hyperlink"/>
                <w:noProof/>
              </w:rPr>
              <w:br/>
            </w:r>
            <w:r w:rsidR="0043161D" w:rsidRPr="00943D51">
              <w:rPr>
                <w:rStyle w:val="Hyperlink"/>
                <w:noProof/>
              </w:rPr>
              <w:t>future health system</w:t>
            </w:r>
            <w:r w:rsidR="0043161D">
              <w:rPr>
                <w:noProof/>
                <w:webHidden/>
              </w:rPr>
              <w:tab/>
            </w:r>
            <w:r w:rsidR="0043161D">
              <w:rPr>
                <w:noProof/>
                <w:webHidden/>
              </w:rPr>
              <w:fldChar w:fldCharType="begin"/>
            </w:r>
            <w:r w:rsidR="0043161D">
              <w:rPr>
                <w:noProof/>
                <w:webHidden/>
              </w:rPr>
              <w:instrText xml:space="preserve"> PAGEREF _Toc157771859 \h </w:instrText>
            </w:r>
            <w:r w:rsidR="0043161D">
              <w:rPr>
                <w:noProof/>
                <w:webHidden/>
              </w:rPr>
            </w:r>
            <w:r w:rsidR="0043161D">
              <w:rPr>
                <w:noProof/>
                <w:webHidden/>
              </w:rPr>
              <w:fldChar w:fldCharType="separate"/>
            </w:r>
            <w:r w:rsidR="0043161D">
              <w:rPr>
                <w:noProof/>
                <w:webHidden/>
              </w:rPr>
              <w:t>11</w:t>
            </w:r>
            <w:r w:rsidR="0043161D">
              <w:rPr>
                <w:noProof/>
                <w:webHidden/>
              </w:rPr>
              <w:fldChar w:fldCharType="end"/>
            </w:r>
          </w:hyperlink>
        </w:p>
        <w:p w14:paraId="183E7238" w14:textId="73E9A2C9" w:rsidR="0043161D" w:rsidRDefault="007572D7" w:rsidP="003C686F">
          <w:pPr>
            <w:pStyle w:val="TOC1"/>
            <w:rPr>
              <w:rFonts w:eastAsiaTheme="minorEastAsia"/>
              <w:noProof/>
              <w:kern w:val="2"/>
              <w:sz w:val="22"/>
              <w:lang w:eastAsia="en-NZ"/>
              <w14:ligatures w14:val="standardContextual"/>
            </w:rPr>
          </w:pPr>
          <w:hyperlink w:anchor="_Toc157771860" w:history="1">
            <w:r w:rsidR="0043161D" w:rsidRPr="00943D51">
              <w:rPr>
                <w:rStyle w:val="Hyperlink"/>
                <w:noProof/>
              </w:rPr>
              <w:t>3</w:t>
            </w:r>
            <w:r w:rsidR="0043161D">
              <w:rPr>
                <w:rFonts w:eastAsiaTheme="minorEastAsia"/>
                <w:noProof/>
                <w:kern w:val="2"/>
                <w:sz w:val="22"/>
                <w:lang w:eastAsia="en-NZ"/>
                <w14:ligatures w14:val="standardContextual"/>
              </w:rPr>
              <w:tab/>
            </w:r>
            <w:r w:rsidR="0043161D" w:rsidRPr="00943D51">
              <w:rPr>
                <w:rStyle w:val="Hyperlink"/>
                <w:noProof/>
              </w:rPr>
              <w:t>Delivering Te Pae Tata Interim Health New Zealand</w:t>
            </w:r>
            <w:r w:rsidR="0043161D">
              <w:rPr>
                <w:noProof/>
                <w:webHidden/>
              </w:rPr>
              <w:tab/>
            </w:r>
            <w:r w:rsidR="0043161D">
              <w:rPr>
                <w:noProof/>
                <w:webHidden/>
              </w:rPr>
              <w:fldChar w:fldCharType="begin"/>
            </w:r>
            <w:r w:rsidR="0043161D">
              <w:rPr>
                <w:noProof/>
                <w:webHidden/>
              </w:rPr>
              <w:instrText xml:space="preserve"> PAGEREF _Toc157771860 \h </w:instrText>
            </w:r>
            <w:r w:rsidR="0043161D">
              <w:rPr>
                <w:noProof/>
                <w:webHidden/>
              </w:rPr>
            </w:r>
            <w:r w:rsidR="0043161D">
              <w:rPr>
                <w:noProof/>
                <w:webHidden/>
              </w:rPr>
              <w:fldChar w:fldCharType="separate"/>
            </w:r>
            <w:r w:rsidR="0043161D">
              <w:rPr>
                <w:noProof/>
                <w:webHidden/>
              </w:rPr>
              <w:t>13</w:t>
            </w:r>
            <w:r w:rsidR="0043161D">
              <w:rPr>
                <w:noProof/>
                <w:webHidden/>
              </w:rPr>
              <w:fldChar w:fldCharType="end"/>
            </w:r>
          </w:hyperlink>
        </w:p>
        <w:p w14:paraId="2EB07F9C" w14:textId="6C8DF0A7" w:rsidR="0043161D" w:rsidRDefault="007572D7" w:rsidP="003C686F">
          <w:pPr>
            <w:pStyle w:val="TOC1"/>
            <w:rPr>
              <w:rFonts w:eastAsiaTheme="minorEastAsia"/>
              <w:noProof/>
              <w:kern w:val="2"/>
              <w:sz w:val="22"/>
              <w:lang w:eastAsia="en-NZ"/>
              <w14:ligatures w14:val="standardContextual"/>
            </w:rPr>
          </w:pPr>
          <w:hyperlink w:anchor="_Toc157771861" w:history="1">
            <w:r w:rsidR="0043161D" w:rsidRPr="00943D51">
              <w:rPr>
                <w:rStyle w:val="Hyperlink"/>
                <w:noProof/>
              </w:rPr>
              <w:t>4</w:t>
            </w:r>
            <w:r w:rsidR="0043161D">
              <w:rPr>
                <w:rFonts w:eastAsiaTheme="minorEastAsia"/>
                <w:noProof/>
                <w:kern w:val="2"/>
                <w:sz w:val="22"/>
                <w:lang w:eastAsia="en-NZ"/>
                <w14:ligatures w14:val="standardContextual"/>
              </w:rPr>
              <w:tab/>
            </w:r>
            <w:r w:rsidR="0043161D" w:rsidRPr="00943D51">
              <w:rPr>
                <w:rStyle w:val="Hyperlink"/>
                <w:noProof/>
              </w:rPr>
              <w:t>Achieving Equity</w:t>
            </w:r>
            <w:r w:rsidR="0043161D">
              <w:rPr>
                <w:noProof/>
                <w:webHidden/>
              </w:rPr>
              <w:tab/>
            </w:r>
            <w:r w:rsidR="0043161D">
              <w:rPr>
                <w:noProof/>
                <w:webHidden/>
              </w:rPr>
              <w:fldChar w:fldCharType="begin"/>
            </w:r>
            <w:r w:rsidR="0043161D">
              <w:rPr>
                <w:noProof/>
                <w:webHidden/>
              </w:rPr>
              <w:instrText xml:space="preserve"> PAGEREF _Toc157771861 \h </w:instrText>
            </w:r>
            <w:r w:rsidR="0043161D">
              <w:rPr>
                <w:noProof/>
                <w:webHidden/>
              </w:rPr>
            </w:r>
            <w:r w:rsidR="0043161D">
              <w:rPr>
                <w:noProof/>
                <w:webHidden/>
              </w:rPr>
              <w:fldChar w:fldCharType="separate"/>
            </w:r>
            <w:r w:rsidR="0043161D">
              <w:rPr>
                <w:noProof/>
                <w:webHidden/>
              </w:rPr>
              <w:t>16</w:t>
            </w:r>
            <w:r w:rsidR="0043161D">
              <w:rPr>
                <w:noProof/>
                <w:webHidden/>
              </w:rPr>
              <w:fldChar w:fldCharType="end"/>
            </w:r>
          </w:hyperlink>
        </w:p>
        <w:p w14:paraId="441C5AC7" w14:textId="116B0D96" w:rsidR="0043161D" w:rsidRDefault="007572D7" w:rsidP="003C686F">
          <w:pPr>
            <w:pStyle w:val="TOC1"/>
            <w:rPr>
              <w:rFonts w:eastAsiaTheme="minorEastAsia"/>
              <w:noProof/>
              <w:kern w:val="2"/>
              <w:sz w:val="22"/>
              <w:lang w:eastAsia="en-NZ"/>
              <w14:ligatures w14:val="standardContextual"/>
            </w:rPr>
          </w:pPr>
          <w:hyperlink w:anchor="_Toc157771862" w:history="1">
            <w:r w:rsidR="0043161D" w:rsidRPr="00943D51">
              <w:rPr>
                <w:rStyle w:val="Hyperlink"/>
                <w:noProof/>
              </w:rPr>
              <w:t>5</w:t>
            </w:r>
            <w:r w:rsidR="0043161D">
              <w:rPr>
                <w:rFonts w:eastAsiaTheme="minorEastAsia"/>
                <w:noProof/>
                <w:kern w:val="2"/>
                <w:sz w:val="22"/>
                <w:lang w:eastAsia="en-NZ"/>
                <w14:ligatures w14:val="standardContextual"/>
              </w:rPr>
              <w:tab/>
            </w:r>
            <w:r w:rsidR="0043161D" w:rsidRPr="00943D51">
              <w:rPr>
                <w:rStyle w:val="Hyperlink"/>
                <w:noProof/>
              </w:rPr>
              <w:t>Delivering Ola Manuia Pacific Health and Wellbeing Action Plan</w:t>
            </w:r>
            <w:r w:rsidR="0043161D">
              <w:rPr>
                <w:noProof/>
                <w:webHidden/>
              </w:rPr>
              <w:tab/>
            </w:r>
            <w:r w:rsidR="0043161D">
              <w:rPr>
                <w:noProof/>
                <w:webHidden/>
              </w:rPr>
              <w:fldChar w:fldCharType="begin"/>
            </w:r>
            <w:r w:rsidR="0043161D">
              <w:rPr>
                <w:noProof/>
                <w:webHidden/>
              </w:rPr>
              <w:instrText xml:space="preserve"> PAGEREF _Toc157771862 \h </w:instrText>
            </w:r>
            <w:r w:rsidR="0043161D">
              <w:rPr>
                <w:noProof/>
                <w:webHidden/>
              </w:rPr>
            </w:r>
            <w:r w:rsidR="0043161D">
              <w:rPr>
                <w:noProof/>
                <w:webHidden/>
              </w:rPr>
              <w:fldChar w:fldCharType="separate"/>
            </w:r>
            <w:r w:rsidR="0043161D">
              <w:rPr>
                <w:noProof/>
                <w:webHidden/>
              </w:rPr>
              <w:t>19</w:t>
            </w:r>
            <w:r w:rsidR="0043161D">
              <w:rPr>
                <w:noProof/>
                <w:webHidden/>
              </w:rPr>
              <w:fldChar w:fldCharType="end"/>
            </w:r>
          </w:hyperlink>
        </w:p>
        <w:p w14:paraId="0ED350FC" w14:textId="3AB6744F" w:rsidR="0043161D" w:rsidRDefault="007572D7" w:rsidP="003C686F">
          <w:pPr>
            <w:pStyle w:val="TOC1"/>
            <w:rPr>
              <w:rFonts w:eastAsiaTheme="minorEastAsia"/>
              <w:noProof/>
              <w:kern w:val="2"/>
              <w:sz w:val="22"/>
              <w:lang w:eastAsia="en-NZ"/>
              <w14:ligatures w14:val="standardContextual"/>
            </w:rPr>
          </w:pPr>
          <w:hyperlink w:anchor="_Toc157771863" w:history="1">
            <w:r w:rsidR="0043161D" w:rsidRPr="00943D51">
              <w:rPr>
                <w:rStyle w:val="Hyperlink"/>
                <w:noProof/>
              </w:rPr>
              <w:t>6</w:t>
            </w:r>
            <w:r w:rsidR="0043161D">
              <w:rPr>
                <w:rFonts w:eastAsiaTheme="minorEastAsia"/>
                <w:noProof/>
                <w:kern w:val="2"/>
                <w:sz w:val="22"/>
                <w:lang w:eastAsia="en-NZ"/>
                <w14:ligatures w14:val="standardContextual"/>
              </w:rPr>
              <w:tab/>
            </w:r>
            <w:r w:rsidR="0043161D" w:rsidRPr="00943D51">
              <w:rPr>
                <w:rStyle w:val="Hyperlink"/>
                <w:noProof/>
              </w:rPr>
              <w:t>Non-Financial Performance</w:t>
            </w:r>
            <w:r w:rsidR="0043161D">
              <w:rPr>
                <w:noProof/>
                <w:webHidden/>
              </w:rPr>
              <w:tab/>
            </w:r>
            <w:r w:rsidR="0043161D">
              <w:rPr>
                <w:noProof/>
                <w:webHidden/>
              </w:rPr>
              <w:fldChar w:fldCharType="begin"/>
            </w:r>
            <w:r w:rsidR="0043161D">
              <w:rPr>
                <w:noProof/>
                <w:webHidden/>
              </w:rPr>
              <w:instrText xml:space="preserve"> PAGEREF _Toc157771863 \h </w:instrText>
            </w:r>
            <w:r w:rsidR="0043161D">
              <w:rPr>
                <w:noProof/>
                <w:webHidden/>
              </w:rPr>
            </w:r>
            <w:r w:rsidR="0043161D">
              <w:rPr>
                <w:noProof/>
                <w:webHidden/>
              </w:rPr>
              <w:fldChar w:fldCharType="separate"/>
            </w:r>
            <w:r w:rsidR="0043161D">
              <w:rPr>
                <w:noProof/>
                <w:webHidden/>
              </w:rPr>
              <w:t>21</w:t>
            </w:r>
            <w:r w:rsidR="0043161D">
              <w:rPr>
                <w:noProof/>
                <w:webHidden/>
              </w:rPr>
              <w:fldChar w:fldCharType="end"/>
            </w:r>
          </w:hyperlink>
        </w:p>
        <w:p w14:paraId="5BD696AE" w14:textId="411E4BC4" w:rsidR="0043161D" w:rsidRDefault="007572D7" w:rsidP="003C686F">
          <w:pPr>
            <w:pStyle w:val="TOC1"/>
            <w:rPr>
              <w:rFonts w:eastAsiaTheme="minorEastAsia"/>
              <w:noProof/>
              <w:kern w:val="2"/>
              <w:sz w:val="22"/>
              <w:lang w:eastAsia="en-NZ"/>
              <w14:ligatures w14:val="standardContextual"/>
            </w:rPr>
          </w:pPr>
          <w:hyperlink w:anchor="_Toc157771864" w:history="1">
            <w:r w:rsidR="0043161D" w:rsidRPr="00943D51">
              <w:rPr>
                <w:rStyle w:val="Hyperlink"/>
                <w:noProof/>
              </w:rPr>
              <w:t>7</w:t>
            </w:r>
            <w:r w:rsidR="0043161D">
              <w:rPr>
                <w:rFonts w:eastAsiaTheme="minorEastAsia"/>
                <w:noProof/>
                <w:kern w:val="2"/>
                <w:sz w:val="22"/>
                <w:lang w:eastAsia="en-NZ"/>
                <w14:ligatures w14:val="standardContextual"/>
              </w:rPr>
              <w:tab/>
            </w:r>
            <w:r w:rsidR="0043161D" w:rsidRPr="00943D51">
              <w:rPr>
                <w:rStyle w:val="Hyperlink"/>
                <w:noProof/>
              </w:rPr>
              <w:t>Financial Performance</w:t>
            </w:r>
            <w:r w:rsidR="0043161D">
              <w:rPr>
                <w:noProof/>
                <w:webHidden/>
              </w:rPr>
              <w:tab/>
            </w:r>
            <w:r w:rsidR="0043161D">
              <w:rPr>
                <w:noProof/>
                <w:webHidden/>
              </w:rPr>
              <w:fldChar w:fldCharType="begin"/>
            </w:r>
            <w:r w:rsidR="0043161D">
              <w:rPr>
                <w:noProof/>
                <w:webHidden/>
              </w:rPr>
              <w:instrText xml:space="preserve"> PAGEREF _Toc157771864 \h </w:instrText>
            </w:r>
            <w:r w:rsidR="0043161D">
              <w:rPr>
                <w:noProof/>
                <w:webHidden/>
              </w:rPr>
            </w:r>
            <w:r w:rsidR="0043161D">
              <w:rPr>
                <w:noProof/>
                <w:webHidden/>
              </w:rPr>
              <w:fldChar w:fldCharType="separate"/>
            </w:r>
            <w:r w:rsidR="0043161D">
              <w:rPr>
                <w:noProof/>
                <w:webHidden/>
              </w:rPr>
              <w:t>36</w:t>
            </w:r>
            <w:r w:rsidR="0043161D">
              <w:rPr>
                <w:noProof/>
                <w:webHidden/>
              </w:rPr>
              <w:fldChar w:fldCharType="end"/>
            </w:r>
          </w:hyperlink>
        </w:p>
        <w:p w14:paraId="525F87D2" w14:textId="3D994E35" w:rsidR="0043161D" w:rsidRDefault="007572D7" w:rsidP="00B07C76">
          <w:pPr>
            <w:pStyle w:val="TOC2"/>
            <w:rPr>
              <w:rFonts w:eastAsiaTheme="minorEastAsia"/>
              <w:noProof/>
              <w:kern w:val="2"/>
              <w:sz w:val="22"/>
              <w:lang w:eastAsia="en-NZ"/>
              <w14:ligatures w14:val="standardContextual"/>
            </w:rPr>
          </w:pPr>
          <w:hyperlink w:anchor="_Toc157771865" w:history="1">
            <w:r w:rsidR="0043161D" w:rsidRPr="00943D51">
              <w:rPr>
                <w:rStyle w:val="Hyperlink"/>
                <w:noProof/>
              </w:rPr>
              <w:t>Infrastructure Investment</w:t>
            </w:r>
            <w:r w:rsidR="0043161D">
              <w:rPr>
                <w:noProof/>
                <w:webHidden/>
              </w:rPr>
              <w:tab/>
            </w:r>
            <w:r w:rsidR="0043161D">
              <w:rPr>
                <w:noProof/>
                <w:webHidden/>
              </w:rPr>
              <w:fldChar w:fldCharType="begin"/>
            </w:r>
            <w:r w:rsidR="0043161D">
              <w:rPr>
                <w:noProof/>
                <w:webHidden/>
              </w:rPr>
              <w:instrText xml:space="preserve"> PAGEREF _Toc157771865 \h </w:instrText>
            </w:r>
            <w:r w:rsidR="0043161D">
              <w:rPr>
                <w:noProof/>
                <w:webHidden/>
              </w:rPr>
            </w:r>
            <w:r w:rsidR="0043161D">
              <w:rPr>
                <w:noProof/>
                <w:webHidden/>
              </w:rPr>
              <w:fldChar w:fldCharType="separate"/>
            </w:r>
            <w:r w:rsidR="0043161D">
              <w:rPr>
                <w:noProof/>
                <w:webHidden/>
              </w:rPr>
              <w:t>44</w:t>
            </w:r>
            <w:r w:rsidR="0043161D">
              <w:rPr>
                <w:noProof/>
                <w:webHidden/>
              </w:rPr>
              <w:fldChar w:fldCharType="end"/>
            </w:r>
          </w:hyperlink>
        </w:p>
        <w:p w14:paraId="35EA71BC" w14:textId="37337C1A" w:rsidR="0043161D" w:rsidRDefault="007572D7" w:rsidP="00B07C76">
          <w:pPr>
            <w:pStyle w:val="TOC2"/>
            <w:rPr>
              <w:rFonts w:eastAsiaTheme="minorEastAsia"/>
              <w:noProof/>
              <w:kern w:val="2"/>
              <w:sz w:val="22"/>
              <w:lang w:eastAsia="en-NZ"/>
              <w14:ligatures w14:val="standardContextual"/>
            </w:rPr>
          </w:pPr>
          <w:hyperlink w:anchor="_Toc157771866" w:history="1">
            <w:r w:rsidR="0043161D" w:rsidRPr="00943D51">
              <w:rPr>
                <w:rStyle w:val="Hyperlink"/>
                <w:noProof/>
              </w:rPr>
              <w:t>Budget Spending Summary as at 30 September 2023</w:t>
            </w:r>
            <w:r w:rsidR="0043161D">
              <w:rPr>
                <w:noProof/>
                <w:webHidden/>
              </w:rPr>
              <w:tab/>
            </w:r>
            <w:r w:rsidR="0043161D">
              <w:rPr>
                <w:noProof/>
                <w:webHidden/>
              </w:rPr>
              <w:fldChar w:fldCharType="begin"/>
            </w:r>
            <w:r w:rsidR="0043161D">
              <w:rPr>
                <w:noProof/>
                <w:webHidden/>
              </w:rPr>
              <w:instrText xml:space="preserve"> PAGEREF _Toc157771866 \h </w:instrText>
            </w:r>
            <w:r w:rsidR="0043161D">
              <w:rPr>
                <w:noProof/>
                <w:webHidden/>
              </w:rPr>
            </w:r>
            <w:r w:rsidR="0043161D">
              <w:rPr>
                <w:noProof/>
                <w:webHidden/>
              </w:rPr>
              <w:fldChar w:fldCharType="separate"/>
            </w:r>
            <w:r w:rsidR="0043161D">
              <w:rPr>
                <w:noProof/>
                <w:webHidden/>
              </w:rPr>
              <w:t>45</w:t>
            </w:r>
            <w:r w:rsidR="0043161D">
              <w:rPr>
                <w:noProof/>
                <w:webHidden/>
              </w:rPr>
              <w:fldChar w:fldCharType="end"/>
            </w:r>
          </w:hyperlink>
        </w:p>
        <w:p w14:paraId="0DD74B19" w14:textId="77777777" w:rsidR="007121A5" w:rsidRDefault="00630DE1">
          <w:r>
            <w:fldChar w:fldCharType="end"/>
          </w:r>
        </w:p>
        <w:p w14:paraId="35855252" w14:textId="0B6070E2" w:rsidR="00630DE1" w:rsidRDefault="007572D7"/>
      </w:sdtContent>
    </w:sdt>
    <w:p w14:paraId="4FE3C8D5" w14:textId="08A0E994" w:rsidR="00B75F7F" w:rsidRDefault="0038189D" w:rsidP="0038189D">
      <w:pPr>
        <w:pStyle w:val="NumberedHeading1"/>
      </w:pPr>
      <w:bookmarkStart w:id="2" w:name="_Toc157771853"/>
      <w:r>
        <w:lastRenderedPageBreak/>
        <w:t>Snapshot for the Quarter</w:t>
      </w:r>
      <w:bookmarkEnd w:id="2"/>
    </w:p>
    <w:p w14:paraId="40D35C1F" w14:textId="0F36FBCD" w:rsidR="005D6300" w:rsidRDefault="0038189D" w:rsidP="00693348">
      <w:pPr>
        <w:pStyle w:val="Heading3"/>
      </w:pPr>
      <w:r w:rsidRPr="0038189D">
        <w:t>Workf</w:t>
      </w:r>
      <w:r w:rsidR="00693348">
        <w:t>orce</w:t>
      </w:r>
    </w:p>
    <w:p w14:paraId="63DC923D" w14:textId="2FA452B0" w:rsidR="00693348" w:rsidRDefault="00693348" w:rsidP="00693348">
      <w:r>
        <w:t xml:space="preserve">Our focus </w:t>
      </w:r>
      <w:r w:rsidR="005C4DCA">
        <w:t xml:space="preserve">continues </w:t>
      </w:r>
      <w:r w:rsidR="005B2D3C">
        <w:t xml:space="preserve">on </w:t>
      </w:r>
      <w:r>
        <w:t xml:space="preserve">implementing and delivering programmes within the Health Workforce Plan 2023/24 </w:t>
      </w:r>
      <w:r w:rsidR="007C48C5">
        <w:t xml:space="preserve">while at the same time, ensuring </w:t>
      </w:r>
      <w:r>
        <w:t xml:space="preserve">our </w:t>
      </w:r>
      <w:r w:rsidR="00981DEB">
        <w:t xml:space="preserve">current </w:t>
      </w:r>
      <w:r>
        <w:t>staff are supported</w:t>
      </w:r>
      <w:r w:rsidR="00981DEB">
        <w:t xml:space="preserve"> and have what they need to do their jobs wel</w:t>
      </w:r>
      <w:r w:rsidR="00607D5B">
        <w:t>l</w:t>
      </w:r>
      <w:r>
        <w:t xml:space="preserve">. </w:t>
      </w:r>
    </w:p>
    <w:p w14:paraId="1FE30920" w14:textId="77777777" w:rsidR="00693348" w:rsidRDefault="00693348" w:rsidP="00693348">
      <w:r>
        <w:t xml:space="preserve">Key achievements: </w:t>
      </w:r>
    </w:p>
    <w:p w14:paraId="63E1D7BB" w14:textId="4E04E654" w:rsidR="00693348" w:rsidRDefault="00693348" w:rsidP="00693348">
      <w:pPr>
        <w:pStyle w:val="ListBullet"/>
      </w:pPr>
      <w:r>
        <w:t xml:space="preserve">84 </w:t>
      </w:r>
      <w:r w:rsidR="00C67B79">
        <w:t xml:space="preserve">new </w:t>
      </w:r>
      <w:r>
        <w:t xml:space="preserve">Bachelor of Nursing students enrolled in Ara Te Pūkenga in July and August 2023. </w:t>
      </w:r>
    </w:p>
    <w:p w14:paraId="6A1E093B" w14:textId="2D050DCB" w:rsidR="00693348" w:rsidRDefault="00693348" w:rsidP="00693348">
      <w:pPr>
        <w:pStyle w:val="ListBullet"/>
      </w:pPr>
      <w:r>
        <w:t xml:space="preserve">288 </w:t>
      </w:r>
      <w:r w:rsidR="00C67B79">
        <w:t xml:space="preserve">new </w:t>
      </w:r>
      <w:r>
        <w:t xml:space="preserve">applicants within our Return to Nursing programme. </w:t>
      </w:r>
    </w:p>
    <w:p w14:paraId="1D5516A5" w14:textId="35EEE017" w:rsidR="00693348" w:rsidRDefault="00693348" w:rsidP="00693348">
      <w:pPr>
        <w:pStyle w:val="ListBullet"/>
      </w:pPr>
      <w:r>
        <w:t xml:space="preserve">10 </w:t>
      </w:r>
      <w:r w:rsidR="00C67B79">
        <w:t xml:space="preserve">new </w:t>
      </w:r>
      <w:r>
        <w:t xml:space="preserve">places for the Rural Medical Immersion Programme (RMIP) for fifth-year medical students have been confirmed for 2024. </w:t>
      </w:r>
    </w:p>
    <w:p w14:paraId="3B3EE358" w14:textId="3A0BE201" w:rsidR="00693348" w:rsidRDefault="00693348" w:rsidP="00693348">
      <w:r>
        <w:t xml:space="preserve">Our International Recruitment Centre continues to support health workers into New Zealand to help address immediate pressures, as well as recruiting for some of our hard-to-fill specialist roles. A targeted international recruitment campaign for </w:t>
      </w:r>
      <w:r w:rsidR="009E2018">
        <w:t>g</w:t>
      </w:r>
      <w:r>
        <w:t xml:space="preserve">eneral </w:t>
      </w:r>
      <w:r w:rsidR="009E2018">
        <w:t>p</w:t>
      </w:r>
      <w:r>
        <w:t xml:space="preserve">ractitioners </w:t>
      </w:r>
      <w:r w:rsidR="009E2018">
        <w:t xml:space="preserve">(GPs) </w:t>
      </w:r>
      <w:r>
        <w:t>was launched, as well as an incentive scheme to attract international GPs to work in rural areas.</w:t>
      </w:r>
    </w:p>
    <w:p w14:paraId="7CE8B494" w14:textId="4652F11E" w:rsidR="00693348" w:rsidRDefault="00693348" w:rsidP="00693348">
      <w:pPr>
        <w:pStyle w:val="Heading3"/>
      </w:pPr>
      <w:r>
        <w:t xml:space="preserve">Winter </w:t>
      </w:r>
      <w:r w:rsidR="00A93072">
        <w:t>a</w:t>
      </w:r>
      <w:r>
        <w:t>ctivity</w:t>
      </w:r>
    </w:p>
    <w:p w14:paraId="06648156" w14:textId="31EE76B1" w:rsidR="00693348" w:rsidRDefault="00693348" w:rsidP="00693348">
      <w:r>
        <w:t xml:space="preserve">Colds, flus and other respiratory illnesses are more common in colder months. In preparation, our </w:t>
      </w:r>
      <w:r w:rsidR="00380567">
        <w:t>p</w:t>
      </w:r>
      <w:r>
        <w:t xml:space="preserve">revention </w:t>
      </w:r>
      <w:r w:rsidR="00380567">
        <w:t>d</w:t>
      </w:r>
      <w:r>
        <w:t>irectorate’s winter activity for th</w:t>
      </w:r>
      <w:r w:rsidR="00AD7F0D">
        <w:t>is</w:t>
      </w:r>
      <w:r>
        <w:t xml:space="preserve"> quarter saw the delivery of two substantial pieces of work.</w:t>
      </w:r>
    </w:p>
    <w:p w14:paraId="58C2858D" w14:textId="32F7126D" w:rsidR="00693348" w:rsidRDefault="00693348" w:rsidP="00693348">
      <w:pPr>
        <w:pStyle w:val="Heading4"/>
      </w:pPr>
      <w:r>
        <w:t xml:space="preserve">Funded paediatric influenza </w:t>
      </w:r>
      <w:r w:rsidR="00A93072">
        <w:t>v</w:t>
      </w:r>
      <w:r>
        <w:t>accine</w:t>
      </w:r>
    </w:p>
    <w:p w14:paraId="398A4CBD" w14:textId="77777777" w:rsidR="00693348" w:rsidRDefault="00693348" w:rsidP="00693348">
      <w:r>
        <w:t>On 1 April, access was expanded to the funded paediatric influenza vaccine to include children aged between 6 months to 3 years old until the end of 2023. The vaccine for children aged 6 months to 3 years old was dispatched (not administered) nationally at 60% higher rates this flu season compared to 2022. An additional influenza vaccine was also funded from 1 July to help ensure continued availability through to the end of the year.</w:t>
      </w:r>
    </w:p>
    <w:p w14:paraId="09AEB253" w14:textId="77777777" w:rsidR="00693348" w:rsidRDefault="00693348" w:rsidP="00693348">
      <w:pPr>
        <w:pStyle w:val="Heading4"/>
      </w:pPr>
      <w:r>
        <w:t>Immunisation communications activity</w:t>
      </w:r>
    </w:p>
    <w:p w14:paraId="0DFBCE75" w14:textId="5E8EA055" w:rsidR="00693348" w:rsidRDefault="00693348" w:rsidP="00693348">
      <w:r>
        <w:t>Winter communications activity saw the delivery of two key communication initiatives:</w:t>
      </w:r>
    </w:p>
    <w:p w14:paraId="102C09BE" w14:textId="3E2643B7" w:rsidR="00693348" w:rsidRDefault="00693348" w:rsidP="00693348">
      <w:pPr>
        <w:pStyle w:val="ListBullet"/>
      </w:pPr>
      <w:r>
        <w:t>The Influenza Immunisation Programme focused on immunising people eligible for funded vaccines, particularly more vulnerable populations such as Māori and Pacific peoples.</w:t>
      </w:r>
    </w:p>
    <w:p w14:paraId="047E6A16" w14:textId="74291732" w:rsidR="00693348" w:rsidRDefault="00B51096" w:rsidP="00693348">
      <w:pPr>
        <w:pStyle w:val="ListBullet"/>
      </w:pPr>
      <w:r>
        <w:lastRenderedPageBreak/>
        <w:t>An a</w:t>
      </w:r>
      <w:r w:rsidR="00693348">
        <w:t>dditional COVID-19 booster was available to anyone aged 30 and over (or anyone at increased risk of severe illness from COVID-19 or haputanga) who ha</w:t>
      </w:r>
      <w:r w:rsidR="00847867">
        <w:t>d</w:t>
      </w:r>
      <w:r w:rsidR="00693348">
        <w:t xml:space="preserve"> completed their primary course as long as it ha</w:t>
      </w:r>
      <w:r w:rsidR="004C5D39">
        <w:t>d</w:t>
      </w:r>
      <w:r w:rsidR="00693348">
        <w:t xml:space="preserve"> been at least 6 months since their last COVID-19 dose or COVID-19 infection.</w:t>
      </w:r>
    </w:p>
    <w:p w14:paraId="1A02A1EC" w14:textId="600FD2B5" w:rsidR="00693348" w:rsidRDefault="00693348" w:rsidP="00693348">
      <w:r>
        <w:t xml:space="preserve">In support of these initiatives, two phases of campaign activity were planned and delivered through </w:t>
      </w:r>
      <w:r w:rsidR="007460ED">
        <w:t>this quarter</w:t>
      </w:r>
      <w:r>
        <w:t>.</w:t>
      </w:r>
    </w:p>
    <w:p w14:paraId="12DC104A" w14:textId="77777777" w:rsidR="00693348" w:rsidRDefault="00693348" w:rsidP="00693348">
      <w:pPr>
        <w:pStyle w:val="Heading3"/>
      </w:pPr>
      <w:r>
        <w:t>Immunisation Taskforce Programme</w:t>
      </w:r>
    </w:p>
    <w:p w14:paraId="1F69AC6B" w14:textId="2293B7E1" w:rsidR="00693348" w:rsidRDefault="00693348" w:rsidP="00693348">
      <w:r>
        <w:t xml:space="preserve">In April 2023, the Immunisation Taskforce released a report, "Initial Priorities for the National Immunisation Programme in Aotearoa”, which highlighted 10 key priority areas and made 54 recommendations. Delivery of the recommendations is being led by our </w:t>
      </w:r>
      <w:r w:rsidR="00551949">
        <w:t>p</w:t>
      </w:r>
      <w:r>
        <w:t>revention directorate in the National Public Health Service in partnership with Te Aka Whai Ora | Māori Health Authority.</w:t>
      </w:r>
    </w:p>
    <w:p w14:paraId="34084DED" w14:textId="6F847B12" w:rsidR="00693348" w:rsidRDefault="009E0F6D" w:rsidP="00693348">
      <w:r>
        <w:t xml:space="preserve">In this quarter </w:t>
      </w:r>
      <w:r w:rsidR="00693348">
        <w:t xml:space="preserve">several technology projects, aimed at achieving sustainable systemic change, were progressed to implementation stage. These included the preparation to cut over from the National Immunisation Register to the new Aotearoa Immunisation Register, the development of Whaihua – a new Customer Relationship Management (CRM) tool for use by immunisation outreach providers, and the Newborn Enrolment Service. </w:t>
      </w:r>
    </w:p>
    <w:p w14:paraId="3DA25AC2" w14:textId="1682563A" w:rsidR="00693348" w:rsidRDefault="00693348" w:rsidP="00693348">
      <w:r>
        <w:t xml:space="preserve">From 1 July 2023, Primary Health Organisations (PHOs) and General Practice </w:t>
      </w:r>
      <w:r w:rsidR="001347BB">
        <w:t>have been</w:t>
      </w:r>
      <w:r>
        <w:t xml:space="preserve"> paid $36.05 per dose administered, following a variation to the PHO Services Agreement. This is a permanent uplift of 29.5% to the immunisation administration fee to support primary care to immunise enrolled tamariki and whānau. </w:t>
      </w:r>
    </w:p>
    <w:p w14:paraId="0A7F213E" w14:textId="73656DA4" w:rsidR="00693348" w:rsidRDefault="00693348" w:rsidP="00693348">
      <w:r>
        <w:t xml:space="preserve">Pharmac changes have increased access to funded vaccines available in community pharmacy. From 1 August 2023, vaccinating pharmacies </w:t>
      </w:r>
      <w:r w:rsidR="001347BB">
        <w:t>can</w:t>
      </w:r>
      <w:r>
        <w:t xml:space="preserve"> order a wider range of National Immunisation Schedule vaccines resulting in more vaccination sites in the community.</w:t>
      </w:r>
    </w:p>
    <w:p w14:paraId="3FDF852B" w14:textId="77777777" w:rsidR="00693348" w:rsidRPr="00693348" w:rsidRDefault="00693348" w:rsidP="00693348">
      <w:pPr>
        <w:pStyle w:val="Heading3"/>
      </w:pPr>
      <w:bookmarkStart w:id="3" w:name="_Toc148352578"/>
      <w:bookmarkStart w:id="4" w:name="_Toc153526220"/>
      <w:bookmarkStart w:id="5" w:name="_Toc153529984"/>
      <w:bookmarkStart w:id="6" w:name="_Toc153530276"/>
      <w:bookmarkStart w:id="7" w:name="_Toc153530361"/>
      <w:bookmarkStart w:id="8" w:name="_Toc153546642"/>
      <w:r w:rsidRPr="00693348">
        <w:t>Primary Care</w:t>
      </w:r>
      <w:bookmarkEnd w:id="3"/>
      <w:bookmarkEnd w:id="4"/>
      <w:bookmarkEnd w:id="5"/>
      <w:bookmarkEnd w:id="6"/>
      <w:bookmarkEnd w:id="7"/>
      <w:bookmarkEnd w:id="8"/>
      <w:r w:rsidRPr="00693348">
        <w:t xml:space="preserve"> </w:t>
      </w:r>
    </w:p>
    <w:p w14:paraId="7D04A886" w14:textId="330BFA3B" w:rsidR="00693348" w:rsidRPr="00693348" w:rsidRDefault="00991B77" w:rsidP="00693348">
      <w:r>
        <w:t xml:space="preserve">This quarter </w:t>
      </w:r>
      <w:r w:rsidR="00693348" w:rsidRPr="00693348">
        <w:t xml:space="preserve">saw the end of the winter, which is traditionally the busiest period for the health system. During this time, we saw more people being enrolled with general practices, with </w:t>
      </w:r>
      <w:r w:rsidR="00693348" w:rsidRPr="00693348">
        <w:rPr>
          <w:lang w:val="en-GB"/>
        </w:rPr>
        <w:t>20,000 new patients enrolled in August alone</w:t>
      </w:r>
      <w:r w:rsidR="00693348" w:rsidRPr="00693348">
        <w:t xml:space="preserve">. </w:t>
      </w:r>
    </w:p>
    <w:p w14:paraId="36C20EB9" w14:textId="67CB3764" w:rsidR="00693348" w:rsidRPr="00693348" w:rsidRDefault="00693348" w:rsidP="00693348">
      <w:r w:rsidRPr="00693348">
        <w:t>There has also been strong patient satisfaction with 86% of survey respondents saying they felt involved in their own care and treatment with their GP or nurse</w:t>
      </w:r>
      <w:r w:rsidRPr="00693348">
        <w:rPr>
          <w:vertAlign w:val="superscript"/>
        </w:rPr>
        <w:footnoteReference w:id="1"/>
      </w:r>
      <w:r w:rsidRPr="00693348">
        <w:t>.</w:t>
      </w:r>
    </w:p>
    <w:p w14:paraId="4DBB945E" w14:textId="77777777" w:rsidR="00693348" w:rsidRPr="00693348" w:rsidRDefault="00693348" w:rsidP="00693348">
      <w:r w:rsidRPr="00693348">
        <w:lastRenderedPageBreak/>
        <w:t>Te Whatu Ora has acknowledged the increase in demand for primary care by extending the telehealth service that provides fully funded care for patients at no cost to rural, Māori or Pacific general practices, and general practices that support high needs populations.</w:t>
      </w:r>
    </w:p>
    <w:p w14:paraId="3037A6BA" w14:textId="59D73FA1" w:rsidR="00693348" w:rsidRPr="00693348" w:rsidRDefault="00693348" w:rsidP="00693348">
      <w:pPr>
        <w:pStyle w:val="Heading3"/>
      </w:pPr>
      <w:bookmarkStart w:id="9" w:name="_Toc148352579"/>
      <w:bookmarkStart w:id="10" w:name="_Toc153526221"/>
      <w:bookmarkStart w:id="11" w:name="_Toc153529985"/>
      <w:bookmarkStart w:id="12" w:name="_Toc153530277"/>
      <w:bookmarkStart w:id="13" w:name="_Toc153530362"/>
      <w:bookmarkStart w:id="14" w:name="_Toc153546643"/>
      <w:r w:rsidRPr="00693348">
        <w:t>Waitlist</w:t>
      </w:r>
      <w:r w:rsidR="00EB2619">
        <w:t>s</w:t>
      </w:r>
      <w:r w:rsidRPr="00693348">
        <w:t xml:space="preserve"> (</w:t>
      </w:r>
      <w:r w:rsidR="00294A4B">
        <w:t>p</w:t>
      </w:r>
      <w:r w:rsidRPr="00693348">
        <w:t xml:space="preserve">lanned </w:t>
      </w:r>
      <w:r w:rsidR="00294A4B">
        <w:t>c</w:t>
      </w:r>
      <w:r w:rsidRPr="00693348">
        <w:t>are)</w:t>
      </w:r>
      <w:bookmarkEnd w:id="9"/>
      <w:bookmarkEnd w:id="10"/>
      <w:bookmarkEnd w:id="11"/>
      <w:bookmarkEnd w:id="12"/>
      <w:bookmarkEnd w:id="13"/>
      <w:bookmarkEnd w:id="14"/>
      <w:r w:rsidRPr="00693348">
        <w:t xml:space="preserve"> </w:t>
      </w:r>
    </w:p>
    <w:p w14:paraId="6203F979" w14:textId="2FE6AE7E" w:rsidR="00693348" w:rsidRPr="00693348" w:rsidRDefault="00693348" w:rsidP="00693348">
      <w:r w:rsidRPr="00693348">
        <w:t xml:space="preserve">Given </w:t>
      </w:r>
      <w:r w:rsidR="00EB2619">
        <w:t xml:space="preserve">continuing </w:t>
      </w:r>
      <w:r w:rsidRPr="00693348">
        <w:t xml:space="preserve">system pressures, including workforce shortages and recovery from the impact of COVID-19, all districts have patients waiting beyond expected timeframes for assessment and treatment. A particular focus is to treat all patients waiting longer than 365 days for treatment. </w:t>
      </w:r>
    </w:p>
    <w:p w14:paraId="4D8670DF" w14:textId="601D476E" w:rsidR="00693348" w:rsidRPr="00693348" w:rsidRDefault="00693348" w:rsidP="00693348">
      <w:r w:rsidRPr="00693348">
        <w:t xml:space="preserve">To reduce wait lists, additional funding has been allocated to regions for the development of innovative service delivery models </w:t>
      </w:r>
      <w:r w:rsidR="003C32B3">
        <w:t xml:space="preserve">to [support or increase] </w:t>
      </w:r>
      <w:r w:rsidRPr="00693348">
        <w:t>public and private capacity to provide treatment.</w:t>
      </w:r>
    </w:p>
    <w:p w14:paraId="39A4F3A7" w14:textId="09CB65E3" w:rsidR="00693348" w:rsidRDefault="00693348" w:rsidP="00693348">
      <w:r w:rsidRPr="00693348">
        <w:t>Three regions remained on track to reach the goal of having no patients waiting over 365 days for treatment by 31 December 2023. The national team is providing support to Te Waipounamu to increase the number of long</w:t>
      </w:r>
      <w:r w:rsidR="00AE702D">
        <w:t xml:space="preserve"> </w:t>
      </w:r>
      <w:r w:rsidRPr="00693348">
        <w:t>waiting patients being treated.</w:t>
      </w:r>
    </w:p>
    <w:p w14:paraId="4A038239" w14:textId="77777777" w:rsidR="00801BB3" w:rsidRPr="00693348" w:rsidRDefault="00801BB3" w:rsidP="00693348"/>
    <w:p w14:paraId="725E7901" w14:textId="77777777" w:rsidR="005D0911" w:rsidRPr="005D0911" w:rsidRDefault="005D0911" w:rsidP="005D0911">
      <w:pPr>
        <w:pStyle w:val="NumberedHeading1"/>
      </w:pPr>
      <w:bookmarkStart w:id="15" w:name="_Toc157771854"/>
      <w:r w:rsidRPr="005D0911">
        <w:t>Evolving the Health System</w:t>
      </w:r>
      <w:bookmarkEnd w:id="15"/>
      <w:r w:rsidRPr="005D0911">
        <w:t xml:space="preserve"> </w:t>
      </w:r>
    </w:p>
    <w:p w14:paraId="2D550D68" w14:textId="77777777" w:rsidR="005D0911" w:rsidRPr="005D0911" w:rsidRDefault="005D0911" w:rsidP="005D0911">
      <w:r w:rsidRPr="005D0911">
        <w:t xml:space="preserve">Our aim is to have a health system that is more equitable, accessible, cohesive, and people-centred, that will benefit the health and wellbeing of </w:t>
      </w:r>
      <w:r w:rsidRPr="005D0911">
        <w:rPr>
          <w:bCs/>
        </w:rPr>
        <w:t>every</w:t>
      </w:r>
      <w:r w:rsidRPr="005D0911">
        <w:t xml:space="preserve"> New Zealander. The discussion below follows the five shifts set out in the first two years of the health reforms.</w:t>
      </w:r>
    </w:p>
    <w:p w14:paraId="32F013F1" w14:textId="7C1AB74C" w:rsidR="005D0911" w:rsidRPr="005D0911" w:rsidRDefault="005D0911" w:rsidP="005D0911">
      <w:pPr>
        <w:pStyle w:val="NumberedHeading2"/>
      </w:pPr>
      <w:bookmarkStart w:id="16" w:name="_Toc153526223"/>
      <w:bookmarkStart w:id="17" w:name="_Toc153529987"/>
      <w:bookmarkStart w:id="18" w:name="_Toc153530279"/>
      <w:bookmarkStart w:id="19" w:name="_Toc153530364"/>
      <w:bookmarkStart w:id="20" w:name="_Toc153546645"/>
      <w:bookmarkStart w:id="21" w:name="_Toc157771855"/>
      <w:r w:rsidRPr="005D0911">
        <w:t>The health system will reinforce Te Tiriti principles and obligations</w:t>
      </w:r>
      <w:bookmarkEnd w:id="16"/>
      <w:bookmarkEnd w:id="17"/>
      <w:bookmarkEnd w:id="18"/>
      <w:bookmarkEnd w:id="19"/>
      <w:bookmarkEnd w:id="20"/>
      <w:bookmarkEnd w:id="21"/>
    </w:p>
    <w:p w14:paraId="3F39D121" w14:textId="77777777" w:rsidR="005D0911" w:rsidRPr="005D0911" w:rsidRDefault="005D0911" w:rsidP="005D0911">
      <w:r w:rsidRPr="005D0911">
        <w:t>A commitment to Te Tiriti principles is an integral part of achieving health equity for Māori. Health inequities and efforts to address them have been central to the system for a long time. And now, under our Pae Ora legislation, we are required to actively pursue health equity. This brings a much stronger focus to this critical part of our mission to evolve how the health system delivers for New Zealanders.   </w:t>
      </w:r>
    </w:p>
    <w:p w14:paraId="2818AAE4" w14:textId="77777777" w:rsidR="005D0911" w:rsidRPr="005D0911" w:rsidRDefault="005D0911" w:rsidP="005D0911">
      <w:r w:rsidRPr="005D0911">
        <w:t xml:space="preserve">Achieving health equity requires a multi-faceted response, such as ensuring we have an inclusive work environment, embedding consumer and whānau voices in our work, </w:t>
      </w:r>
      <w:r w:rsidRPr="005D0911">
        <w:lastRenderedPageBreak/>
        <w:t>generating insights about what inequities exist and how they might best be addressed, and ensuring we have services that work effectively for different groups of people. </w:t>
      </w:r>
    </w:p>
    <w:p w14:paraId="5560C6BE" w14:textId="27F6CCD5" w:rsidR="005D0911" w:rsidRPr="005D0911" w:rsidRDefault="005D0911" w:rsidP="005D0911">
      <w:pPr>
        <w:pStyle w:val="NumberedHeading2"/>
      </w:pPr>
      <w:bookmarkStart w:id="22" w:name="_Toc153526224"/>
      <w:bookmarkStart w:id="23" w:name="_Toc153529988"/>
      <w:bookmarkStart w:id="24" w:name="_Toc153530280"/>
      <w:bookmarkStart w:id="25" w:name="_Toc153530365"/>
      <w:bookmarkStart w:id="26" w:name="_Toc153546646"/>
      <w:bookmarkStart w:id="27" w:name="_Toc157771856"/>
      <w:r w:rsidRPr="005D0911">
        <w:t>All people will be able to access a comprehensive range of support in their local communities to help them stay well</w:t>
      </w:r>
      <w:bookmarkEnd w:id="22"/>
      <w:bookmarkEnd w:id="23"/>
      <w:bookmarkEnd w:id="24"/>
      <w:bookmarkEnd w:id="25"/>
      <w:bookmarkEnd w:id="26"/>
      <w:bookmarkEnd w:id="27"/>
    </w:p>
    <w:p w14:paraId="7CB53FA9" w14:textId="7FDA7B96" w:rsidR="005D0911" w:rsidRPr="005D0911" w:rsidRDefault="005D0911" w:rsidP="005D0911">
      <w:r w:rsidRPr="005D0911">
        <w:t>A procurement process for a national rural clinical telehealth service is underway which will provide rural communities with primary care (GP consults and nurse triage) after hours (including overnight, weekends and on public holidays). This service is expected to begin in late October 2023.</w:t>
      </w:r>
    </w:p>
    <w:p w14:paraId="50583207" w14:textId="7BC43801" w:rsidR="005D0911" w:rsidRPr="005D0911" w:rsidRDefault="005D0911" w:rsidP="005D0911">
      <w:r w:rsidRPr="005D0911">
        <w:t xml:space="preserve">Te Whatu Ora is working to support primary and community teams through funding additional roles. One of these actions is the creation of Comprehensive Primary and Community Teams (CPCT). The CPCT has a funding allocation over three years of $102m from Budget 22.  </w:t>
      </w:r>
    </w:p>
    <w:p w14:paraId="6284054A" w14:textId="3BC18FA8" w:rsidR="005D0911" w:rsidRPr="005D0911" w:rsidRDefault="005D0911" w:rsidP="005D0911">
      <w:r w:rsidRPr="005D0911">
        <w:t xml:space="preserve">Highlights for </w:t>
      </w:r>
      <w:r w:rsidR="005D5E35">
        <w:t>this quarter</w:t>
      </w:r>
      <w:r w:rsidRPr="005D0911">
        <w:t xml:space="preserve"> included:</w:t>
      </w:r>
    </w:p>
    <w:p w14:paraId="12068C01" w14:textId="44F615C2" w:rsidR="005D0911" w:rsidRPr="005D0911" w:rsidRDefault="005D0911" w:rsidP="005D0911">
      <w:pPr>
        <w:pStyle w:val="ListBullet"/>
      </w:pPr>
      <w:r w:rsidRPr="005D0911">
        <w:t>Kaiawhina resources across the motu were committed for Hauora Māori and Pacific partners</w:t>
      </w:r>
      <w:r w:rsidR="0091475A">
        <w:t xml:space="preserve">; </w:t>
      </w:r>
      <w:r w:rsidRPr="005D0911">
        <w:t xml:space="preserve">$41m of the CPCT funding has now been committed, which will see approximately 232 new FTE within these teams once recruitment is complete. </w:t>
      </w:r>
    </w:p>
    <w:p w14:paraId="2035BF95" w14:textId="52544B07" w:rsidR="005D0911" w:rsidRDefault="007406DD" w:rsidP="005D0911">
      <w:r>
        <w:t xml:space="preserve">CPCT will bring </w:t>
      </w:r>
      <w:r w:rsidR="005D0911" w:rsidRPr="005D0911">
        <w:t xml:space="preserve">new ways of working, with local tailoring </w:t>
      </w:r>
      <w:r w:rsidR="00A667A6">
        <w:t>in</w:t>
      </w:r>
      <w:r w:rsidR="005D0911" w:rsidRPr="005D0911">
        <w:t xml:space="preserve"> localities </w:t>
      </w:r>
      <w:r w:rsidR="00A667A6">
        <w:t xml:space="preserve">which identify roles </w:t>
      </w:r>
      <w:r w:rsidR="005D0911" w:rsidRPr="005D0911">
        <w:t xml:space="preserve">that meet </w:t>
      </w:r>
      <w:r w:rsidR="00CC0716">
        <w:t xml:space="preserve">the </w:t>
      </w:r>
      <w:r w:rsidR="005D0911" w:rsidRPr="005D0911">
        <w:t>whānau and community voice. Across other areas, Hauora Māori and Pacific partners, general practice, PHOs and commissioning teams have worked collectively to identify roles, FTE</w:t>
      </w:r>
      <w:r w:rsidR="00697A11">
        <w:t>s</w:t>
      </w:r>
      <w:r w:rsidR="005D0911" w:rsidRPr="005D0911">
        <w:t xml:space="preserve"> and employers for resource</w:t>
      </w:r>
      <w:r w:rsidR="002823AF">
        <w:t>s</w:t>
      </w:r>
      <w:r w:rsidR="005D0911" w:rsidRPr="005D0911">
        <w:t xml:space="preserve"> across geographical area</w:t>
      </w:r>
      <w:r w:rsidR="002823AF">
        <w:t>s</w:t>
      </w:r>
      <w:r w:rsidR="005D0911" w:rsidRPr="005D0911">
        <w:t xml:space="preserve">. </w:t>
      </w:r>
      <w:r w:rsidR="00020996">
        <w:t>N</w:t>
      </w:r>
      <w:r w:rsidR="005D0911" w:rsidRPr="005D0911">
        <w:t xml:space="preserve">ext quarter these roles will start to be integrated into CPCT. </w:t>
      </w:r>
    </w:p>
    <w:p w14:paraId="24199E56" w14:textId="77777777" w:rsidR="005D0911" w:rsidRPr="005D0911" w:rsidRDefault="005D0911" w:rsidP="005D0911">
      <w:pPr>
        <w:pStyle w:val="NumberedHeading2"/>
      </w:pPr>
      <w:bookmarkStart w:id="28" w:name="_Toc157771857"/>
      <w:r w:rsidRPr="005D0911">
        <w:t>Everyone will have access to high quality emergency or specialist care when they need it</w:t>
      </w:r>
      <w:bookmarkEnd w:id="28"/>
    </w:p>
    <w:p w14:paraId="05DC11ED" w14:textId="23F7A83D" w:rsidR="005D0911" w:rsidRPr="005D0911" w:rsidRDefault="005D0911" w:rsidP="005D0911">
      <w:r w:rsidRPr="005D0911">
        <w:t xml:space="preserve">Ambulance </w:t>
      </w:r>
      <w:r w:rsidR="00B70030">
        <w:t>p</w:t>
      </w:r>
      <w:r w:rsidRPr="005D0911">
        <w:t xml:space="preserve">roviders report that frontline staff, including </w:t>
      </w:r>
      <w:r w:rsidR="00B70030">
        <w:t>e</w:t>
      </w:r>
      <w:r w:rsidRPr="005D0911">
        <w:t xml:space="preserve">mergency communications centre personnel, have increased by over 180 FTE from the beginning of the previous financial year. Additional funding and a focus on effective recruitment and training policies </w:t>
      </w:r>
      <w:r w:rsidRPr="005D0911">
        <w:lastRenderedPageBreak/>
        <w:t>across the range of clinical roles have reduced long standing staff vacancies across ambulance services.</w:t>
      </w:r>
    </w:p>
    <w:p w14:paraId="66A86BEA" w14:textId="2F3BF2AB" w:rsidR="005D0911" w:rsidRPr="005D0911" w:rsidRDefault="005D0911" w:rsidP="005D0911">
      <w:r w:rsidRPr="005D0911">
        <w:t xml:space="preserve">The Winter 2023 Preparedness Plan included 24 initiatives, across eight key areas, to address health system pressures, support community care and reduce hospital demand.  Many initiatives were available nationally, with some focused on regions </w:t>
      </w:r>
      <w:r w:rsidR="0044629B">
        <w:t>with</w:t>
      </w:r>
      <w:r w:rsidRPr="005D0911">
        <w:t xml:space="preserve"> persistent hospital flow challenges, including our busiest emergency departments, and wider system pressures.</w:t>
      </w:r>
    </w:p>
    <w:p w14:paraId="6640E066" w14:textId="58FABA85" w:rsidR="005D0911" w:rsidRPr="005D0911" w:rsidRDefault="004F63EF" w:rsidP="005D0911">
      <w:r>
        <w:t>S</w:t>
      </w:r>
      <w:r w:rsidR="005D0911" w:rsidRPr="005D0911">
        <w:t xml:space="preserve">uccessful management </w:t>
      </w:r>
      <w:r w:rsidR="00236336">
        <w:t xml:space="preserve">of resources </w:t>
      </w:r>
      <w:r w:rsidR="00413EB0" w:rsidRPr="005D0911">
        <w:t xml:space="preserve">from other parts of the country </w:t>
      </w:r>
      <w:r w:rsidR="00413EB0">
        <w:t>supported rural recovery during s</w:t>
      </w:r>
      <w:r w:rsidR="005D0911" w:rsidRPr="005D0911">
        <w:t>evere weather events in the east of the North Island. Road transport challenges are improving, however full restoration of that transport network will take significant time and air ambulance settings have been adjusted to</w:t>
      </w:r>
      <w:r w:rsidR="00945A39">
        <w:t xml:space="preserve"> support</w:t>
      </w:r>
      <w:r w:rsidR="005D0911" w:rsidRPr="005D0911">
        <w:t xml:space="preserve">. </w:t>
      </w:r>
    </w:p>
    <w:p w14:paraId="61ED9493" w14:textId="4AC945BD" w:rsidR="005D0911" w:rsidRPr="005D0911" w:rsidRDefault="005D0911" w:rsidP="005D0911">
      <w:pPr>
        <w:pStyle w:val="NumberedHeading2"/>
      </w:pPr>
      <w:bookmarkStart w:id="29" w:name="_Toc153526226"/>
      <w:bookmarkStart w:id="30" w:name="_Toc153529990"/>
      <w:bookmarkStart w:id="31" w:name="_Toc153530282"/>
      <w:bookmarkStart w:id="32" w:name="_Toc153530367"/>
      <w:bookmarkStart w:id="33" w:name="_Toc153546648"/>
      <w:bookmarkStart w:id="34" w:name="_Toc157771858"/>
      <w:r w:rsidRPr="005D0911">
        <w:t>Digital services will provide more New Zealanders with the care they will need in their homes and local communities</w:t>
      </w:r>
      <w:bookmarkEnd w:id="29"/>
      <w:bookmarkEnd w:id="30"/>
      <w:bookmarkEnd w:id="31"/>
      <w:bookmarkEnd w:id="32"/>
      <w:bookmarkEnd w:id="33"/>
      <w:bookmarkEnd w:id="34"/>
      <w:r w:rsidRPr="005D0911">
        <w:t xml:space="preserve"> </w:t>
      </w:r>
    </w:p>
    <w:p w14:paraId="7269BE57" w14:textId="27675BEC" w:rsidR="005D0911" w:rsidRPr="005D0911" w:rsidRDefault="005D0911" w:rsidP="005D0911">
      <w:r w:rsidRPr="005D0911">
        <w:t xml:space="preserve">The Remote Patient Monitoring Pilot aims to identify and collect the right health information in a readily consumable, equitable and accessible way for both users and clinicians so better and faster health decisions can be made for those who live in rural areas. </w:t>
      </w:r>
      <w:r w:rsidR="00042F73">
        <w:t>During this quarter</w:t>
      </w:r>
      <w:r w:rsidRPr="005D0911">
        <w:t xml:space="preserve"> we received the delivery of devices that will go to 60 </w:t>
      </w:r>
      <w:r w:rsidR="008B1498">
        <w:t xml:space="preserve">people to </w:t>
      </w:r>
      <w:r w:rsidRPr="005D0911">
        <w:t xml:space="preserve">monitor </w:t>
      </w:r>
      <w:r w:rsidR="00725B99">
        <w:t xml:space="preserve">their </w:t>
      </w:r>
      <w:r w:rsidRPr="005D0911">
        <w:t xml:space="preserve">health conditions. </w:t>
      </w:r>
    </w:p>
    <w:p w14:paraId="5DB801DF" w14:textId="44A2640B" w:rsidR="005D0911" w:rsidRPr="005D0911" w:rsidRDefault="005D0911" w:rsidP="005D0911">
      <w:r w:rsidRPr="005D0911">
        <w:t xml:space="preserve">Our key focus is to monitor </w:t>
      </w:r>
      <w:r w:rsidR="0083545F">
        <w:t xml:space="preserve">from home </w:t>
      </w:r>
      <w:r w:rsidRPr="005D0911">
        <w:t>those with long-term health conditions, such as chronic obstructive pulmonary disease (COPD), heart disease and diabete</w:t>
      </w:r>
      <w:r w:rsidR="0083545F">
        <w:t>s</w:t>
      </w:r>
      <w:r w:rsidRPr="005D0911">
        <w:t>. This quarter, we are working with community partners in Te Tai Tokerau, the Chatham Islands and the East Coast. The first long-term condition we will be monitoring is heart failure.</w:t>
      </w:r>
    </w:p>
    <w:p w14:paraId="772CA1FF" w14:textId="4B46B420" w:rsidR="005D0911" w:rsidRPr="005D0911" w:rsidRDefault="005D0911" w:rsidP="005D0911">
      <w:r w:rsidRPr="005D0911">
        <w:t xml:space="preserve">The HPV Cervical Screening project enables women to self-test for their initial cervical screening at home. We have been improving digital tools that support this system, including software components and new integrations from laboratory facilities. This </w:t>
      </w:r>
      <w:r w:rsidR="00577804">
        <w:t xml:space="preserve">service went live </w:t>
      </w:r>
      <w:r w:rsidRPr="005D0911">
        <w:t xml:space="preserve">in September. </w:t>
      </w:r>
    </w:p>
    <w:p w14:paraId="5E679665" w14:textId="77777777" w:rsidR="005D0911" w:rsidRPr="005D0911" w:rsidRDefault="005D0911" w:rsidP="005D0911">
      <w:pPr>
        <w:pStyle w:val="NumberedHeading2"/>
      </w:pPr>
      <w:bookmarkStart w:id="35" w:name="_Toc157771859"/>
      <w:r w:rsidRPr="005D0911">
        <w:lastRenderedPageBreak/>
        <w:t>Health and care workers will be valued and well-trained for the future health system</w:t>
      </w:r>
      <w:bookmarkEnd w:id="35"/>
    </w:p>
    <w:p w14:paraId="47018578" w14:textId="77777777" w:rsidR="005D0911" w:rsidRPr="005D0911" w:rsidRDefault="005D0911" w:rsidP="005D0911">
      <w:r w:rsidRPr="005D0911">
        <w:t>Te Whatu Ora has reached gender-based pay equity settlements for all its employed workforces, with nurses, midwives and allied, scientific and technical professionals’ settlements all concluded this quarter. This is a huge step to ensuring our workforces, many of which are dominated by women, are paid equitably – and represents a significant and important investment in our health personnel.</w:t>
      </w:r>
    </w:p>
    <w:p w14:paraId="206A3233" w14:textId="31A56AC9" w:rsidR="005D0911" w:rsidRPr="005D0911" w:rsidRDefault="005D0911" w:rsidP="005D0911">
      <w:r w:rsidRPr="005D0911">
        <w:t>Changes to immigration settings and Te Whatu Ora’s investment in international recruitment continue to bear fruit for our nursing workforce with continued, strong growth in new nursing registrations. From June 2022 to June 2023 the number of nurses with a current, New Zealand practising certificate rose by 6,120 – 8.5% of our total nursing workforce today. Indications are that this flow of overseas-trained nurses into New Zealand has continued strongly through the quarter ending 30 September 2023, helping lift pressure on our hospitals and in the community.</w:t>
      </w:r>
    </w:p>
    <w:p w14:paraId="25148DB2" w14:textId="5306A8E3" w:rsidR="005D0911" w:rsidRPr="005D0911" w:rsidRDefault="005D0911" w:rsidP="005D0911">
      <w:r w:rsidRPr="005D0911">
        <w:t xml:space="preserve">Since our establishment on 1 July 2022, we have highlighted pressures on our health workforce. While we have made good, rapid progress in growing nursing numbers in New Zealand, we continue to face pressure </w:t>
      </w:r>
      <w:r w:rsidR="00905AC9">
        <w:t>in recruiting for</w:t>
      </w:r>
      <w:r w:rsidRPr="005D0911">
        <w:t xml:space="preserve"> medical, allied, scientific and technical workforces. These </w:t>
      </w:r>
      <w:r w:rsidR="007B72DD">
        <w:t xml:space="preserve">pressures will </w:t>
      </w:r>
      <w:r w:rsidRPr="005D0911">
        <w:t>persist for some time, even as we implement initiatives from the Health Workforce Plan 2023/24 designed to improve retention and grow international and domestic pipelines.</w:t>
      </w:r>
    </w:p>
    <w:p w14:paraId="208C9DDD" w14:textId="77777777" w:rsidR="005D0911" w:rsidRPr="005D0911" w:rsidRDefault="005D0911" w:rsidP="005D0911">
      <w:r w:rsidRPr="005D0911">
        <w:t xml:space="preserve">We </w:t>
      </w:r>
      <w:r w:rsidRPr="005D0911">
        <w:rPr>
          <w:lang w:val="en-GB"/>
        </w:rPr>
        <w:t>have reached an agreement with Otago University to fund</w:t>
      </w:r>
      <w:r w:rsidRPr="005D0911">
        <w:t xml:space="preserve"> 10 additional places for the Rural Medical Immersion Programme (RMIP) from 2024. RMIP students will split their time between rural general practices and hospitals and be mentored by community health providers and visiting specialists. The programme has been successful in encouraging graduates to pursue a career in rural health.</w:t>
      </w:r>
    </w:p>
    <w:p w14:paraId="100679D9" w14:textId="6CD70E8B" w:rsidR="005D0911" w:rsidRDefault="005D0911">
      <w:pPr>
        <w:spacing w:before="0" w:after="160" w:line="259" w:lineRule="auto"/>
      </w:pPr>
      <w:r>
        <w:br w:type="page"/>
      </w:r>
    </w:p>
    <w:p w14:paraId="35852856" w14:textId="7BDDE6E8" w:rsidR="005D0911" w:rsidRPr="005D0911" w:rsidRDefault="005D0911" w:rsidP="005D0911">
      <w:pPr>
        <w:pStyle w:val="NumberedHeading1"/>
      </w:pPr>
      <w:bookmarkStart w:id="36" w:name="_Toc157771860"/>
      <w:r w:rsidRPr="005D0911">
        <w:lastRenderedPageBreak/>
        <w:t>Delivering Interim Health New Zealand</w:t>
      </w:r>
      <w:bookmarkEnd w:id="36"/>
      <w:r w:rsidR="00284E53">
        <w:t xml:space="preserve">| </w:t>
      </w:r>
      <w:r w:rsidR="00284E53" w:rsidRPr="005D0911">
        <w:t>Te Pae Tata</w:t>
      </w:r>
    </w:p>
    <w:p w14:paraId="50692A1B" w14:textId="56DB0279" w:rsidR="005D0911" w:rsidRPr="005D0911" w:rsidRDefault="005D0911" w:rsidP="005D0911">
      <w:r w:rsidRPr="005D0911">
        <w:t xml:space="preserve">Te Pae Tata is our Interim New Zealand Health Plan. The plan consists of 187 key actions to be delivered in partnership with Te Aka Whai Ora. At this stage we are taking </w:t>
      </w:r>
      <w:r w:rsidR="00F86411">
        <w:t>the</w:t>
      </w:r>
      <w:r w:rsidRPr="005D0911">
        <w:t xml:space="preserve"> opportunity to review</w:t>
      </w:r>
      <w:r w:rsidR="00BF4C86">
        <w:t xml:space="preserve"> the actions</w:t>
      </w:r>
      <w:r w:rsidRPr="005D0911">
        <w:t xml:space="preserve"> to establish whether they are all still fit for purpose and where they may better sit within </w:t>
      </w:r>
      <w:r w:rsidR="00DE334F">
        <w:t xml:space="preserve">our </w:t>
      </w:r>
      <w:r w:rsidRPr="005D0911">
        <w:t xml:space="preserve">operational plans. To ensure we are progressing, each action has quarterly milestones, and the status of these milestones is monitored and reported each quarter. The table below contains the progress status </w:t>
      </w:r>
      <w:r w:rsidR="00DB4F87">
        <w:t>of milestones during this quarter.</w:t>
      </w:r>
      <w:r w:rsidR="00B8144C">
        <w:br/>
      </w:r>
    </w:p>
    <w:tbl>
      <w:tblPr>
        <w:tblStyle w:val="TeWhatuOra"/>
        <w:tblpPr w:leftFromText="180" w:rightFromText="180" w:vertAnchor="page" w:horzAnchor="margin" w:tblpY="6750"/>
        <w:tblW w:w="0" w:type="auto"/>
        <w:tblLayout w:type="fixed"/>
        <w:tblLook w:val="0420" w:firstRow="1" w:lastRow="0" w:firstColumn="0" w:lastColumn="0" w:noHBand="0" w:noVBand="1"/>
      </w:tblPr>
      <w:tblGrid>
        <w:gridCol w:w="2774"/>
        <w:gridCol w:w="1352"/>
        <w:gridCol w:w="864"/>
        <w:gridCol w:w="959"/>
        <w:gridCol w:w="709"/>
        <w:gridCol w:w="1360"/>
        <w:gridCol w:w="1610"/>
      </w:tblGrid>
      <w:tr w:rsidR="005D0911" w:rsidRPr="005D0911" w14:paraId="676B30C0" w14:textId="77777777" w:rsidTr="005A070B">
        <w:trPr>
          <w:cnfStyle w:val="100000000000" w:firstRow="1" w:lastRow="0" w:firstColumn="0" w:lastColumn="0" w:oddVBand="0" w:evenVBand="0" w:oddHBand="0" w:evenHBand="0" w:firstRowFirstColumn="0" w:firstRowLastColumn="0" w:lastRowFirstColumn="0" w:lastRowLastColumn="0"/>
          <w:trHeight w:val="418"/>
        </w:trPr>
        <w:tc>
          <w:tcPr>
            <w:tcW w:w="2774" w:type="dxa"/>
          </w:tcPr>
          <w:p w14:paraId="55E363A6" w14:textId="77777777" w:rsidR="005D0911" w:rsidRPr="005D0911" w:rsidRDefault="005D0911" w:rsidP="005D0911">
            <w:r w:rsidRPr="005D0911">
              <w:t>Sections</w:t>
            </w:r>
          </w:p>
        </w:tc>
        <w:tc>
          <w:tcPr>
            <w:tcW w:w="1352" w:type="dxa"/>
          </w:tcPr>
          <w:p w14:paraId="0F72B6EB" w14:textId="77777777" w:rsidR="005D0911" w:rsidRPr="005D0911" w:rsidRDefault="005D0911" w:rsidP="005D0911">
            <w:r w:rsidRPr="005D0911">
              <w:t>Total Actions</w:t>
            </w:r>
          </w:p>
        </w:tc>
        <w:tc>
          <w:tcPr>
            <w:tcW w:w="864" w:type="dxa"/>
            <w:shd w:val="clear" w:color="auto" w:fill="00CC00"/>
          </w:tcPr>
          <w:p w14:paraId="3EE00028" w14:textId="77777777" w:rsidR="005D0911" w:rsidRPr="005D0911" w:rsidRDefault="005D0911" w:rsidP="005D0911">
            <w:r w:rsidRPr="005D0911">
              <w:t>Green</w:t>
            </w:r>
          </w:p>
        </w:tc>
        <w:tc>
          <w:tcPr>
            <w:tcW w:w="959" w:type="dxa"/>
            <w:shd w:val="clear" w:color="auto" w:fill="FFC000"/>
          </w:tcPr>
          <w:p w14:paraId="3272CD82" w14:textId="77777777" w:rsidR="005D0911" w:rsidRPr="005D0911" w:rsidRDefault="005D0911" w:rsidP="005D0911">
            <w:r w:rsidRPr="005D0911">
              <w:t>Amber</w:t>
            </w:r>
          </w:p>
        </w:tc>
        <w:tc>
          <w:tcPr>
            <w:tcW w:w="709" w:type="dxa"/>
            <w:shd w:val="clear" w:color="auto" w:fill="FF0000"/>
          </w:tcPr>
          <w:p w14:paraId="7942B8EF" w14:textId="77777777" w:rsidR="005D0911" w:rsidRPr="005D0911" w:rsidRDefault="005D0911" w:rsidP="005D0911">
            <w:r w:rsidRPr="005D0911">
              <w:t>Red</w:t>
            </w:r>
          </w:p>
        </w:tc>
        <w:tc>
          <w:tcPr>
            <w:tcW w:w="1360" w:type="dxa"/>
          </w:tcPr>
          <w:p w14:paraId="0FBD9852" w14:textId="77777777" w:rsidR="005D0911" w:rsidRPr="005D0911" w:rsidRDefault="005D0911" w:rsidP="005D0911">
            <w:r w:rsidRPr="005D0911">
              <w:t>No milestone</w:t>
            </w:r>
          </w:p>
        </w:tc>
        <w:tc>
          <w:tcPr>
            <w:tcW w:w="1610" w:type="dxa"/>
          </w:tcPr>
          <w:p w14:paraId="7789400D" w14:textId="77777777" w:rsidR="005D0911" w:rsidRPr="005D0911" w:rsidRDefault="005D0911" w:rsidP="005D0911">
            <w:r w:rsidRPr="005D0911">
              <w:t>Still Assessing</w:t>
            </w:r>
          </w:p>
        </w:tc>
      </w:tr>
      <w:tr w:rsidR="005D0911" w:rsidRPr="005D0911" w14:paraId="29E16D5B" w14:textId="77777777" w:rsidTr="005A070B">
        <w:tc>
          <w:tcPr>
            <w:tcW w:w="2774" w:type="dxa"/>
          </w:tcPr>
          <w:p w14:paraId="163A23AC" w14:textId="176EEE1C" w:rsidR="005D0911" w:rsidRPr="005D0911" w:rsidRDefault="005D0911" w:rsidP="005D0911">
            <w:r w:rsidRPr="005D0911">
              <w:t>People &amp; whānau at the heart of health</w:t>
            </w:r>
          </w:p>
        </w:tc>
        <w:tc>
          <w:tcPr>
            <w:tcW w:w="1352" w:type="dxa"/>
          </w:tcPr>
          <w:p w14:paraId="4F7742DE" w14:textId="2913E430" w:rsidR="005D0911" w:rsidRPr="005D0911" w:rsidRDefault="005D0911" w:rsidP="005D0911">
            <w:r w:rsidRPr="005D0911">
              <w:t>24</w:t>
            </w:r>
          </w:p>
        </w:tc>
        <w:tc>
          <w:tcPr>
            <w:tcW w:w="864" w:type="dxa"/>
            <w:shd w:val="clear" w:color="auto" w:fill="00CC00"/>
          </w:tcPr>
          <w:p w14:paraId="2D4D2022" w14:textId="6971C96C" w:rsidR="005D0911" w:rsidRPr="005D0911" w:rsidRDefault="005D0911" w:rsidP="005D0911">
            <w:r w:rsidRPr="005D0911">
              <w:t>15</w:t>
            </w:r>
          </w:p>
        </w:tc>
        <w:tc>
          <w:tcPr>
            <w:tcW w:w="959" w:type="dxa"/>
            <w:shd w:val="clear" w:color="auto" w:fill="FFC000"/>
          </w:tcPr>
          <w:p w14:paraId="02D677E5" w14:textId="149CDA97" w:rsidR="005D0911" w:rsidRPr="005D0911" w:rsidRDefault="005D0911" w:rsidP="005D0911">
            <w:r w:rsidRPr="005D0911">
              <w:t>7</w:t>
            </w:r>
          </w:p>
        </w:tc>
        <w:tc>
          <w:tcPr>
            <w:tcW w:w="709" w:type="dxa"/>
            <w:shd w:val="clear" w:color="auto" w:fill="FF0000"/>
          </w:tcPr>
          <w:p w14:paraId="78C240DD" w14:textId="77777777" w:rsidR="005D0911" w:rsidRPr="005D0911" w:rsidRDefault="005D0911" w:rsidP="005D0911"/>
        </w:tc>
        <w:tc>
          <w:tcPr>
            <w:tcW w:w="1360" w:type="dxa"/>
          </w:tcPr>
          <w:p w14:paraId="4F3F52BA" w14:textId="77777777" w:rsidR="005D0911" w:rsidRPr="005D0911" w:rsidRDefault="005D0911" w:rsidP="005D0911"/>
        </w:tc>
        <w:tc>
          <w:tcPr>
            <w:tcW w:w="1610" w:type="dxa"/>
          </w:tcPr>
          <w:p w14:paraId="4B557E77" w14:textId="77777777" w:rsidR="005D0911" w:rsidRPr="005D0911" w:rsidRDefault="005D0911" w:rsidP="005D0911">
            <w:r w:rsidRPr="005D0911">
              <w:t>2</w:t>
            </w:r>
          </w:p>
        </w:tc>
      </w:tr>
      <w:tr w:rsidR="005D0911" w:rsidRPr="005D0911" w14:paraId="1A1EF6F1" w14:textId="77777777" w:rsidTr="005A070B">
        <w:tc>
          <w:tcPr>
            <w:tcW w:w="2774" w:type="dxa"/>
          </w:tcPr>
          <w:p w14:paraId="482CF288" w14:textId="77777777" w:rsidR="005D0911" w:rsidRPr="005D0911" w:rsidRDefault="005D0911" w:rsidP="005D0911">
            <w:r w:rsidRPr="005D0911">
              <w:t>Improving health outcomes and equity</w:t>
            </w:r>
          </w:p>
        </w:tc>
        <w:tc>
          <w:tcPr>
            <w:tcW w:w="1352" w:type="dxa"/>
          </w:tcPr>
          <w:p w14:paraId="7F612744" w14:textId="77777777" w:rsidR="005D0911" w:rsidRPr="005D0911" w:rsidRDefault="005D0911" w:rsidP="005D0911">
            <w:r w:rsidRPr="005D0911">
              <w:t>39</w:t>
            </w:r>
          </w:p>
        </w:tc>
        <w:tc>
          <w:tcPr>
            <w:tcW w:w="864" w:type="dxa"/>
            <w:shd w:val="clear" w:color="auto" w:fill="00CC00"/>
          </w:tcPr>
          <w:p w14:paraId="4D2C5011" w14:textId="77777777" w:rsidR="005D0911" w:rsidRPr="005D0911" w:rsidRDefault="005D0911" w:rsidP="005D0911">
            <w:r w:rsidRPr="005D0911">
              <w:t>21</w:t>
            </w:r>
          </w:p>
        </w:tc>
        <w:tc>
          <w:tcPr>
            <w:tcW w:w="959" w:type="dxa"/>
            <w:shd w:val="clear" w:color="auto" w:fill="FFC000"/>
          </w:tcPr>
          <w:p w14:paraId="38087976" w14:textId="77777777" w:rsidR="005D0911" w:rsidRPr="005D0911" w:rsidRDefault="005D0911" w:rsidP="005D0911">
            <w:r w:rsidRPr="005D0911">
              <w:t>6</w:t>
            </w:r>
          </w:p>
        </w:tc>
        <w:tc>
          <w:tcPr>
            <w:tcW w:w="709" w:type="dxa"/>
            <w:shd w:val="clear" w:color="auto" w:fill="FF0000"/>
          </w:tcPr>
          <w:p w14:paraId="3828832D" w14:textId="77777777" w:rsidR="005D0911" w:rsidRPr="005D0911" w:rsidRDefault="005D0911" w:rsidP="005D0911"/>
        </w:tc>
        <w:tc>
          <w:tcPr>
            <w:tcW w:w="1360" w:type="dxa"/>
          </w:tcPr>
          <w:p w14:paraId="053D30FD" w14:textId="77777777" w:rsidR="005D0911" w:rsidRPr="005D0911" w:rsidRDefault="005D0911" w:rsidP="005D0911">
            <w:r w:rsidRPr="005D0911">
              <w:t>6</w:t>
            </w:r>
          </w:p>
        </w:tc>
        <w:tc>
          <w:tcPr>
            <w:tcW w:w="1610" w:type="dxa"/>
          </w:tcPr>
          <w:p w14:paraId="178D1302" w14:textId="77777777" w:rsidR="005D0911" w:rsidRPr="005D0911" w:rsidRDefault="005D0911" w:rsidP="005D0911">
            <w:r w:rsidRPr="005D0911">
              <w:t>6</w:t>
            </w:r>
          </w:p>
        </w:tc>
      </w:tr>
      <w:tr w:rsidR="005D0911" w:rsidRPr="005D0911" w14:paraId="17D96D8B" w14:textId="77777777" w:rsidTr="005A070B">
        <w:tc>
          <w:tcPr>
            <w:tcW w:w="2774" w:type="dxa"/>
          </w:tcPr>
          <w:p w14:paraId="30F42C68" w14:textId="77777777" w:rsidR="005D0911" w:rsidRPr="005D0911" w:rsidRDefault="005D0911" w:rsidP="005D0911">
            <w:r w:rsidRPr="005D0911">
              <w:t>A unified health system</w:t>
            </w:r>
          </w:p>
        </w:tc>
        <w:tc>
          <w:tcPr>
            <w:tcW w:w="1352" w:type="dxa"/>
          </w:tcPr>
          <w:p w14:paraId="225855BE" w14:textId="77777777" w:rsidR="005D0911" w:rsidRPr="005D0911" w:rsidRDefault="005D0911" w:rsidP="005D0911">
            <w:r w:rsidRPr="005D0911">
              <w:t>63</w:t>
            </w:r>
          </w:p>
        </w:tc>
        <w:tc>
          <w:tcPr>
            <w:tcW w:w="864" w:type="dxa"/>
            <w:shd w:val="clear" w:color="auto" w:fill="00CC00"/>
          </w:tcPr>
          <w:p w14:paraId="31DE2A33" w14:textId="77777777" w:rsidR="005D0911" w:rsidRPr="005D0911" w:rsidRDefault="005D0911" w:rsidP="005D0911">
            <w:r w:rsidRPr="005D0911">
              <w:t>26</w:t>
            </w:r>
          </w:p>
        </w:tc>
        <w:tc>
          <w:tcPr>
            <w:tcW w:w="959" w:type="dxa"/>
            <w:shd w:val="clear" w:color="auto" w:fill="FFC000"/>
          </w:tcPr>
          <w:p w14:paraId="3305A7A4" w14:textId="77777777" w:rsidR="005D0911" w:rsidRPr="005D0911" w:rsidRDefault="005D0911" w:rsidP="005D0911">
            <w:r w:rsidRPr="005D0911">
              <w:t>14</w:t>
            </w:r>
          </w:p>
        </w:tc>
        <w:tc>
          <w:tcPr>
            <w:tcW w:w="709" w:type="dxa"/>
            <w:shd w:val="clear" w:color="auto" w:fill="FF0000"/>
          </w:tcPr>
          <w:p w14:paraId="7AFD127F" w14:textId="77777777" w:rsidR="005D0911" w:rsidRPr="005D0911" w:rsidRDefault="005D0911" w:rsidP="005D0911"/>
        </w:tc>
        <w:tc>
          <w:tcPr>
            <w:tcW w:w="1360" w:type="dxa"/>
          </w:tcPr>
          <w:p w14:paraId="59BB7CC2" w14:textId="77777777" w:rsidR="005D0911" w:rsidRPr="005D0911" w:rsidRDefault="005D0911" w:rsidP="005D0911">
            <w:r w:rsidRPr="005D0911">
              <w:t>8</w:t>
            </w:r>
          </w:p>
        </w:tc>
        <w:tc>
          <w:tcPr>
            <w:tcW w:w="1610" w:type="dxa"/>
          </w:tcPr>
          <w:p w14:paraId="08AE0A9A" w14:textId="77777777" w:rsidR="005D0911" w:rsidRPr="005D0911" w:rsidRDefault="005D0911" w:rsidP="005D0911">
            <w:r w:rsidRPr="005D0911">
              <w:t>15</w:t>
            </w:r>
          </w:p>
        </w:tc>
      </w:tr>
      <w:tr w:rsidR="005D0911" w:rsidRPr="005D0911" w14:paraId="58AD08AC" w14:textId="77777777" w:rsidTr="005A070B">
        <w:tc>
          <w:tcPr>
            <w:tcW w:w="2774" w:type="dxa"/>
          </w:tcPr>
          <w:p w14:paraId="0B4C3ECC" w14:textId="77777777" w:rsidR="005D0911" w:rsidRPr="005D0911" w:rsidRDefault="005D0911" w:rsidP="005D0911">
            <w:r w:rsidRPr="005D0911">
              <w:t>Priority populations</w:t>
            </w:r>
          </w:p>
        </w:tc>
        <w:tc>
          <w:tcPr>
            <w:tcW w:w="1352" w:type="dxa"/>
          </w:tcPr>
          <w:p w14:paraId="0711CEA9" w14:textId="77777777" w:rsidR="005D0911" w:rsidRPr="005D0911" w:rsidRDefault="005D0911" w:rsidP="005D0911">
            <w:r w:rsidRPr="005D0911">
              <w:t>61</w:t>
            </w:r>
          </w:p>
        </w:tc>
        <w:tc>
          <w:tcPr>
            <w:tcW w:w="864" w:type="dxa"/>
            <w:shd w:val="clear" w:color="auto" w:fill="00CC00"/>
          </w:tcPr>
          <w:p w14:paraId="5131E5DC" w14:textId="77777777" w:rsidR="005D0911" w:rsidRPr="005D0911" w:rsidRDefault="005D0911" w:rsidP="005D0911">
            <w:r w:rsidRPr="005D0911">
              <w:t>15</w:t>
            </w:r>
          </w:p>
        </w:tc>
        <w:tc>
          <w:tcPr>
            <w:tcW w:w="959" w:type="dxa"/>
            <w:shd w:val="clear" w:color="auto" w:fill="FFC000"/>
          </w:tcPr>
          <w:p w14:paraId="024C192B" w14:textId="77777777" w:rsidR="005D0911" w:rsidRPr="005D0911" w:rsidRDefault="005D0911" w:rsidP="005D0911">
            <w:r w:rsidRPr="005D0911">
              <w:t>12</w:t>
            </w:r>
          </w:p>
        </w:tc>
        <w:tc>
          <w:tcPr>
            <w:tcW w:w="709" w:type="dxa"/>
            <w:shd w:val="clear" w:color="auto" w:fill="FF0000"/>
          </w:tcPr>
          <w:p w14:paraId="3C6E3DD8" w14:textId="77777777" w:rsidR="005D0911" w:rsidRPr="005D0911" w:rsidRDefault="005D0911" w:rsidP="005D0911">
            <w:r w:rsidRPr="005D0911">
              <w:t>2</w:t>
            </w:r>
          </w:p>
        </w:tc>
        <w:tc>
          <w:tcPr>
            <w:tcW w:w="1360" w:type="dxa"/>
          </w:tcPr>
          <w:p w14:paraId="6C475C4A" w14:textId="77777777" w:rsidR="005D0911" w:rsidRPr="005D0911" w:rsidRDefault="005D0911" w:rsidP="005D0911">
            <w:r w:rsidRPr="005D0911">
              <w:t>4</w:t>
            </w:r>
          </w:p>
        </w:tc>
        <w:tc>
          <w:tcPr>
            <w:tcW w:w="1610" w:type="dxa"/>
          </w:tcPr>
          <w:p w14:paraId="08AC650B" w14:textId="77777777" w:rsidR="005D0911" w:rsidRPr="005D0911" w:rsidRDefault="005D0911" w:rsidP="005D0911">
            <w:r w:rsidRPr="005D0911">
              <w:t>28</w:t>
            </w:r>
          </w:p>
        </w:tc>
      </w:tr>
      <w:tr w:rsidR="005D0911" w:rsidRPr="005D0911" w14:paraId="7127329D" w14:textId="77777777" w:rsidTr="005A070B">
        <w:tc>
          <w:tcPr>
            <w:tcW w:w="2774" w:type="dxa"/>
          </w:tcPr>
          <w:p w14:paraId="013298BD" w14:textId="77777777" w:rsidR="005D0911" w:rsidRPr="005D0911" w:rsidRDefault="005D0911" w:rsidP="005D0911">
            <w:r w:rsidRPr="005D0911">
              <w:t>Total</w:t>
            </w:r>
          </w:p>
        </w:tc>
        <w:tc>
          <w:tcPr>
            <w:tcW w:w="1352" w:type="dxa"/>
          </w:tcPr>
          <w:p w14:paraId="0D1A2D81" w14:textId="77777777" w:rsidR="005D0911" w:rsidRPr="005D0911" w:rsidRDefault="005D0911" w:rsidP="005D0911">
            <w:r w:rsidRPr="005D0911">
              <w:t>187</w:t>
            </w:r>
          </w:p>
        </w:tc>
        <w:tc>
          <w:tcPr>
            <w:tcW w:w="864" w:type="dxa"/>
            <w:shd w:val="clear" w:color="auto" w:fill="00CC00"/>
          </w:tcPr>
          <w:p w14:paraId="40507319" w14:textId="77777777" w:rsidR="005D0911" w:rsidRPr="005D0911" w:rsidRDefault="005D0911" w:rsidP="005D0911">
            <w:r w:rsidRPr="005D0911">
              <w:t>77</w:t>
            </w:r>
          </w:p>
        </w:tc>
        <w:tc>
          <w:tcPr>
            <w:tcW w:w="959" w:type="dxa"/>
            <w:shd w:val="clear" w:color="auto" w:fill="FFC000"/>
          </w:tcPr>
          <w:p w14:paraId="695C6520" w14:textId="77777777" w:rsidR="005D0911" w:rsidRPr="005D0911" w:rsidRDefault="005D0911" w:rsidP="005D0911">
            <w:r w:rsidRPr="005D0911">
              <w:t>39</w:t>
            </w:r>
          </w:p>
        </w:tc>
        <w:tc>
          <w:tcPr>
            <w:tcW w:w="709" w:type="dxa"/>
            <w:shd w:val="clear" w:color="auto" w:fill="FF0000"/>
          </w:tcPr>
          <w:p w14:paraId="18A07975" w14:textId="77777777" w:rsidR="005D0911" w:rsidRPr="005D0911" w:rsidRDefault="005D0911" w:rsidP="005D0911">
            <w:r w:rsidRPr="005D0911">
              <w:t>2</w:t>
            </w:r>
          </w:p>
        </w:tc>
        <w:tc>
          <w:tcPr>
            <w:tcW w:w="1360" w:type="dxa"/>
          </w:tcPr>
          <w:p w14:paraId="5F604881" w14:textId="77777777" w:rsidR="005D0911" w:rsidRPr="005D0911" w:rsidRDefault="005D0911" w:rsidP="005D0911">
            <w:r w:rsidRPr="005D0911">
              <w:t>18</w:t>
            </w:r>
          </w:p>
        </w:tc>
        <w:tc>
          <w:tcPr>
            <w:tcW w:w="1610" w:type="dxa"/>
          </w:tcPr>
          <w:p w14:paraId="0BCA7640" w14:textId="77777777" w:rsidR="005D0911" w:rsidRPr="005D0911" w:rsidRDefault="005D0911" w:rsidP="005D0911">
            <w:r w:rsidRPr="005D0911">
              <w:t>51</w:t>
            </w:r>
          </w:p>
        </w:tc>
      </w:tr>
    </w:tbl>
    <w:p w14:paraId="4E0E39F3" w14:textId="77777777" w:rsidR="005D0911" w:rsidRPr="005D0911" w:rsidRDefault="005D0911" w:rsidP="005D0911">
      <w:pPr>
        <w:pStyle w:val="Heading3"/>
      </w:pPr>
      <w:r w:rsidRPr="005D0911">
        <w:t>People and whānau at the heart of health</w:t>
      </w:r>
    </w:p>
    <w:p w14:paraId="12D20243" w14:textId="1BD362BF" w:rsidR="005D0911" w:rsidRPr="005D0911" w:rsidRDefault="005D0911" w:rsidP="005D0911">
      <w:r w:rsidRPr="005D0911">
        <w:t>People and their whānau need to be at the centre of all health services to ensure they receive improved health outcomes. Th</w:t>
      </w:r>
      <w:r w:rsidR="00C63DCC">
        <w:t xml:space="preserve">ese </w:t>
      </w:r>
      <w:r w:rsidRPr="005D0911">
        <w:t xml:space="preserve">actions aim to achieve this by integrating the voice of individuals and whānau into health service delivery, strengthening our workforce whānau, and capturing data and intelligence in a smarter way. There are 24 actions aligned with Section 1. </w:t>
      </w:r>
    </w:p>
    <w:p w14:paraId="1DAD75CC" w14:textId="77777777" w:rsidR="005D0911" w:rsidRPr="005D0911" w:rsidRDefault="005D0911" w:rsidP="005D0911">
      <w:pPr>
        <w:pStyle w:val="Heading4"/>
      </w:pPr>
      <w:r w:rsidRPr="005D0911">
        <w:t xml:space="preserve">This quarter </w:t>
      </w:r>
    </w:p>
    <w:p w14:paraId="228CC217" w14:textId="132C40C5" w:rsidR="005D0911" w:rsidRPr="005D0911" w:rsidRDefault="005D0911" w:rsidP="005D0911">
      <w:pPr>
        <w:pStyle w:val="ListBullet"/>
        <w:rPr>
          <w:b/>
          <w:bCs/>
        </w:rPr>
      </w:pPr>
      <w:r w:rsidRPr="005D0911">
        <w:t>A sector-wide Data and Intelligence Oversight Group was established, with Te Whatu Ora, Te Aka Whai Ora and Manatū Hauora.</w:t>
      </w:r>
    </w:p>
    <w:p w14:paraId="0CFEC1ED" w14:textId="495E2EA4" w:rsidR="005D0911" w:rsidRPr="005D0911" w:rsidRDefault="001415FE" w:rsidP="005D0911">
      <w:pPr>
        <w:pStyle w:val="ListBullet"/>
        <w:rPr>
          <w:b/>
          <w:bCs/>
        </w:rPr>
      </w:pPr>
      <w:r>
        <w:lastRenderedPageBreak/>
        <w:t>P</w:t>
      </w:r>
      <w:r w:rsidR="005D0911" w:rsidRPr="005D0911">
        <w:t xml:space="preserve">eople and whānau voice </w:t>
      </w:r>
      <w:r>
        <w:t xml:space="preserve">was integrated into the </w:t>
      </w:r>
      <w:r w:rsidR="005D0911" w:rsidRPr="005D0911">
        <w:t xml:space="preserve">review of the national breast screening service and the programme </w:t>
      </w:r>
      <w:r w:rsidR="00A82BA4">
        <w:t>‘</w:t>
      </w:r>
      <w:r w:rsidR="005D0911" w:rsidRPr="005D0911">
        <w:t>No One Dies Alone</w:t>
      </w:r>
      <w:r w:rsidR="00A82BA4">
        <w:t>’</w:t>
      </w:r>
      <w:r w:rsidR="005D0911" w:rsidRPr="005D0911">
        <w:t>.</w:t>
      </w:r>
    </w:p>
    <w:p w14:paraId="24626536" w14:textId="77777777" w:rsidR="005D0911" w:rsidRPr="005D0911" w:rsidRDefault="005D0911" w:rsidP="005D0911">
      <w:pPr>
        <w:pStyle w:val="ListBullet"/>
        <w:rPr>
          <w:b/>
          <w:bCs/>
        </w:rPr>
      </w:pPr>
      <w:r w:rsidRPr="005D0911">
        <w:t>Platforms to include the voices of the Rainbow and diverse ethnic communities in design, delivery and performance of the health system are on track to be completed by the end of 2023.</w:t>
      </w:r>
    </w:p>
    <w:p w14:paraId="19364F06" w14:textId="77777777" w:rsidR="005D0911" w:rsidRPr="005D0911" w:rsidRDefault="005D0911" w:rsidP="005D0911">
      <w:pPr>
        <w:pStyle w:val="Heading3"/>
      </w:pPr>
      <w:r w:rsidRPr="005D0911">
        <w:t>Improving health outcomes and equity</w:t>
      </w:r>
    </w:p>
    <w:p w14:paraId="5382478F" w14:textId="77777777" w:rsidR="005D0911" w:rsidRPr="005D0911" w:rsidRDefault="005D0911" w:rsidP="005D0911">
      <w:r w:rsidRPr="005D0911">
        <w:t xml:space="preserve">One of the primary goals of Pae Ora is to improve health outcomes and achieve health equity for all groups of people. The actions in Section 2 of Te Pae Tata include changes to structures and settings to support new models of care, particularly for these populations. Te Aka Whai Ora is leading one of the actions in this section. There are 39 actions aligned with Section 2. </w:t>
      </w:r>
    </w:p>
    <w:p w14:paraId="4800237F" w14:textId="77777777" w:rsidR="005D0911" w:rsidRPr="005D0911" w:rsidRDefault="005D0911" w:rsidP="005D0911">
      <w:pPr>
        <w:pStyle w:val="Heading4"/>
      </w:pPr>
      <w:r w:rsidRPr="005D0911">
        <w:t xml:space="preserve">This quarter </w:t>
      </w:r>
    </w:p>
    <w:p w14:paraId="485EA437" w14:textId="77777777" w:rsidR="005D0911" w:rsidRPr="005D0911" w:rsidRDefault="005D0911" w:rsidP="005D0911">
      <w:pPr>
        <w:pStyle w:val="ListBullet"/>
      </w:pPr>
      <w:r w:rsidRPr="005D0911">
        <w:t xml:space="preserve">Hepatitis C treatment Maviret was reclassified so that it can now be provided without prescription, creating more flexible options and access for people with Hepatitis C. </w:t>
      </w:r>
    </w:p>
    <w:p w14:paraId="71CEAD17" w14:textId="1140FBDF" w:rsidR="005D0911" w:rsidRPr="005D0911" w:rsidRDefault="005D0911" w:rsidP="005D0911">
      <w:pPr>
        <w:pStyle w:val="ListBullet"/>
      </w:pPr>
      <w:r w:rsidRPr="005D0911">
        <w:t>Budget 21 expansion of the Healthy Homes Initiative (HHI) was completed</w:t>
      </w:r>
      <w:r w:rsidR="00632168">
        <w:t>; o</w:t>
      </w:r>
      <w:r w:rsidRPr="005D0911">
        <w:t xml:space="preserve">ur </w:t>
      </w:r>
      <w:r w:rsidR="00632168">
        <w:t>c</w:t>
      </w:r>
      <w:r w:rsidRPr="005D0911">
        <w:t xml:space="preserve">ommissioning </w:t>
      </w:r>
      <w:r w:rsidR="00632168">
        <w:t>t</w:t>
      </w:r>
      <w:r w:rsidRPr="005D0911">
        <w:t>eam celebrated HHI going nationwide by hosting a National Hui at Pipitea Marae in Wellington.</w:t>
      </w:r>
    </w:p>
    <w:p w14:paraId="20D346C4" w14:textId="4935F3F3" w:rsidR="005D0911" w:rsidRPr="005D0911" w:rsidRDefault="005D0911" w:rsidP="005D0911">
      <w:pPr>
        <w:pStyle w:val="ListBullet"/>
      </w:pPr>
      <w:r w:rsidRPr="005D0911">
        <w:t>National Bowel Screening Programme (NBSP) age extension commenced in Tairāwhiti on 9 October, allowing wider access to NBSP for that community.</w:t>
      </w:r>
    </w:p>
    <w:p w14:paraId="339CDA05" w14:textId="77777777" w:rsidR="005D0911" w:rsidRPr="005D0911" w:rsidRDefault="005D0911" w:rsidP="005D0911">
      <w:pPr>
        <w:pStyle w:val="Heading3"/>
      </w:pPr>
      <w:r w:rsidRPr="005D0911">
        <w:t>A unified health system</w:t>
      </w:r>
    </w:p>
    <w:p w14:paraId="2364CA4F" w14:textId="77777777" w:rsidR="005D0911" w:rsidRPr="005D0911" w:rsidRDefault="005D0911" w:rsidP="005D0911">
      <w:pPr>
        <w:rPr>
          <w:b/>
          <w:bCs/>
        </w:rPr>
      </w:pPr>
      <w:r w:rsidRPr="005D0911">
        <w:t>The focus of this section is the mechanisms needed to develop a unified health system: transforming health service delivery and strengthening the enablers of the health system. One of the founding actions within Section 3 of Te Pae Tata is the establishment of Te Whatu Ora as an organisation to utilise the efficiencies of system consolidation to transform healthcare. Te Aka Whai Ora is leading one of the actions in this section. There are 63 actions aligned with Section 3.</w:t>
      </w:r>
    </w:p>
    <w:p w14:paraId="6CB20007" w14:textId="77777777" w:rsidR="005D0911" w:rsidRPr="005D0911" w:rsidRDefault="005D0911" w:rsidP="005D0911">
      <w:pPr>
        <w:pStyle w:val="Heading4"/>
      </w:pPr>
      <w:r w:rsidRPr="005D0911">
        <w:t xml:space="preserve">This quarter </w:t>
      </w:r>
    </w:p>
    <w:p w14:paraId="03B809C1" w14:textId="69F9A2FC" w:rsidR="005D0911" w:rsidRPr="005D0911" w:rsidRDefault="005D0911" w:rsidP="005D0911">
      <w:pPr>
        <w:pStyle w:val="ListBullet"/>
      </w:pPr>
      <w:r w:rsidRPr="005D0911">
        <w:t xml:space="preserve">Saw the leadership appointments for the first National Clinical Networks. These networks will be mandated to drive change through the development of national standards and models of care. They will be </w:t>
      </w:r>
      <w:r w:rsidR="00C55D3D">
        <w:t>guided</w:t>
      </w:r>
      <w:r w:rsidR="00494F56" w:rsidRPr="005D0911">
        <w:t xml:space="preserve"> </w:t>
      </w:r>
      <w:r w:rsidRPr="005D0911">
        <w:t>by Te Ao Māori and Pacific insights and expertise to ensure that guidelines developed reflect the needs of our population.</w:t>
      </w:r>
    </w:p>
    <w:p w14:paraId="465AD24E" w14:textId="457A0B56" w:rsidR="005D0911" w:rsidRPr="005D0911" w:rsidRDefault="005D0911" w:rsidP="005D0911">
      <w:pPr>
        <w:pStyle w:val="ListBullet"/>
      </w:pPr>
      <w:r w:rsidRPr="005D0911">
        <w:t xml:space="preserve">Saw final structure decisions </w:t>
      </w:r>
      <w:r w:rsidR="008C362D">
        <w:t xml:space="preserve">announced for the majority of </w:t>
      </w:r>
      <w:r w:rsidRPr="005D0911">
        <w:t xml:space="preserve">directorates. EOIs are underway in relevant </w:t>
      </w:r>
      <w:r w:rsidR="007442AE">
        <w:t>b</w:t>
      </w:r>
      <w:r w:rsidRPr="005D0911">
        <w:t xml:space="preserve">usiness </w:t>
      </w:r>
      <w:r w:rsidR="007442AE">
        <w:t>u</w:t>
      </w:r>
      <w:r w:rsidRPr="005D0911">
        <w:t>nits.</w:t>
      </w:r>
    </w:p>
    <w:p w14:paraId="2542E616" w14:textId="77777777" w:rsidR="005D0911" w:rsidRPr="005D0911" w:rsidRDefault="005D0911" w:rsidP="005D0911">
      <w:pPr>
        <w:rPr>
          <w:b/>
          <w:bCs/>
        </w:rPr>
      </w:pPr>
    </w:p>
    <w:p w14:paraId="1281951D" w14:textId="77777777" w:rsidR="005D0911" w:rsidRPr="005D0911" w:rsidRDefault="005D0911" w:rsidP="005D0911">
      <w:pPr>
        <w:pStyle w:val="Heading3"/>
      </w:pPr>
      <w:r w:rsidRPr="005D0911">
        <w:lastRenderedPageBreak/>
        <w:t>Priority populations</w:t>
      </w:r>
    </w:p>
    <w:p w14:paraId="10423914" w14:textId="28BDA0B7" w:rsidR="005D0911" w:rsidRPr="005D0911" w:rsidRDefault="005D0911" w:rsidP="005D0911">
      <w:r w:rsidRPr="005D0911">
        <w:t xml:space="preserve">Section 4 of Te Pae Tata focuses on three priority populations: Māori, Pacific and Tāngata whaikaha | Disabled people. The 61 actions in this section focus on ensuring services and interventions work to reduce inequities. Te Aka Whai Ora leads nine of the actions in this section. </w:t>
      </w:r>
    </w:p>
    <w:p w14:paraId="579468F0" w14:textId="77777777" w:rsidR="005D0911" w:rsidRPr="005D0911" w:rsidRDefault="005D0911" w:rsidP="005D0911">
      <w:pPr>
        <w:pStyle w:val="Heading4"/>
      </w:pPr>
      <w:r w:rsidRPr="005D0911">
        <w:t xml:space="preserve">This quarter </w:t>
      </w:r>
    </w:p>
    <w:p w14:paraId="738AB3A0" w14:textId="0EE489E2" w:rsidR="005D0911" w:rsidRPr="005D0911" w:rsidRDefault="005D0911" w:rsidP="005D0911">
      <w:pPr>
        <w:pStyle w:val="ListBullet"/>
      </w:pPr>
      <w:r w:rsidRPr="005D0911">
        <w:t xml:space="preserve">Hauora Māori </w:t>
      </w:r>
      <w:r w:rsidR="00837A9D">
        <w:t>p</w:t>
      </w:r>
      <w:r w:rsidRPr="005D0911">
        <w:t xml:space="preserve">artners put contracts in place for wrap-around support for wāhine hapū antenatal and birthing care as well as whānau-oriented intensive support for maternity and the early years. </w:t>
      </w:r>
    </w:p>
    <w:p w14:paraId="2B19E54E" w14:textId="77777777" w:rsidR="005D0911" w:rsidRPr="005D0911" w:rsidRDefault="005D0911" w:rsidP="005D0911">
      <w:pPr>
        <w:pStyle w:val="ListBullet"/>
      </w:pPr>
      <w:r w:rsidRPr="005D0911">
        <w:t>The development of a Health Sector Tikanga and Te Reo Māori strategy began. This strategy will help improve the cultural safety of healthcare organisations.</w:t>
      </w:r>
    </w:p>
    <w:p w14:paraId="1B7EB5A2" w14:textId="77777777" w:rsidR="005D0911" w:rsidRPr="005D0911" w:rsidRDefault="005D0911" w:rsidP="005D0911">
      <w:pPr>
        <w:pStyle w:val="ListBullet"/>
        <w:rPr>
          <w:b/>
          <w:bCs/>
        </w:rPr>
      </w:pPr>
      <w:r w:rsidRPr="005D0911">
        <w:t>A draft evaluation of “Healthy Active Learning” has been completed. The findings will be used to plan future programmes with Sports New Zealand and the Ministry of Education to promote better health outcomes.</w:t>
      </w:r>
    </w:p>
    <w:p w14:paraId="670AC896" w14:textId="77777777" w:rsidR="005D0911" w:rsidRPr="005D0911" w:rsidRDefault="005D0911" w:rsidP="005D0911">
      <w:r w:rsidRPr="005D0911">
        <w:t>Details of the two red milestones are set out in the table below:</w:t>
      </w:r>
    </w:p>
    <w:tbl>
      <w:tblPr>
        <w:tblStyle w:val="TeWhatuOra"/>
        <w:tblW w:w="9306" w:type="dxa"/>
        <w:tblLook w:val="0420" w:firstRow="1" w:lastRow="0" w:firstColumn="0" w:lastColumn="0" w:noHBand="0" w:noVBand="1"/>
      </w:tblPr>
      <w:tblGrid>
        <w:gridCol w:w="1702"/>
        <w:gridCol w:w="2693"/>
        <w:gridCol w:w="2822"/>
        <w:gridCol w:w="2089"/>
      </w:tblGrid>
      <w:tr w:rsidR="005D0911" w:rsidRPr="005D0911" w14:paraId="2E2A82FA" w14:textId="77777777" w:rsidTr="005D0911">
        <w:trPr>
          <w:cnfStyle w:val="100000000000" w:firstRow="1" w:lastRow="0" w:firstColumn="0" w:lastColumn="0" w:oddVBand="0" w:evenVBand="0" w:oddHBand="0" w:evenHBand="0" w:firstRowFirstColumn="0" w:firstRowLastColumn="0" w:lastRowFirstColumn="0" w:lastRowLastColumn="0"/>
          <w:trHeight w:val="288"/>
        </w:trPr>
        <w:tc>
          <w:tcPr>
            <w:tcW w:w="1702" w:type="dxa"/>
            <w:hideMark/>
          </w:tcPr>
          <w:p w14:paraId="3BDF31A7" w14:textId="77777777" w:rsidR="005D0911" w:rsidRPr="005D0911" w:rsidRDefault="005D0911" w:rsidP="005D0911">
            <w:pPr>
              <w:rPr>
                <w:bCs/>
              </w:rPr>
            </w:pPr>
            <w:r w:rsidRPr="005D0911">
              <w:rPr>
                <w:bCs/>
              </w:rPr>
              <w:t>Section</w:t>
            </w:r>
          </w:p>
        </w:tc>
        <w:tc>
          <w:tcPr>
            <w:tcW w:w="2693" w:type="dxa"/>
            <w:hideMark/>
          </w:tcPr>
          <w:p w14:paraId="7C80BAC4" w14:textId="77777777" w:rsidR="005D0911" w:rsidRPr="005D0911" w:rsidRDefault="005D0911" w:rsidP="005D0911">
            <w:pPr>
              <w:rPr>
                <w:bCs/>
              </w:rPr>
            </w:pPr>
            <w:r w:rsidRPr="005D0911">
              <w:rPr>
                <w:bCs/>
              </w:rPr>
              <w:t>Action Description</w:t>
            </w:r>
          </w:p>
        </w:tc>
        <w:tc>
          <w:tcPr>
            <w:tcW w:w="2822" w:type="dxa"/>
            <w:hideMark/>
          </w:tcPr>
          <w:p w14:paraId="7189EF01" w14:textId="77777777" w:rsidR="005D0911" w:rsidRPr="005D0911" w:rsidRDefault="005D0911" w:rsidP="005D0911">
            <w:pPr>
              <w:rPr>
                <w:bCs/>
              </w:rPr>
            </w:pPr>
            <w:r w:rsidRPr="005D0911">
              <w:rPr>
                <w:bCs/>
              </w:rPr>
              <w:t>Q1 Milestone</w:t>
            </w:r>
          </w:p>
        </w:tc>
        <w:tc>
          <w:tcPr>
            <w:tcW w:w="2089" w:type="dxa"/>
          </w:tcPr>
          <w:p w14:paraId="53A2F8AA" w14:textId="77777777" w:rsidR="005D0911" w:rsidRPr="005D0911" w:rsidRDefault="005D0911" w:rsidP="005D0911">
            <w:pPr>
              <w:rPr>
                <w:bCs/>
              </w:rPr>
            </w:pPr>
            <w:r w:rsidRPr="005D0911">
              <w:rPr>
                <w:bCs/>
              </w:rPr>
              <w:t>Mitigations</w:t>
            </w:r>
          </w:p>
        </w:tc>
      </w:tr>
      <w:tr w:rsidR="005D0911" w:rsidRPr="005D0911" w14:paraId="792B0A60" w14:textId="77777777" w:rsidTr="005D0911">
        <w:trPr>
          <w:trHeight w:val="1068"/>
        </w:trPr>
        <w:tc>
          <w:tcPr>
            <w:tcW w:w="1702" w:type="dxa"/>
            <w:hideMark/>
          </w:tcPr>
          <w:p w14:paraId="2FEF75E8" w14:textId="77777777" w:rsidR="005D0911" w:rsidRPr="005D0911" w:rsidRDefault="005D0911" w:rsidP="005D0911">
            <w:r w:rsidRPr="005D0911">
              <w:t>Priority Populations</w:t>
            </w:r>
          </w:p>
        </w:tc>
        <w:tc>
          <w:tcPr>
            <w:tcW w:w="2693" w:type="dxa"/>
            <w:hideMark/>
          </w:tcPr>
          <w:p w14:paraId="108B0AE5" w14:textId="77777777" w:rsidR="005D0911" w:rsidRPr="005D0911" w:rsidRDefault="005D0911" w:rsidP="005D0911">
            <w:r w:rsidRPr="005D0911">
              <w:t>Assess and improve the cultural safety of healthcare organisations.</w:t>
            </w:r>
          </w:p>
        </w:tc>
        <w:tc>
          <w:tcPr>
            <w:tcW w:w="2822" w:type="dxa"/>
            <w:hideMark/>
          </w:tcPr>
          <w:p w14:paraId="412D9CDA" w14:textId="1317D0ED" w:rsidR="005D0911" w:rsidRPr="005D0911" w:rsidRDefault="005D0911" w:rsidP="005D0911">
            <w:r w:rsidRPr="005D0911">
              <w:t xml:space="preserve">Establish national guidance on content and approaches working with districts </w:t>
            </w:r>
            <w:r w:rsidR="00906E86">
              <w:t>and</w:t>
            </w:r>
            <w:r w:rsidRPr="005D0911">
              <w:t xml:space="preserve"> Te Aka Whai Ora (completed 22/23). Implement </w:t>
            </w:r>
            <w:r w:rsidR="00550554">
              <w:t>and</w:t>
            </w:r>
            <w:r w:rsidRPr="005D0911">
              <w:t xml:space="preserve"> monitor</w:t>
            </w:r>
            <w:r w:rsidR="00550554">
              <w:t>.</w:t>
            </w:r>
          </w:p>
        </w:tc>
        <w:tc>
          <w:tcPr>
            <w:tcW w:w="2089" w:type="dxa"/>
          </w:tcPr>
          <w:p w14:paraId="0DE730BD" w14:textId="77777777" w:rsidR="005D0911" w:rsidRPr="005D0911" w:rsidRDefault="005D0911" w:rsidP="005D0911">
            <w:pPr>
              <w:spacing w:beforeAutospacing="0" w:afterAutospacing="0"/>
            </w:pPr>
            <w:r w:rsidRPr="005D0911">
              <w:t>Work is currently in progress to establish definitive roles and responsibilities for the implementation of this particular action.</w:t>
            </w:r>
          </w:p>
          <w:p w14:paraId="79457875" w14:textId="77777777" w:rsidR="005D0911" w:rsidRPr="005D0911" w:rsidRDefault="005D0911" w:rsidP="005D0911"/>
        </w:tc>
      </w:tr>
      <w:tr w:rsidR="005D0911" w:rsidRPr="005D0911" w14:paraId="0CFB7259" w14:textId="77777777" w:rsidTr="005D0911">
        <w:trPr>
          <w:trHeight w:val="1068"/>
        </w:trPr>
        <w:tc>
          <w:tcPr>
            <w:tcW w:w="1702" w:type="dxa"/>
            <w:hideMark/>
          </w:tcPr>
          <w:p w14:paraId="0339F80B" w14:textId="77777777" w:rsidR="005D0911" w:rsidRPr="005D0911" w:rsidRDefault="005D0911" w:rsidP="005D0911">
            <w:r w:rsidRPr="005D0911">
              <w:t>Priority Populations</w:t>
            </w:r>
          </w:p>
        </w:tc>
        <w:tc>
          <w:tcPr>
            <w:tcW w:w="2693" w:type="dxa"/>
            <w:hideMark/>
          </w:tcPr>
          <w:p w14:paraId="61ED7883" w14:textId="77777777" w:rsidR="005D0911" w:rsidRPr="005D0911" w:rsidRDefault="005D0911" w:rsidP="005D0911">
            <w:r w:rsidRPr="005D0911">
              <w:t>Support Tāngata whaikaha | Disabled people in culturally appropriate ways in Māori, Pacific and other community specific health services.</w:t>
            </w:r>
          </w:p>
        </w:tc>
        <w:tc>
          <w:tcPr>
            <w:tcW w:w="2822" w:type="dxa"/>
            <w:hideMark/>
          </w:tcPr>
          <w:p w14:paraId="6E353479" w14:textId="77777777" w:rsidR="005D0911" w:rsidRPr="005D0911" w:rsidRDefault="005D0911" w:rsidP="005D0911">
            <w:r w:rsidRPr="005D0911">
              <w:t>Disability roles visible within community specific health services.</w:t>
            </w:r>
          </w:p>
        </w:tc>
        <w:tc>
          <w:tcPr>
            <w:tcW w:w="2089" w:type="dxa"/>
          </w:tcPr>
          <w:p w14:paraId="0A2AF29B" w14:textId="77777777" w:rsidR="005D0911" w:rsidRPr="005D0911" w:rsidRDefault="005D0911" w:rsidP="005D0911">
            <w:pPr>
              <w:spacing w:beforeAutospacing="0" w:afterAutospacing="0"/>
            </w:pPr>
            <w:r w:rsidRPr="005D0911">
              <w:t>The Disability team is working on developing a work programme that spans across all health services.</w:t>
            </w:r>
          </w:p>
          <w:p w14:paraId="2CA9E679" w14:textId="77777777" w:rsidR="005D0911" w:rsidRPr="005D0911" w:rsidRDefault="005D0911" w:rsidP="005D0911"/>
        </w:tc>
      </w:tr>
    </w:tbl>
    <w:p w14:paraId="0F856F27" w14:textId="77777777" w:rsidR="005D0911" w:rsidRPr="005D0911" w:rsidRDefault="005D0911" w:rsidP="005D0911">
      <w:pPr>
        <w:pStyle w:val="NumberedHeading1"/>
      </w:pPr>
      <w:bookmarkStart w:id="37" w:name="_Toc157771861"/>
      <w:r w:rsidRPr="005D0911">
        <w:lastRenderedPageBreak/>
        <w:t>Achieving Equity</w:t>
      </w:r>
      <w:bookmarkEnd w:id="37"/>
      <w:r w:rsidRPr="005D0911">
        <w:t xml:space="preserve"> </w:t>
      </w:r>
    </w:p>
    <w:p w14:paraId="0D05DF52" w14:textId="537D3FF1" w:rsidR="005D0911" w:rsidRPr="005D0911" w:rsidRDefault="005D0911" w:rsidP="005D0911">
      <w:r w:rsidRPr="005D0911">
        <w:t xml:space="preserve">Te Whatu Ora pursues health equity in all its work, particularly in five priority areas: </w:t>
      </w:r>
    </w:p>
    <w:p w14:paraId="35551073" w14:textId="77777777" w:rsidR="005D0911" w:rsidRPr="005D0911" w:rsidRDefault="005D0911" w:rsidP="005D0911">
      <w:pPr>
        <w:pStyle w:val="ListBullet"/>
      </w:pPr>
      <w:r w:rsidRPr="005D0911">
        <w:rPr>
          <w:b/>
          <w:bCs/>
        </w:rPr>
        <w:t>Pae ora | Better health in our communities</w:t>
      </w:r>
      <w:r w:rsidRPr="005D0911">
        <w:t>: non-communicable diseases account for the majority of health loss in Aotearoa. Many of the conditions could be prevented by addressing the social determinants of health. This priority area centres around Te Whatu Ora and Te Aka Whai Ora working with partner agencies to influence improvements in the physical, socioeconomic and commercial environments.</w:t>
      </w:r>
    </w:p>
    <w:p w14:paraId="1B64E671" w14:textId="070AF3F2" w:rsidR="005D0911" w:rsidRPr="005D0911" w:rsidRDefault="005D0911" w:rsidP="005D0911">
      <w:pPr>
        <w:pStyle w:val="ListBullet"/>
      </w:pPr>
      <w:r w:rsidRPr="005D0911">
        <w:rPr>
          <w:b/>
          <w:bCs/>
        </w:rPr>
        <w:t>Kahu Taurima | Maternity and early years:</w:t>
      </w:r>
      <w:r w:rsidRPr="005D0911">
        <w:t xml:space="preserve"> The first 2,000 days of a child’s life are extremely impactful to their future. Additionally, the majority of inequities in health outcomes experienced by Māori, Pacific and Tāngata whaikaha | Disabled people are preventable. This priority area centres around commissioning services to support whānau, develop new models of care, and provide holistic and social support. </w:t>
      </w:r>
    </w:p>
    <w:p w14:paraId="08E94EA7" w14:textId="77777777" w:rsidR="005D0911" w:rsidRPr="005D0911" w:rsidRDefault="005D0911" w:rsidP="005D0911">
      <w:pPr>
        <w:pStyle w:val="ListBullet"/>
      </w:pPr>
      <w:r w:rsidRPr="005D0911">
        <w:rPr>
          <w:b/>
          <w:bCs/>
        </w:rPr>
        <w:t>Mate pukupuku | People with cancer:</w:t>
      </w:r>
      <w:r w:rsidRPr="005D0911">
        <w:t xml:space="preserve"> Around 30-50% of all cancers are preventable, yet cancer is now a leading cause of health loss in Aotearoa. Additionally, there are also significant inequities in cancer outcomes. This priority area centres around improving the cancer pathway, prevention, palliative care and survivorship.  </w:t>
      </w:r>
    </w:p>
    <w:p w14:paraId="797B08B9" w14:textId="77777777" w:rsidR="005D0911" w:rsidRPr="005D0911" w:rsidRDefault="005D0911" w:rsidP="005D0911">
      <w:pPr>
        <w:pStyle w:val="ListBullet"/>
      </w:pPr>
      <w:r w:rsidRPr="005D0911">
        <w:rPr>
          <w:b/>
          <w:bCs/>
        </w:rPr>
        <w:t>Māuiuitanga taumaha | People living with chronic health conditions:</w:t>
      </w:r>
      <w:r w:rsidRPr="005D0911">
        <w:t xml:space="preserve"> Diabetes, cardiovascular disease, respiratory disease, stroke and gout are five chronic conditions with the greatest prevalence and inequities. This priority area centres around supporting people to live healthy lives, reducing the burden and prevalence of chronic conditions. </w:t>
      </w:r>
    </w:p>
    <w:p w14:paraId="000A99EC" w14:textId="77777777" w:rsidR="005D0911" w:rsidRPr="005D0911" w:rsidRDefault="005D0911" w:rsidP="005D0911">
      <w:pPr>
        <w:pStyle w:val="ListBullet"/>
      </w:pPr>
      <w:r w:rsidRPr="005D0911">
        <w:rPr>
          <w:b/>
          <w:bCs/>
        </w:rPr>
        <w:t>Oranga hinengaro | People living with mental distress, illness and addictions:</w:t>
      </w:r>
      <w:r w:rsidRPr="005D0911">
        <w:t xml:space="preserve"> A large proportion of New Zealanders will experience mental distress or addiction challenges. Improving mental health and addiction outcomes will address health inequities for Māori and increase employment and productivity. This priority area centres around growing support services, improving care pathways and increasing the availability of services to young people.</w:t>
      </w:r>
    </w:p>
    <w:p w14:paraId="5A2AD05E" w14:textId="77777777" w:rsidR="005D0911" w:rsidRPr="005D0911" w:rsidRDefault="005D0911" w:rsidP="005D0911">
      <w:pPr>
        <w:pStyle w:val="Heading3"/>
      </w:pPr>
      <w:bookmarkStart w:id="38" w:name="_Toc153530287"/>
      <w:bookmarkStart w:id="39" w:name="_Toc153530372"/>
      <w:bookmarkStart w:id="40" w:name="_Toc153546653"/>
      <w:r w:rsidRPr="005D0911">
        <w:t>Better health in our communities</w:t>
      </w:r>
      <w:bookmarkEnd w:id="38"/>
      <w:bookmarkEnd w:id="39"/>
      <w:bookmarkEnd w:id="40"/>
    </w:p>
    <w:p w14:paraId="378890B3" w14:textId="77777777" w:rsidR="005D0911" w:rsidRPr="005D0911" w:rsidRDefault="005D0911" w:rsidP="005D0911">
      <w:pPr>
        <w:pStyle w:val="Heading4"/>
      </w:pPr>
      <w:bookmarkStart w:id="41" w:name="_Toc148352590"/>
      <w:r w:rsidRPr="005D0911">
        <w:t xml:space="preserve">Healthy Families NZ – Tāfesilafa’i: The ‘community of care’ improving the wellbeing of Sāmoan teachers </w:t>
      </w:r>
    </w:p>
    <w:p w14:paraId="0D23E1BF" w14:textId="091474B3" w:rsidR="005D0911" w:rsidRPr="005D0911" w:rsidRDefault="005D0911" w:rsidP="005D0911">
      <w:pPr>
        <w:pStyle w:val="ListBullet"/>
      </w:pPr>
      <w:r w:rsidRPr="005D0911">
        <w:t>Tāfesilafa’I is an innovation rooted in fa’a Samoa (Samoan way of life) enabling teachers to create learning environments where both tamaiti (children) and faiaoga (teachers) thrive. Tāfesilafa’I is an aiga (family) centred innovation that is community-led and nationally enabled</w:t>
      </w:r>
      <w:r w:rsidR="0001104F">
        <w:t xml:space="preserve"> </w:t>
      </w:r>
      <w:r w:rsidRPr="005D0911">
        <w:t xml:space="preserve">and is based on community insights that were gathered during the first COVID-19 lockdown. </w:t>
      </w:r>
    </w:p>
    <w:p w14:paraId="34981123" w14:textId="54239F1D" w:rsidR="005D0911" w:rsidRPr="005D0911" w:rsidRDefault="005D0911" w:rsidP="005D0911">
      <w:pPr>
        <w:pStyle w:val="ListBullet"/>
      </w:pPr>
      <w:r w:rsidRPr="005D0911">
        <w:lastRenderedPageBreak/>
        <w:t xml:space="preserve">Insights highlighted an urgent need to partner with faiaoga (teachers) in Aoga Amata (community settings), who are working with stressed aiga (families) and the subsequent challenges to tamaiti </w:t>
      </w:r>
      <w:r w:rsidR="00A43C79">
        <w:t xml:space="preserve">(children) </w:t>
      </w:r>
      <w:r w:rsidRPr="005D0911">
        <w:t xml:space="preserve">wellbeing and behaviour. </w:t>
      </w:r>
    </w:p>
    <w:p w14:paraId="48D640C2" w14:textId="45EB90C2" w:rsidR="005D0911" w:rsidRPr="005D0911" w:rsidRDefault="00E9573D" w:rsidP="005D0911">
      <w:pPr>
        <w:pStyle w:val="ListBullet"/>
      </w:pPr>
      <w:r>
        <w:t>T</w:t>
      </w:r>
      <w:r w:rsidR="005D0911" w:rsidRPr="005D0911">
        <w:t xml:space="preserve">he initiative has grown from an four to 11 centres spanning west, centre and south Auckland. Across the 12 Aoga Amata, over 70 faiaoga are learning, sharing, and networking through Tāfesilafa’i. These faiaoga have the capability to support the health and wellbeing of over 400 tamaiti and their aiga currently in their care. </w:t>
      </w:r>
    </w:p>
    <w:p w14:paraId="50C2865D" w14:textId="77777777" w:rsidR="005D0911" w:rsidRPr="005D0911" w:rsidRDefault="005D0911" w:rsidP="005D0911">
      <w:pPr>
        <w:pStyle w:val="Heading3"/>
      </w:pPr>
      <w:bookmarkStart w:id="42" w:name="_Toc153530288"/>
      <w:bookmarkStart w:id="43" w:name="_Toc153530373"/>
      <w:bookmarkStart w:id="44" w:name="_Toc153546654"/>
      <w:r w:rsidRPr="005D0911">
        <w:t>Mate Pukupuku</w:t>
      </w:r>
      <w:bookmarkEnd w:id="41"/>
      <w:r w:rsidRPr="005D0911">
        <w:t xml:space="preserve"> | People living with cancer</w:t>
      </w:r>
      <w:bookmarkEnd w:id="42"/>
      <w:bookmarkEnd w:id="43"/>
      <w:bookmarkEnd w:id="44"/>
    </w:p>
    <w:p w14:paraId="51A97A65" w14:textId="15B86EDC" w:rsidR="005D0911" w:rsidRPr="005D0911" w:rsidRDefault="005D0911" w:rsidP="005D0911">
      <w:pPr>
        <w:pStyle w:val="ListBullet"/>
      </w:pPr>
      <w:r w:rsidRPr="005D0911">
        <w:t xml:space="preserve">On 12 September, the National Cervical Screening Programme (NCSP) adopted new Human Papillomavirus (HPV) screening - a better, simpler screening test to prevent cervical cancer. The introduction of HPV primary screening is expected to help towards addressing longstanding inequities for Māori and Pacific people, who have higher rates of incidence and death from cervical cancer. </w:t>
      </w:r>
    </w:p>
    <w:p w14:paraId="6DC96202" w14:textId="77777777" w:rsidR="005D0911" w:rsidRPr="005D0911" w:rsidRDefault="005D0911" w:rsidP="005D0911">
      <w:pPr>
        <w:pStyle w:val="ListBullet"/>
      </w:pPr>
      <w:r w:rsidRPr="005D0911">
        <w:t xml:space="preserve">The HPV primary screening test is a simple and quick swab that people can choose to do themselves. The new test looks for HPV, that causes more than 95% of cervical cancers. The virus is very common and is spread by intimate skin-to-skin contact or any sexual activity. </w:t>
      </w:r>
    </w:p>
    <w:p w14:paraId="61C1E774" w14:textId="7873F796" w:rsidR="005D0911" w:rsidRPr="005D0911" w:rsidRDefault="005D0911" w:rsidP="005D0911">
      <w:pPr>
        <w:pStyle w:val="ListBullet"/>
      </w:pPr>
      <w:r w:rsidRPr="005D0911">
        <w:t xml:space="preserve">Alongside </w:t>
      </w:r>
      <w:r w:rsidR="0000428D">
        <w:t xml:space="preserve">the </w:t>
      </w:r>
      <w:r w:rsidRPr="005D0911">
        <w:t>introduction of HPV screening, eligibility for free cervical screening was expanded. Those who are eligible include women and people with a cervix who are unscreened (have never had a screening test), under screened (haven’t had a test in the past five years), at higher risk requiring surveillance/follow up, Māori, Pacific, and anyone who is a community service card holder. This includes those populations that are at a higher risk of cervical cancer.</w:t>
      </w:r>
    </w:p>
    <w:p w14:paraId="7B53D607" w14:textId="489F275E" w:rsidR="005D0911" w:rsidRPr="005D0911" w:rsidRDefault="005D0911" w:rsidP="005D0911">
      <w:pPr>
        <w:pStyle w:val="Heading3"/>
      </w:pPr>
      <w:bookmarkStart w:id="45" w:name="_Toc153530289"/>
      <w:bookmarkStart w:id="46" w:name="_Toc153530374"/>
      <w:bookmarkStart w:id="47" w:name="_Toc153546655"/>
      <w:r w:rsidRPr="005D0911">
        <w:t xml:space="preserve">Kahu Taurima | Maternity and </w:t>
      </w:r>
      <w:r w:rsidR="00F6295A">
        <w:t>e</w:t>
      </w:r>
      <w:r w:rsidRPr="005D0911">
        <w:t xml:space="preserve">arly </w:t>
      </w:r>
      <w:r w:rsidR="00F6295A">
        <w:t>y</w:t>
      </w:r>
      <w:r w:rsidRPr="005D0911">
        <w:t>ears</w:t>
      </w:r>
      <w:bookmarkEnd w:id="45"/>
      <w:bookmarkEnd w:id="46"/>
      <w:bookmarkEnd w:id="47"/>
    </w:p>
    <w:p w14:paraId="5A46C307" w14:textId="6097625E" w:rsidR="005D0911" w:rsidRPr="005D0911" w:rsidRDefault="005D0911" w:rsidP="005D0911">
      <w:pPr>
        <w:pStyle w:val="ListBullet"/>
      </w:pPr>
      <w:bookmarkStart w:id="48" w:name="_Toc148352592"/>
      <w:r w:rsidRPr="005D0911">
        <w:t>Kahu Taurima is a joint approach between Te Whatu Ora and Te Aka Whai Ora to integrate maternity and early years for all whānau in Aotearoa New Zealand. Kahu Taurima is grounded in Māori indigenous knowledge so that all whānau are supported in the places and spaces where they live their lives.</w:t>
      </w:r>
    </w:p>
    <w:p w14:paraId="67B4C061" w14:textId="3CA389DD" w:rsidR="005D0911" w:rsidRPr="005D0911" w:rsidRDefault="005D0911" w:rsidP="005D0911">
      <w:pPr>
        <w:pStyle w:val="ListBullet"/>
      </w:pPr>
      <w:r w:rsidRPr="005D0911">
        <w:t xml:space="preserve">Progress has been made to design and commission new integrated, culturally tailored services for maternity and early years, with the commissioning of Te Ao Māori solutions and Pacific </w:t>
      </w:r>
      <w:r w:rsidR="005361F0">
        <w:t>m</w:t>
      </w:r>
      <w:r w:rsidRPr="005D0911">
        <w:t xml:space="preserve">odels of </w:t>
      </w:r>
      <w:r w:rsidR="005361F0">
        <w:t>c</w:t>
      </w:r>
      <w:r w:rsidRPr="005D0911">
        <w:t>are pilots.</w:t>
      </w:r>
    </w:p>
    <w:p w14:paraId="23AD2473" w14:textId="77777777" w:rsidR="005D0911" w:rsidRPr="005D0911" w:rsidRDefault="005D0911" w:rsidP="005D0911">
      <w:pPr>
        <w:pStyle w:val="Heading3"/>
      </w:pPr>
      <w:bookmarkStart w:id="49" w:name="_Toc153530290"/>
      <w:bookmarkStart w:id="50" w:name="_Toc153530375"/>
      <w:bookmarkStart w:id="51" w:name="_Toc153546656"/>
      <w:r w:rsidRPr="005D0911">
        <w:t>Māuiuitanga Taumaha</w:t>
      </w:r>
      <w:bookmarkEnd w:id="48"/>
      <w:r w:rsidRPr="005D0911">
        <w:t xml:space="preserve"> | People living with chronic health conditions</w:t>
      </w:r>
      <w:bookmarkEnd w:id="49"/>
      <w:bookmarkEnd w:id="50"/>
      <w:bookmarkEnd w:id="51"/>
    </w:p>
    <w:p w14:paraId="7F02B96F" w14:textId="77777777" w:rsidR="006E72AC" w:rsidRDefault="005D0911" w:rsidP="005D0911">
      <w:pPr>
        <w:pStyle w:val="ListBullet"/>
      </w:pPr>
      <w:bookmarkStart w:id="52" w:name="_Toc148352593"/>
      <w:r w:rsidRPr="005D0911">
        <w:t>Te Whatu Ora is developing improvements to its Cardiovascular Disea</w:t>
      </w:r>
    </w:p>
    <w:p w14:paraId="445C06A0" w14:textId="7D42995E" w:rsidR="005D0911" w:rsidRPr="005D0911" w:rsidRDefault="005D0911" w:rsidP="005D0911">
      <w:pPr>
        <w:pStyle w:val="ListBullet"/>
      </w:pPr>
      <w:r w:rsidRPr="005D0911">
        <w:lastRenderedPageBreak/>
        <w:t xml:space="preserve">se Risk Assessment (CVDRA) and Heart Health Plan risk management services, to support evidence-based decision making and to strengthen the way heart health risk is discussed with consumers. </w:t>
      </w:r>
    </w:p>
    <w:p w14:paraId="19770078" w14:textId="77777777" w:rsidR="005D0911" w:rsidRPr="005D0911" w:rsidRDefault="005D0911" w:rsidP="005D0911">
      <w:pPr>
        <w:pStyle w:val="ListBullet"/>
      </w:pPr>
      <w:r w:rsidRPr="005D0911">
        <w:t>During quarter one Te Whatu Ora undertook planning to hold one or two consumer focus groups to hear consumer perspectives on the improvement</w:t>
      </w:r>
      <w:r w:rsidRPr="005D0911" w:rsidDel="003377F6">
        <w:t xml:space="preserve"> </w:t>
      </w:r>
      <w:r w:rsidRPr="005D0911">
        <w:t>options, and whether the changes are helpful, meaningful and easy to understand. Ensuring that the consumer voice is represented and reflected is integral to ensuring the final products are appropriate.</w:t>
      </w:r>
    </w:p>
    <w:p w14:paraId="5D812CFE" w14:textId="2D0E80E4" w:rsidR="005D0911" w:rsidRPr="005D0911" w:rsidRDefault="005D0911" w:rsidP="005D0911">
      <w:pPr>
        <w:pStyle w:val="Heading3"/>
      </w:pPr>
      <w:bookmarkStart w:id="53" w:name="_Toc153530291"/>
      <w:bookmarkStart w:id="54" w:name="_Toc153530376"/>
      <w:bookmarkStart w:id="55" w:name="_Toc153546657"/>
      <w:r w:rsidRPr="005D0911">
        <w:t>Oranga Hinegaro | People living with mental distress, illness and addiction</w:t>
      </w:r>
      <w:bookmarkEnd w:id="52"/>
      <w:bookmarkEnd w:id="53"/>
      <w:bookmarkEnd w:id="54"/>
      <w:bookmarkEnd w:id="55"/>
    </w:p>
    <w:p w14:paraId="3FA7F95F" w14:textId="77777777" w:rsidR="005D0911" w:rsidRPr="005D0911" w:rsidRDefault="005D0911" w:rsidP="005D0911">
      <w:pPr>
        <w:pStyle w:val="Heading4"/>
      </w:pPr>
      <w:bookmarkStart w:id="56" w:name="_Toc153530292"/>
      <w:bookmarkStart w:id="57" w:name="_Toc153530377"/>
      <w:bookmarkStart w:id="58" w:name="_Toc153546658"/>
      <w:r w:rsidRPr="005D0911">
        <w:t>Rangatahi Well</w:t>
      </w:r>
      <w:bookmarkEnd w:id="56"/>
      <w:bookmarkEnd w:id="57"/>
      <w:bookmarkEnd w:id="58"/>
    </w:p>
    <w:p w14:paraId="2A1676F9" w14:textId="77777777" w:rsidR="005D0911" w:rsidRPr="005D0911" w:rsidRDefault="005D0911" w:rsidP="005D0911">
      <w:pPr>
        <w:pStyle w:val="ListBullet"/>
      </w:pPr>
      <w:r w:rsidRPr="005D0911">
        <w:t>A new online resource aimed at making it easier for secondary school staff to recognise and respond to the wellbeing concerns of rangatahi (Years 9 to 13) has had an excellent response since it went live in June 2022.</w:t>
      </w:r>
    </w:p>
    <w:p w14:paraId="3ADEF08B" w14:textId="77777777" w:rsidR="005D0911" w:rsidRPr="005D0911" w:rsidRDefault="005D0911" w:rsidP="005D0911">
      <w:pPr>
        <w:pStyle w:val="ListBullet"/>
      </w:pPr>
      <w:r w:rsidRPr="005D0911">
        <w:t>Developed by Manu Ka Rere, a collective of Canterbury-based youth mental health and addiction NGOs, Rangatahi Well recognises the important role secondary school kaimahi have in offering early support to rangatahi with wellbeing needs. Rangatahi Well offers local advice, recommended resources and support options for rangatahi along with ongoing learning and development opportunities for kaimahi and others working in this space. Since going live there have been more than 2,300 unique visitors to the web platform. </w:t>
      </w:r>
    </w:p>
    <w:p w14:paraId="15BEE648" w14:textId="77777777" w:rsidR="005D0911" w:rsidRPr="005D0911" w:rsidRDefault="005D0911" w:rsidP="005D0911">
      <w:pPr>
        <w:pStyle w:val="Heading4"/>
      </w:pPr>
      <w:bookmarkStart w:id="59" w:name="_Toc153530293"/>
      <w:bookmarkStart w:id="60" w:name="_Toc153530378"/>
      <w:bookmarkStart w:id="61" w:name="_Toc153546659"/>
      <w:r w:rsidRPr="005D0911">
        <w:t>Te Tai Tokerau initiatives</w:t>
      </w:r>
      <w:bookmarkEnd w:id="59"/>
      <w:bookmarkEnd w:id="60"/>
      <w:bookmarkEnd w:id="61"/>
      <w:r w:rsidRPr="005D0911">
        <w:t xml:space="preserve"> </w:t>
      </w:r>
    </w:p>
    <w:p w14:paraId="57950D34" w14:textId="77777777" w:rsidR="005D0911" w:rsidRPr="005D0911" w:rsidRDefault="005D0911" w:rsidP="005D0911">
      <w:pPr>
        <w:pStyle w:val="ListBullet"/>
      </w:pPr>
      <w:r w:rsidRPr="005D0911">
        <w:t>Te Tai Tokerau have a number of initiatives underway to support increased mental health access for Māori.</w:t>
      </w:r>
    </w:p>
    <w:p w14:paraId="0C2874D0" w14:textId="77777777" w:rsidR="005D0911" w:rsidRPr="005D0911" w:rsidRDefault="005D0911" w:rsidP="005D0911">
      <w:pPr>
        <w:pStyle w:val="ListBullet"/>
      </w:pPr>
      <w:r w:rsidRPr="005D0911">
        <w:t>Among recent initiatives from the Integrated Primary Mental Health and Addiction (IPMHA) service workstream of the Access and Choice programme, a Whangarei based Health Coach connects the General Practice with a local marae and now offer a clinic (general practitioner and nurse led) alongside IPMHA service from the marae one day a month. The Health Coach has whakapapa back to this marae and can support whānau to engage with their health care in a familiar and safe space.</w:t>
      </w:r>
    </w:p>
    <w:p w14:paraId="1155E53B" w14:textId="77777777" w:rsidR="00693348" w:rsidRDefault="00693348" w:rsidP="00693348"/>
    <w:p w14:paraId="26A32A31" w14:textId="77777777" w:rsidR="005D0911" w:rsidRPr="005D0911" w:rsidRDefault="005D0911" w:rsidP="005D0911">
      <w:pPr>
        <w:pStyle w:val="NumberedHeading1"/>
      </w:pPr>
      <w:bookmarkStart w:id="62" w:name="_Toc157771862"/>
      <w:r w:rsidRPr="005D0911">
        <w:lastRenderedPageBreak/>
        <w:t>Delivering Ola Manuia Pacific Health and Wellbeing Action Plan</w:t>
      </w:r>
      <w:bookmarkEnd w:id="62"/>
      <w:r w:rsidRPr="005D0911">
        <w:t xml:space="preserve"> </w:t>
      </w:r>
    </w:p>
    <w:p w14:paraId="5C966421" w14:textId="77777777" w:rsidR="005D0911" w:rsidRPr="005D0911" w:rsidRDefault="005D0911" w:rsidP="005D0911">
      <w:r w:rsidRPr="005D0911">
        <w:t>Ola Manuia (to live in wellness) Interim Pacific Health Plan, a companion document to Te Pae Tata, was launched by Hon Minister Aupito William Sio and Te Whatu Ora National Pacific Health Director Markerita Poutasi on 11 November 2022. The priorities covered by Ola Manuia span the life course of Pacific peoples from pregnant women, children and youth, through to adults and elders, and include focusing on long-term conditions (such as diabetes), mental health and tagata sa’ilimalo people with disabilities.</w:t>
      </w:r>
    </w:p>
    <w:p w14:paraId="108C2706" w14:textId="3BEA46E6" w:rsidR="005D0911" w:rsidRPr="005D0911" w:rsidRDefault="005D0911" w:rsidP="005D0911">
      <w:pPr>
        <w:pStyle w:val="Heading3"/>
      </w:pPr>
      <w:bookmarkStart w:id="63" w:name="_Toc153530295"/>
      <w:bookmarkStart w:id="64" w:name="_Toc153530380"/>
      <w:bookmarkStart w:id="65" w:name="_Toc153546661"/>
      <w:r w:rsidRPr="005D0911">
        <w:t xml:space="preserve">Highlights from </w:t>
      </w:r>
      <w:r w:rsidR="0042482E">
        <w:t>Q</w:t>
      </w:r>
      <w:r w:rsidRPr="005D0911">
        <w:t>uarter</w:t>
      </w:r>
      <w:bookmarkEnd w:id="63"/>
      <w:bookmarkEnd w:id="64"/>
      <w:bookmarkEnd w:id="65"/>
      <w:r w:rsidR="0042482E">
        <w:t xml:space="preserve"> One</w:t>
      </w:r>
    </w:p>
    <w:p w14:paraId="6BC1CD45" w14:textId="77777777" w:rsidR="005D0911" w:rsidRPr="005D0911" w:rsidRDefault="005D0911" w:rsidP="005D0911">
      <w:pPr>
        <w:pStyle w:val="Heading4"/>
      </w:pPr>
      <w:bookmarkStart w:id="66" w:name="_Toc153530296"/>
      <w:bookmarkStart w:id="67" w:name="_Toc153530381"/>
      <w:bookmarkStart w:id="68" w:name="_Toc153546662"/>
      <w:r w:rsidRPr="005D0911">
        <w:t>National Diabetes Action Plan</w:t>
      </w:r>
      <w:bookmarkEnd w:id="66"/>
      <w:bookmarkEnd w:id="67"/>
      <w:bookmarkEnd w:id="68"/>
    </w:p>
    <w:p w14:paraId="04ECC3D6" w14:textId="77777777" w:rsidR="005D0911" w:rsidRPr="005D0911" w:rsidRDefault="005D0911" w:rsidP="005D0911">
      <w:r w:rsidRPr="005D0911">
        <w:t>The burden of diabetes disproportionately affects and harms Māori and Pacific populations who experience higher prevalence, earlier onset, higher mortality and complication rates, and greater health loss compared with other population groups.</w:t>
      </w:r>
    </w:p>
    <w:p w14:paraId="0A218E49" w14:textId="77777777" w:rsidR="005D0911" w:rsidRPr="005D0911" w:rsidRDefault="005D0911" w:rsidP="005D0911">
      <w:r w:rsidRPr="005D0911">
        <w:t>Development of a National Diabetes Action Plan commenced with whānau Māori, Pacific people, mātauranga Māori knowledge holders, people with lived experience of diabetes, community, primary care providers and clinical diabetes experts. In the 30-year history of diabetes plans, this is the first that places these voices at the centre of designing solutions that are both practical and evidenced-based.</w:t>
      </w:r>
      <w:r w:rsidRPr="005D0911">
        <w:tab/>
      </w:r>
    </w:p>
    <w:p w14:paraId="445C3A12" w14:textId="77777777" w:rsidR="005D0911" w:rsidRPr="005D0911" w:rsidRDefault="005D0911" w:rsidP="005D0911">
      <w:pPr>
        <w:pStyle w:val="Heading4"/>
      </w:pPr>
      <w:bookmarkStart w:id="69" w:name="_Toc153530297"/>
      <w:bookmarkStart w:id="70" w:name="_Toc153530382"/>
      <w:bookmarkStart w:id="71" w:name="_Toc153546663"/>
      <w:r w:rsidRPr="005D0911">
        <w:t>Pacific Health Pipeline</w:t>
      </w:r>
      <w:bookmarkEnd w:id="69"/>
      <w:bookmarkEnd w:id="70"/>
      <w:bookmarkEnd w:id="71"/>
    </w:p>
    <w:p w14:paraId="212C9D2E" w14:textId="443CFD92" w:rsidR="005D0911" w:rsidRPr="005D0911" w:rsidRDefault="005D0911" w:rsidP="005D0911">
      <w:r w:rsidRPr="005D0911">
        <w:t>The Pacific Health pipeline was established to enable targeted pathways and service improvements at a system level for Pacific health priorities. The Pacific Health Senate was supported by Te Whatu Ora Service and Improvement Innovation Directorate to endorse three priority areas to explore within the pipeline: endometrial cancer, chronic kidney disease and rheumatic fever. Other key health priorities that were endorsed by the Senate include Diabetes and Oral Health.</w:t>
      </w:r>
    </w:p>
    <w:p w14:paraId="4796C2FB" w14:textId="77777777" w:rsidR="005D0911" w:rsidRPr="005D0911" w:rsidRDefault="005D0911" w:rsidP="005D0911">
      <w:pPr>
        <w:pStyle w:val="Heading4"/>
      </w:pPr>
      <w:bookmarkStart w:id="72" w:name="_Toc153530298"/>
      <w:bookmarkStart w:id="73" w:name="_Toc153530383"/>
      <w:bookmarkStart w:id="74" w:name="_Toc153546664"/>
      <w:r w:rsidRPr="005D0911">
        <w:t>Pacific Provider Development Fund</w:t>
      </w:r>
      <w:bookmarkEnd w:id="72"/>
      <w:bookmarkEnd w:id="73"/>
      <w:bookmarkEnd w:id="74"/>
    </w:p>
    <w:p w14:paraId="7DC2E5C8" w14:textId="2F1155E4" w:rsidR="005D0911" w:rsidRPr="005D0911" w:rsidRDefault="005D0911" w:rsidP="005D0911">
      <w:r w:rsidRPr="005D0911">
        <w:t xml:space="preserve">Applications for the Pacific Provider Development Fund (PPDF) were open during </w:t>
      </w:r>
      <w:r w:rsidR="0021754B">
        <w:t>this quarter</w:t>
      </w:r>
      <w:r w:rsidRPr="005D0911">
        <w:t xml:space="preserve">, and actions from the PPDF Review undertaken by a Steering Group Committee in </w:t>
      </w:r>
      <w:r w:rsidR="002E5FFE">
        <w:t>quarter four</w:t>
      </w:r>
      <w:r w:rsidRPr="005D0911">
        <w:t xml:space="preserve"> 2022/23 were implemented. These actions included additional support to help providers complete their application and wide socialisation of the application timeframe.</w:t>
      </w:r>
    </w:p>
    <w:p w14:paraId="38F61840" w14:textId="77F84408" w:rsidR="005D0911" w:rsidRPr="005D0911" w:rsidRDefault="005D0911" w:rsidP="005D0911">
      <w:r w:rsidRPr="005D0911">
        <w:lastRenderedPageBreak/>
        <w:t>In total 32 applications were received, an increase of five, year on year. Six applications were from new provider</w:t>
      </w:r>
      <w:r w:rsidR="00900768">
        <w:t>s</w:t>
      </w:r>
      <w:r w:rsidRPr="005D0911">
        <w:t>. Providers will be notified on the outcome of their applications in early December.</w:t>
      </w:r>
    </w:p>
    <w:p w14:paraId="540D2CFC" w14:textId="15F00ADE" w:rsidR="005D0911" w:rsidRPr="005D0911" w:rsidRDefault="005D0911" w:rsidP="005D0911">
      <w:pPr>
        <w:pStyle w:val="Heading4"/>
      </w:pPr>
      <w:bookmarkStart w:id="75" w:name="_Toc153530299"/>
      <w:bookmarkStart w:id="76" w:name="_Toc153530384"/>
      <w:bookmarkStart w:id="77" w:name="_Toc153546665"/>
      <w:r w:rsidRPr="005D0911">
        <w:t xml:space="preserve">Pacific Outreach </w:t>
      </w:r>
      <w:r w:rsidR="006738E6">
        <w:t>t</w:t>
      </w:r>
      <w:r w:rsidRPr="005D0911">
        <w:t>eams</w:t>
      </w:r>
      <w:bookmarkEnd w:id="75"/>
      <w:bookmarkEnd w:id="76"/>
      <w:bookmarkEnd w:id="77"/>
    </w:p>
    <w:p w14:paraId="1883A24E" w14:textId="07751A41" w:rsidR="005D0911" w:rsidRPr="005D0911" w:rsidRDefault="005D0911" w:rsidP="005D0911">
      <w:r w:rsidRPr="005D0911">
        <w:t xml:space="preserve">Outreach </w:t>
      </w:r>
      <w:r w:rsidR="00B7768A">
        <w:t>c</w:t>
      </w:r>
      <w:r w:rsidRPr="005D0911">
        <w:t>ontracts were confirmed to enable Pacific providers to pivot COVID-19 workforce to deliver other services</w:t>
      </w:r>
      <w:r w:rsidR="006738E6">
        <w:t xml:space="preserve"> </w:t>
      </w:r>
      <w:r w:rsidRPr="005D0911">
        <w:t>including immunisations, screening, support for those with long-term conditions and surge capacity.</w:t>
      </w:r>
    </w:p>
    <w:p w14:paraId="0CF64D40" w14:textId="77777777" w:rsidR="005D0911" w:rsidRPr="005D0911" w:rsidRDefault="005D0911" w:rsidP="005D0911">
      <w:pPr>
        <w:pStyle w:val="Heading4"/>
      </w:pPr>
      <w:bookmarkStart w:id="78" w:name="_Toc153530300"/>
      <w:bookmarkStart w:id="79" w:name="_Toc153530385"/>
      <w:bookmarkStart w:id="80" w:name="_Toc153546666"/>
      <w:r w:rsidRPr="005D0911">
        <w:t>Pacific Integrated Contracts programme</w:t>
      </w:r>
      <w:bookmarkEnd w:id="78"/>
      <w:bookmarkEnd w:id="79"/>
      <w:bookmarkEnd w:id="80"/>
    </w:p>
    <w:p w14:paraId="5FFE4B97" w14:textId="71901292" w:rsidR="005D0911" w:rsidRPr="005D0911" w:rsidRDefault="005D0911" w:rsidP="005D0911">
      <w:r w:rsidRPr="005D0911">
        <w:t xml:space="preserve">The Pacific Integrated Contracts pilot, which launched in June 2023 with six providers, for a three-month reporting trial period, highlighted some key areas for improvement in the data capture of Pacific outcomes. A </w:t>
      </w:r>
      <w:r w:rsidR="00BD1E50">
        <w:t>p</w:t>
      </w:r>
      <w:r w:rsidRPr="005D0911">
        <w:t xml:space="preserve">rogramme </w:t>
      </w:r>
      <w:r w:rsidR="00BD1E50">
        <w:t>t</w:t>
      </w:r>
      <w:r w:rsidRPr="005D0911">
        <w:t xml:space="preserve">eam has been formed, </w:t>
      </w:r>
      <w:r w:rsidR="00482345">
        <w:t xml:space="preserve">which includes </w:t>
      </w:r>
      <w:r w:rsidRPr="005D0911">
        <w:t xml:space="preserve">Te Whatu Ora staff from the Pacific Health and Data and Digital Directorates, to continue the on-going work to support providers to capture more meaningful data and improve reporting capability and tools. </w:t>
      </w:r>
    </w:p>
    <w:p w14:paraId="39A6DAAA" w14:textId="77777777" w:rsidR="005D0911" w:rsidRPr="005D0911" w:rsidRDefault="005D0911" w:rsidP="005D0911">
      <w:r w:rsidRPr="005D0911">
        <w:t>Integrated contracts will make it easier for providers to work with us, removing complexity by creating one contract per provider ensuring administration alignment and improved health outcome reporting. </w:t>
      </w:r>
    </w:p>
    <w:p w14:paraId="511F7A6F" w14:textId="77777777" w:rsidR="005D0911" w:rsidRPr="005D0911" w:rsidRDefault="005D0911" w:rsidP="005D0911">
      <w:pPr>
        <w:pStyle w:val="Heading4"/>
      </w:pPr>
      <w:bookmarkStart w:id="81" w:name="_Toc153530301"/>
      <w:bookmarkStart w:id="82" w:name="_Toc153530386"/>
      <w:bookmarkStart w:id="83" w:name="_Toc153546667"/>
      <w:r w:rsidRPr="005D0911">
        <w:t>Pacific Health Scholarships</w:t>
      </w:r>
      <w:bookmarkEnd w:id="81"/>
      <w:bookmarkEnd w:id="82"/>
      <w:bookmarkEnd w:id="83"/>
    </w:p>
    <w:p w14:paraId="3FA8C386" w14:textId="6440E0FE" w:rsidR="005D0911" w:rsidRPr="005D0911" w:rsidRDefault="005D0911" w:rsidP="005D0911">
      <w:r w:rsidRPr="005D0911">
        <w:t xml:space="preserve">The Pacific Health Scholarship eligibility criteria </w:t>
      </w:r>
      <w:r w:rsidR="00AA4E02">
        <w:t>are</w:t>
      </w:r>
      <w:r w:rsidRPr="005D0911">
        <w:t xml:space="preserve"> being reviewed and the programme has begun migration to a new platform in preparation for 2024 applications. The new platform will enable improved user experience and back-end functionality. </w:t>
      </w:r>
    </w:p>
    <w:p w14:paraId="4861C54B" w14:textId="68D176AB" w:rsidR="005D0911" w:rsidRPr="005D0911" w:rsidRDefault="005D0911" w:rsidP="005D0911">
      <w:r w:rsidRPr="005D0911">
        <w:t xml:space="preserve">In addition, a health Scholarships </w:t>
      </w:r>
      <w:r w:rsidR="007B3207">
        <w:t>and</w:t>
      </w:r>
      <w:r w:rsidRPr="005D0911">
        <w:t xml:space="preserve"> Grants database has been published on the Te Whatu Ora website</w:t>
      </w:r>
      <w:r w:rsidR="003D077E">
        <w:t xml:space="preserve">. It includes </w:t>
      </w:r>
      <w:r w:rsidRPr="005D0911">
        <w:t>support from other organisations including private providers. The aim is to improve access to scholarships information for Pacific students.</w:t>
      </w:r>
    </w:p>
    <w:p w14:paraId="69DAB160" w14:textId="77777777" w:rsidR="005D0911" w:rsidRPr="005D0911" w:rsidRDefault="005D0911" w:rsidP="005D0911">
      <w:pPr>
        <w:pStyle w:val="Heading4"/>
      </w:pPr>
      <w:bookmarkStart w:id="84" w:name="_Toc153530302"/>
      <w:bookmarkStart w:id="85" w:name="_Toc153530387"/>
      <w:bookmarkStart w:id="86" w:name="_Toc153546668"/>
      <w:r w:rsidRPr="005D0911">
        <w:t>Kahu Taurima</w:t>
      </w:r>
      <w:bookmarkEnd w:id="84"/>
      <w:bookmarkEnd w:id="85"/>
      <w:bookmarkEnd w:id="86"/>
    </w:p>
    <w:p w14:paraId="05D395A2" w14:textId="1F6A0B02" w:rsidR="005D0911" w:rsidRPr="005D0911" w:rsidRDefault="005D0911" w:rsidP="005D0911">
      <w:r w:rsidRPr="005D0911">
        <w:t xml:space="preserve">Five Pacific providers were commissioned in </w:t>
      </w:r>
      <w:r w:rsidR="00BA421E">
        <w:t>quarter four</w:t>
      </w:r>
      <w:r w:rsidR="00BA421E" w:rsidRPr="005D0911">
        <w:t xml:space="preserve"> </w:t>
      </w:r>
      <w:r w:rsidRPr="005D0911">
        <w:t>2022/23 to develop Pacific models of integrated maternity and early years care. These providers have been recruiting and developing their implementation plans.</w:t>
      </w:r>
    </w:p>
    <w:p w14:paraId="31445CA6" w14:textId="21200E97" w:rsidR="005D0911" w:rsidRDefault="005D0911" w:rsidP="005D0911">
      <w:r w:rsidRPr="005D0911">
        <w:t>Te Whatu Ora continues to conduct regular online engagement, providing on-going support as the pilots develop.</w:t>
      </w:r>
    </w:p>
    <w:p w14:paraId="16A84090" w14:textId="77777777" w:rsidR="005D0911" w:rsidRPr="005D0911" w:rsidRDefault="005D0911" w:rsidP="005D0911">
      <w:pPr>
        <w:pStyle w:val="NumberedHeading1"/>
      </w:pPr>
      <w:bookmarkStart w:id="87" w:name="_Toc157771863"/>
      <w:r w:rsidRPr="005D0911">
        <w:lastRenderedPageBreak/>
        <w:t>Non-Financial Performance</w:t>
      </w:r>
      <w:bookmarkEnd w:id="87"/>
      <w:r w:rsidRPr="005D0911">
        <w:t xml:space="preserve"> </w:t>
      </w:r>
    </w:p>
    <w:p w14:paraId="4FC18AEF" w14:textId="77777777" w:rsidR="005D0911" w:rsidRPr="005D0911" w:rsidRDefault="005D0911" w:rsidP="005D0911">
      <w:r w:rsidRPr="005D0911">
        <w:t>Te Whatu Ora is tracking performance using the measures from the Interim Government Policy Statement (GPS) and our Statement of Performance Expectations/Statement of Intent (SPE/SOI) for 2023/24. Some performance measures presented in the SPE 2023/24 are also included in the Whakamaua: Māori Health Action Plan 2020-2025, Interim GPS and Health System Indicators (HIS). Our performance measures are presented both qualitatively as milestones (and progress reports) and quantitatively through data. Together, they provide a picture of our performance. Measures are grouped to the Te Pae Tata six priorities actions:</w:t>
      </w:r>
    </w:p>
    <w:p w14:paraId="4EFBDC9F" w14:textId="005ECE49" w:rsidR="005D0911" w:rsidRPr="005D0911" w:rsidRDefault="005D0911" w:rsidP="005D0911">
      <w:pPr>
        <w:pStyle w:val="ListNumber"/>
      </w:pPr>
      <w:r w:rsidRPr="005D0911">
        <w:t>Place whānau at the heart of the system to improve equity and outcomes</w:t>
      </w:r>
    </w:p>
    <w:p w14:paraId="2F4BABE2" w14:textId="77777777" w:rsidR="005D0911" w:rsidRPr="005D0911" w:rsidRDefault="005D0911" w:rsidP="005D0911">
      <w:pPr>
        <w:pStyle w:val="ListNumber"/>
      </w:pPr>
      <w:r w:rsidRPr="005D0911">
        <w:t>Embed Te Tiriti o Waitangi across the health sector</w:t>
      </w:r>
    </w:p>
    <w:p w14:paraId="050DDB11" w14:textId="77777777" w:rsidR="005D0911" w:rsidRPr="005D0911" w:rsidRDefault="005D0911" w:rsidP="005D0911">
      <w:pPr>
        <w:pStyle w:val="ListNumber"/>
      </w:pPr>
      <w:r w:rsidRPr="005D0911">
        <w:t>Develop an inclusive health workforce</w:t>
      </w:r>
    </w:p>
    <w:p w14:paraId="7F99C61B" w14:textId="77777777" w:rsidR="005D0911" w:rsidRPr="005D0911" w:rsidRDefault="005D0911" w:rsidP="005D0911">
      <w:pPr>
        <w:pStyle w:val="ListNumber"/>
      </w:pPr>
      <w:r w:rsidRPr="005D0911">
        <w:t>Keep people well in their communities</w:t>
      </w:r>
    </w:p>
    <w:p w14:paraId="4951FD15" w14:textId="77777777" w:rsidR="005D0911" w:rsidRPr="005D0911" w:rsidRDefault="005D0911" w:rsidP="005D0911">
      <w:pPr>
        <w:pStyle w:val="ListNumber"/>
      </w:pPr>
      <w:r w:rsidRPr="005D0911">
        <w:t>Develop greater use of digital services to provide more care in homes and communities</w:t>
      </w:r>
    </w:p>
    <w:p w14:paraId="6966F175" w14:textId="501C664A" w:rsidR="005D0911" w:rsidRPr="005D0911" w:rsidRDefault="005D0911" w:rsidP="005D0911">
      <w:pPr>
        <w:pStyle w:val="ListNumber"/>
      </w:pPr>
      <w:r w:rsidRPr="005D0911">
        <w:t>Establish Te Whatu Ora and Te Aka Whai Ora to support a financially sustainable system</w:t>
      </w:r>
    </w:p>
    <w:p w14:paraId="2D4A05BF" w14:textId="6C8CFF52" w:rsidR="005D0911" w:rsidRDefault="005D0911" w:rsidP="005D0911">
      <w:r w:rsidRPr="005D0911">
        <w:t>Measures are assessed using a traffic light system, as shown in the key below. In some cases, the process of collation and validation of health system data means that the most up-to-date information available is for a different timeframe than this</w:t>
      </w:r>
      <w:r w:rsidR="00E515C2">
        <w:t xml:space="preserve"> quarter’s</w:t>
      </w:r>
      <w:r w:rsidRPr="005D0911">
        <w:t xml:space="preserve"> reporting period.</w:t>
      </w:r>
    </w:p>
    <w:tbl>
      <w:tblPr>
        <w:tblStyle w:val="TeWhatuOra"/>
        <w:tblW w:w="5000" w:type="pct"/>
        <w:tblLook w:val="0420" w:firstRow="1" w:lastRow="0" w:firstColumn="0" w:lastColumn="0" w:noHBand="0" w:noVBand="1"/>
      </w:tblPr>
      <w:tblGrid>
        <w:gridCol w:w="1925"/>
        <w:gridCol w:w="1925"/>
        <w:gridCol w:w="1926"/>
        <w:gridCol w:w="1926"/>
        <w:gridCol w:w="1926"/>
      </w:tblGrid>
      <w:tr w:rsidR="005D0911" w:rsidRPr="005D0911" w14:paraId="08A0012D" w14:textId="77777777" w:rsidTr="005D0911">
        <w:trPr>
          <w:cnfStyle w:val="100000000000" w:firstRow="1" w:lastRow="0" w:firstColumn="0" w:lastColumn="0" w:oddVBand="0" w:evenVBand="0" w:oddHBand="0" w:evenHBand="0" w:firstRowFirstColumn="0" w:firstRowLastColumn="0" w:lastRowFirstColumn="0" w:lastRowLastColumn="0"/>
          <w:trHeight w:val="20"/>
        </w:trPr>
        <w:tc>
          <w:tcPr>
            <w:tcW w:w="5000" w:type="pct"/>
            <w:gridSpan w:val="5"/>
          </w:tcPr>
          <w:p w14:paraId="73832143" w14:textId="77777777" w:rsidR="005D0911" w:rsidRPr="005D0911" w:rsidRDefault="005D0911" w:rsidP="005D0911">
            <w:pPr>
              <w:rPr>
                <w:bCs/>
              </w:rPr>
            </w:pPr>
            <w:r w:rsidRPr="005D0911">
              <w:rPr>
                <w:bCs/>
              </w:rPr>
              <w:t>Key to the Rating Assessment</w:t>
            </w:r>
          </w:p>
        </w:tc>
      </w:tr>
      <w:tr w:rsidR="005D0911" w:rsidRPr="005D0911" w14:paraId="609377CC" w14:textId="77777777" w:rsidTr="005D0911">
        <w:trPr>
          <w:trHeight w:val="20"/>
        </w:trPr>
        <w:tc>
          <w:tcPr>
            <w:tcW w:w="1000" w:type="pct"/>
          </w:tcPr>
          <w:p w14:paraId="7D59DC4F" w14:textId="14F2145B" w:rsidR="005D0911" w:rsidRPr="005D0911" w:rsidRDefault="005D0911" w:rsidP="005D0911">
            <w:r w:rsidRPr="005D0911">
              <w:t xml:space="preserve">Increased and improved </w:t>
            </w:r>
            <w:r w:rsidRPr="005D0911">
              <w:rPr>
                <w:rFonts w:ascii="Wingdings" w:eastAsia="Wingdings" w:hAnsi="Wingdings" w:cs="Wingdings"/>
                <w:color w:val="00B050"/>
                <w:szCs w:val="24"/>
              </w:rPr>
              <w:t>Ý</w:t>
            </w:r>
          </w:p>
        </w:tc>
        <w:tc>
          <w:tcPr>
            <w:tcW w:w="1000" w:type="pct"/>
          </w:tcPr>
          <w:p w14:paraId="7B65AF0B" w14:textId="7AB5DE0F" w:rsidR="005D0911" w:rsidRPr="005D0911" w:rsidRDefault="005D0911" w:rsidP="005D0911">
            <w:r w:rsidRPr="005D0911" w:rsidDel="002D0B14">
              <w:t>Decreased and improved</w:t>
            </w:r>
            <w:r w:rsidRPr="005D0911">
              <w:rPr>
                <w:rFonts w:ascii="Wingdings" w:eastAsia="Wingdings" w:hAnsi="Wingdings" w:cs="Wingdings"/>
                <w:color w:val="00B050"/>
                <w:szCs w:val="24"/>
              </w:rPr>
              <w:t xml:space="preserve"> </w:t>
            </w:r>
            <w:r w:rsidRPr="005D0911">
              <w:rPr>
                <w:rFonts w:ascii="Wingdings" w:eastAsia="Wingdings" w:hAnsi="Wingdings" w:cs="Calibri"/>
                <w:color w:val="00B050"/>
                <w:szCs w:val="24"/>
                <w:lang w:val="en-GB" w:eastAsia="en-NZ"/>
              </w:rPr>
              <w:t>Þ</w:t>
            </w:r>
          </w:p>
        </w:tc>
        <w:tc>
          <w:tcPr>
            <w:tcW w:w="1000" w:type="pct"/>
          </w:tcPr>
          <w:p w14:paraId="06F92C04" w14:textId="78023316" w:rsidR="005D0911" w:rsidRPr="005D0911" w:rsidRDefault="005D0911" w:rsidP="005D0911">
            <w:r w:rsidRPr="005D0911">
              <w:t xml:space="preserve">No change </w:t>
            </w:r>
            <w:r w:rsidRPr="00CE0F64">
              <w:rPr>
                <w:rFonts w:ascii="Wingdings" w:eastAsia="Wingdings" w:hAnsi="Wingdings" w:cs="Calibri"/>
                <w:b/>
                <w:color w:val="FFC000"/>
                <w:szCs w:val="24"/>
                <w:lang w:val="en-GB" w:eastAsia="en-NZ"/>
              </w:rPr>
              <w:t>Ü</w:t>
            </w:r>
          </w:p>
        </w:tc>
        <w:tc>
          <w:tcPr>
            <w:tcW w:w="1000" w:type="pct"/>
          </w:tcPr>
          <w:p w14:paraId="201A420A" w14:textId="5EF171FF" w:rsidR="005D0911" w:rsidRPr="005D0911" w:rsidRDefault="005D0911" w:rsidP="005D0911">
            <w:r w:rsidRPr="005D0911">
              <w:t xml:space="preserve">Decreased and deteriorated </w:t>
            </w:r>
            <w:r w:rsidRPr="005D0911">
              <w:rPr>
                <w:rFonts w:ascii="Wingdings" w:eastAsia="Wingdings" w:hAnsi="Wingdings" w:cs="Calibri"/>
                <w:color w:val="FF0000"/>
                <w:szCs w:val="24"/>
                <w:lang w:val="en-GB" w:eastAsia="en-NZ"/>
              </w:rPr>
              <w:t>Þ</w:t>
            </w:r>
          </w:p>
        </w:tc>
        <w:tc>
          <w:tcPr>
            <w:tcW w:w="1000" w:type="pct"/>
          </w:tcPr>
          <w:p w14:paraId="2A643008" w14:textId="61C0670A" w:rsidR="005D0911" w:rsidRPr="005D0911" w:rsidRDefault="005D0911" w:rsidP="005D0911">
            <w:r w:rsidRPr="005D0911" w:rsidDel="002D0B14">
              <w:t xml:space="preserve">Increased and deteriorated </w:t>
            </w:r>
            <w:r w:rsidRPr="005D0911" w:rsidDel="002D0B14">
              <w:rPr>
                <w:rFonts w:ascii="Wingdings" w:eastAsia="Wingdings" w:hAnsi="Wingdings" w:cs="Wingdings"/>
                <w:color w:val="FF0000"/>
                <w:szCs w:val="24"/>
              </w:rPr>
              <w:t>Ý</w:t>
            </w:r>
          </w:p>
        </w:tc>
      </w:tr>
    </w:tbl>
    <w:p w14:paraId="537C4FF5" w14:textId="77777777" w:rsidR="005D0911" w:rsidRPr="005D0911" w:rsidRDefault="005D0911" w:rsidP="005D0911"/>
    <w:p w14:paraId="5C0CCCB3" w14:textId="77777777" w:rsidR="005D0911" w:rsidRDefault="005D0911" w:rsidP="005D0911">
      <w:pPr>
        <w:sectPr w:rsidR="005D0911" w:rsidSect="00203C6D">
          <w:footerReference w:type="default" r:id="rId13"/>
          <w:pgSz w:w="11906" w:h="16838"/>
          <w:pgMar w:top="1134" w:right="1134" w:bottom="1134" w:left="1134" w:header="1304" w:footer="709" w:gutter="0"/>
          <w:cols w:space="708"/>
          <w:docGrid w:linePitch="360"/>
        </w:sectPr>
      </w:pPr>
    </w:p>
    <w:p w14:paraId="0B9B4A19" w14:textId="77777777" w:rsidR="005D0911" w:rsidRPr="005D0911" w:rsidRDefault="005D0911" w:rsidP="005D0911">
      <w:pPr>
        <w:pStyle w:val="Heading3"/>
        <w:rPr>
          <w:lang w:val="en-GB"/>
        </w:rPr>
      </w:pPr>
      <w:r w:rsidRPr="005D0911">
        <w:lastRenderedPageBreak/>
        <w:t>Te Pae Tata Priority 1 – Place whānau at the heart of the system to improve equity and outcomes</w:t>
      </w:r>
    </w:p>
    <w:tbl>
      <w:tblPr>
        <w:tblStyle w:val="TeWhatuOra"/>
        <w:tblW w:w="5000" w:type="pct"/>
        <w:tblLook w:val="0420" w:firstRow="1" w:lastRow="0" w:firstColumn="0" w:lastColumn="0" w:noHBand="0" w:noVBand="1"/>
      </w:tblPr>
      <w:tblGrid>
        <w:gridCol w:w="4957"/>
        <w:gridCol w:w="2158"/>
        <w:gridCol w:w="1245"/>
        <w:gridCol w:w="1352"/>
        <w:gridCol w:w="1352"/>
        <w:gridCol w:w="1288"/>
        <w:gridCol w:w="1494"/>
        <w:gridCol w:w="7687"/>
      </w:tblGrid>
      <w:tr w:rsidR="005D0911" w:rsidRPr="005D0911" w14:paraId="15CBDC12" w14:textId="77777777" w:rsidTr="005A070B">
        <w:trPr>
          <w:cnfStyle w:val="100000000000" w:firstRow="1" w:lastRow="0" w:firstColumn="0" w:lastColumn="0" w:oddVBand="0" w:evenVBand="0" w:oddHBand="0" w:evenHBand="0" w:firstRowFirstColumn="0" w:firstRowLastColumn="0" w:lastRowFirstColumn="0" w:lastRowLastColumn="0"/>
          <w:trHeight w:val="360"/>
        </w:trPr>
        <w:tc>
          <w:tcPr>
            <w:tcW w:w="1151" w:type="pct"/>
          </w:tcPr>
          <w:p w14:paraId="676A2D85" w14:textId="77777777" w:rsidR="005D0911" w:rsidRPr="005D0911" w:rsidRDefault="005D0911" w:rsidP="005D0911">
            <w:pPr>
              <w:pStyle w:val="TableText"/>
            </w:pPr>
            <w:r w:rsidRPr="005D0911">
              <w:rPr>
                <w:lang w:val="en-GB"/>
              </w:rPr>
              <w:t>Measure</w:t>
            </w:r>
          </w:p>
        </w:tc>
        <w:tc>
          <w:tcPr>
            <w:tcW w:w="501" w:type="pct"/>
          </w:tcPr>
          <w:p w14:paraId="6F6147AA" w14:textId="77777777" w:rsidR="005D0911" w:rsidRPr="005D0911" w:rsidRDefault="005D0911" w:rsidP="005D0911">
            <w:pPr>
              <w:pStyle w:val="TableText"/>
              <w:rPr>
                <w:lang w:val="en-GB"/>
              </w:rPr>
            </w:pPr>
            <w:r w:rsidRPr="005D0911">
              <w:rPr>
                <w:lang w:val="en-GB"/>
              </w:rPr>
              <w:t>Ethnic group</w:t>
            </w:r>
          </w:p>
        </w:tc>
        <w:tc>
          <w:tcPr>
            <w:tcW w:w="289" w:type="pct"/>
          </w:tcPr>
          <w:p w14:paraId="02074ABC" w14:textId="77777777" w:rsidR="005D0911" w:rsidRPr="005D0911" w:rsidRDefault="005D0911" w:rsidP="005D0911">
            <w:pPr>
              <w:pStyle w:val="TableText"/>
              <w:rPr>
                <w:lang w:val="en-GB"/>
              </w:rPr>
            </w:pPr>
            <w:r w:rsidRPr="005D0911">
              <w:rPr>
                <w:lang w:val="en-GB"/>
              </w:rPr>
              <w:t>Q1</w:t>
            </w:r>
          </w:p>
          <w:p w14:paraId="6CCAB914" w14:textId="77777777" w:rsidR="005D0911" w:rsidRPr="005D0911" w:rsidRDefault="005D0911" w:rsidP="005D0911">
            <w:pPr>
              <w:pStyle w:val="TableText"/>
              <w:rPr>
                <w:lang w:val="en-GB"/>
              </w:rPr>
            </w:pPr>
            <w:r w:rsidRPr="005D0911">
              <w:rPr>
                <w:lang w:val="en-GB"/>
              </w:rPr>
              <w:t>2022-23</w:t>
            </w:r>
          </w:p>
        </w:tc>
        <w:tc>
          <w:tcPr>
            <w:tcW w:w="314" w:type="pct"/>
          </w:tcPr>
          <w:p w14:paraId="382B299B" w14:textId="77777777" w:rsidR="005D0911" w:rsidRPr="005D0911" w:rsidRDefault="005D0911" w:rsidP="005D0911">
            <w:pPr>
              <w:pStyle w:val="TableText"/>
              <w:rPr>
                <w:lang w:val="en-GB"/>
              </w:rPr>
            </w:pPr>
            <w:r w:rsidRPr="005D0911">
              <w:rPr>
                <w:lang w:val="en-GB"/>
              </w:rPr>
              <w:t>Q2</w:t>
            </w:r>
          </w:p>
          <w:p w14:paraId="6AE7FB18" w14:textId="77777777" w:rsidR="005D0911" w:rsidRPr="005D0911" w:rsidRDefault="005D0911" w:rsidP="005D0911">
            <w:pPr>
              <w:pStyle w:val="TableText"/>
              <w:rPr>
                <w:lang w:val="en-GB"/>
              </w:rPr>
            </w:pPr>
            <w:r w:rsidRPr="005D0911">
              <w:rPr>
                <w:lang w:val="en-GB"/>
              </w:rPr>
              <w:t>2022-23</w:t>
            </w:r>
          </w:p>
        </w:tc>
        <w:tc>
          <w:tcPr>
            <w:tcW w:w="314" w:type="pct"/>
          </w:tcPr>
          <w:p w14:paraId="6098B51D" w14:textId="77777777" w:rsidR="005D0911" w:rsidRPr="005D0911" w:rsidRDefault="005D0911" w:rsidP="005D0911">
            <w:pPr>
              <w:pStyle w:val="TableText"/>
              <w:rPr>
                <w:lang w:val="en-GB"/>
              </w:rPr>
            </w:pPr>
            <w:r w:rsidRPr="005D0911">
              <w:rPr>
                <w:lang w:val="en-GB"/>
              </w:rPr>
              <w:t>Q3</w:t>
            </w:r>
          </w:p>
          <w:p w14:paraId="5D68FADE" w14:textId="77777777" w:rsidR="005D0911" w:rsidRPr="005D0911" w:rsidRDefault="005D0911" w:rsidP="005D0911">
            <w:pPr>
              <w:pStyle w:val="TableText"/>
              <w:rPr>
                <w:lang w:val="en-GB"/>
              </w:rPr>
            </w:pPr>
            <w:r w:rsidRPr="005D0911">
              <w:rPr>
                <w:lang w:val="en-GB"/>
              </w:rPr>
              <w:t>2022-23</w:t>
            </w:r>
          </w:p>
        </w:tc>
        <w:tc>
          <w:tcPr>
            <w:tcW w:w="299" w:type="pct"/>
          </w:tcPr>
          <w:p w14:paraId="1F6CEE9E" w14:textId="77777777" w:rsidR="005D0911" w:rsidRPr="005D0911" w:rsidRDefault="005D0911" w:rsidP="005D0911">
            <w:pPr>
              <w:pStyle w:val="TableText"/>
              <w:rPr>
                <w:lang w:val="en-GB"/>
              </w:rPr>
            </w:pPr>
            <w:r w:rsidRPr="005D0911">
              <w:rPr>
                <w:lang w:val="en-GB"/>
              </w:rPr>
              <w:t>Q4</w:t>
            </w:r>
          </w:p>
          <w:p w14:paraId="310AE051" w14:textId="77777777" w:rsidR="005D0911" w:rsidRPr="005D0911" w:rsidRDefault="005D0911" w:rsidP="005D0911">
            <w:pPr>
              <w:pStyle w:val="TableText"/>
              <w:rPr>
                <w:lang w:val="en-GB"/>
              </w:rPr>
            </w:pPr>
            <w:r w:rsidRPr="005D0911">
              <w:rPr>
                <w:lang w:val="en-GB"/>
              </w:rPr>
              <w:t>2022-23</w:t>
            </w:r>
          </w:p>
        </w:tc>
        <w:tc>
          <w:tcPr>
            <w:tcW w:w="347" w:type="pct"/>
          </w:tcPr>
          <w:p w14:paraId="094C50C1" w14:textId="77777777" w:rsidR="005D0911" w:rsidRPr="005D0911" w:rsidRDefault="005D0911" w:rsidP="005D0911">
            <w:pPr>
              <w:pStyle w:val="TableText"/>
              <w:rPr>
                <w:lang w:val="en-GB"/>
              </w:rPr>
            </w:pPr>
            <w:r w:rsidRPr="005D0911">
              <w:rPr>
                <w:lang w:val="en-GB"/>
              </w:rPr>
              <w:t>Q1</w:t>
            </w:r>
          </w:p>
          <w:p w14:paraId="4FC2C0F9" w14:textId="77777777" w:rsidR="005D0911" w:rsidRPr="005D0911" w:rsidRDefault="005D0911" w:rsidP="005D0911">
            <w:pPr>
              <w:pStyle w:val="TableText"/>
              <w:rPr>
                <w:lang w:val="en-GB"/>
              </w:rPr>
            </w:pPr>
            <w:r w:rsidRPr="005D0911">
              <w:rPr>
                <w:lang w:val="en-GB"/>
              </w:rPr>
              <w:t>2023-24</w:t>
            </w:r>
          </w:p>
        </w:tc>
        <w:tc>
          <w:tcPr>
            <w:tcW w:w="1785" w:type="pct"/>
            <w:vMerge w:val="restart"/>
            <w:shd w:val="clear" w:color="auto" w:fill="auto"/>
          </w:tcPr>
          <w:p w14:paraId="7D71E785" w14:textId="77777777" w:rsidR="005D0911" w:rsidRPr="005D0911" w:rsidRDefault="005D0911" w:rsidP="005D0911">
            <w:pPr>
              <w:pStyle w:val="TableText"/>
            </w:pPr>
            <w:r w:rsidRPr="005D0911">
              <w:rPr>
                <w:noProof/>
              </w:rPr>
              <w:drawing>
                <wp:inline distT="0" distB="0" distL="0" distR="0" wp14:anchorId="4C4FEC36" wp14:editId="23FB9B42">
                  <wp:extent cx="4725909" cy="2697932"/>
                  <wp:effectExtent l="0" t="0" r="0" b="7620"/>
                  <wp:docPr id="1825775857" name="Chart 1825775857" descr="Chart showing Percentage of children enrolled with a general practice or a kaupapa Māori provider by age 3 months."/>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271827" w:rsidRPr="005D0911" w14:paraId="09906485" w14:textId="77777777" w:rsidTr="005A070B">
        <w:trPr>
          <w:trHeight w:val="657"/>
        </w:trPr>
        <w:tc>
          <w:tcPr>
            <w:tcW w:w="1151" w:type="pct"/>
            <w:vMerge w:val="restart"/>
            <w:hideMark/>
          </w:tcPr>
          <w:p w14:paraId="48C650AA" w14:textId="77777777" w:rsidR="005D0911" w:rsidRPr="005D0911" w:rsidRDefault="005D0911" w:rsidP="005D0911">
            <w:pPr>
              <w:pStyle w:val="TableText"/>
            </w:pPr>
            <w:r w:rsidRPr="005D0911">
              <w:t>Percentage of children enrolled with a general practice or a kaupapa Māori provider by age 3 months</w:t>
            </w:r>
            <w:bookmarkStart w:id="88" w:name="_Ref155605840"/>
            <w:r w:rsidRPr="005D0911">
              <w:t xml:space="preserve"> </w:t>
            </w:r>
            <w:bookmarkStart w:id="89" w:name="_Ref155606579"/>
            <w:r w:rsidRPr="005D0911">
              <w:rPr>
                <w:vertAlign w:val="superscript"/>
              </w:rPr>
              <w:footnoteReference w:id="2"/>
            </w:r>
            <w:bookmarkEnd w:id="88"/>
            <w:bookmarkEnd w:id="89"/>
            <w:r w:rsidRPr="005D0911">
              <w:rPr>
                <w:vertAlign w:val="superscript"/>
              </w:rPr>
              <w:t>,</w:t>
            </w:r>
            <w:r w:rsidRPr="005D0911">
              <w:rPr>
                <w:vertAlign w:val="superscript"/>
              </w:rPr>
              <w:footnoteReference w:id="3"/>
            </w:r>
            <w:r w:rsidRPr="005D0911">
              <w:t>.</w:t>
            </w:r>
          </w:p>
          <w:p w14:paraId="7B117773" w14:textId="77777777" w:rsidR="005D0911" w:rsidRPr="005D0911" w:rsidRDefault="005D0911" w:rsidP="005D0911">
            <w:pPr>
              <w:pStyle w:val="TableText"/>
            </w:pPr>
          </w:p>
          <w:p w14:paraId="682073FB" w14:textId="77777777" w:rsidR="005D0911" w:rsidRPr="005D0911" w:rsidRDefault="005D0911" w:rsidP="005D0911">
            <w:pPr>
              <w:pStyle w:val="TableText"/>
            </w:pPr>
            <w:r w:rsidRPr="005D0911">
              <w:t>Target: 85% overall and maintain performance for populations</w:t>
            </w:r>
          </w:p>
        </w:tc>
        <w:tc>
          <w:tcPr>
            <w:tcW w:w="501" w:type="pct"/>
            <w:hideMark/>
          </w:tcPr>
          <w:p w14:paraId="400E521B" w14:textId="77777777" w:rsidR="005D0911" w:rsidRPr="005D0911" w:rsidRDefault="005D0911" w:rsidP="005D0911">
            <w:pPr>
              <w:pStyle w:val="TableText"/>
              <w:rPr>
                <w:lang w:val="en-GB"/>
              </w:rPr>
            </w:pPr>
            <w:r w:rsidRPr="005D0911">
              <w:rPr>
                <w:lang w:val="en-GB"/>
              </w:rPr>
              <w:t>Māori</w:t>
            </w:r>
          </w:p>
        </w:tc>
        <w:tc>
          <w:tcPr>
            <w:tcW w:w="289" w:type="pct"/>
          </w:tcPr>
          <w:p w14:paraId="00709B32" w14:textId="77777777" w:rsidR="005D0911" w:rsidRPr="005D0911" w:rsidRDefault="005D0911" w:rsidP="005D0911">
            <w:pPr>
              <w:pStyle w:val="TableText"/>
            </w:pPr>
            <w:r w:rsidRPr="005D0911">
              <w:t>68%</w:t>
            </w:r>
          </w:p>
        </w:tc>
        <w:tc>
          <w:tcPr>
            <w:tcW w:w="314" w:type="pct"/>
          </w:tcPr>
          <w:p w14:paraId="7AFE8847" w14:textId="239C2BA1" w:rsidR="005D0911" w:rsidRPr="005D0911" w:rsidRDefault="005D0911" w:rsidP="005D0911">
            <w:pPr>
              <w:pStyle w:val="TableText"/>
            </w:pPr>
            <w:r w:rsidRPr="005D0911">
              <w:t xml:space="preserve">70% </w:t>
            </w:r>
            <w:r w:rsidR="00271827" w:rsidRPr="00CE0F64">
              <w:rPr>
                <w:rFonts w:ascii="Wingdings" w:eastAsia="Wingdings" w:hAnsi="Wingdings" w:cs="Calibri"/>
                <w:b/>
                <w:color w:val="FFC000"/>
                <w:szCs w:val="24"/>
                <w:lang w:val="en-GB" w:eastAsia="en-NZ"/>
              </w:rPr>
              <w:t>Ü</w:t>
            </w:r>
          </w:p>
        </w:tc>
        <w:tc>
          <w:tcPr>
            <w:tcW w:w="314" w:type="pct"/>
          </w:tcPr>
          <w:p w14:paraId="11BF1810" w14:textId="5C6F0D4A" w:rsidR="005D0911" w:rsidRPr="005D0911" w:rsidRDefault="005D0911" w:rsidP="005D0911">
            <w:pPr>
              <w:pStyle w:val="TableText"/>
            </w:pPr>
            <w:r w:rsidRPr="005D0911">
              <w:t xml:space="preserve">70% </w:t>
            </w:r>
            <w:r w:rsidR="00271827" w:rsidRPr="00CE0F64">
              <w:rPr>
                <w:rFonts w:ascii="Wingdings" w:eastAsia="Wingdings" w:hAnsi="Wingdings" w:cs="Calibri"/>
                <w:b/>
                <w:color w:val="FFC000"/>
                <w:szCs w:val="24"/>
                <w:lang w:val="en-GB" w:eastAsia="en-NZ"/>
              </w:rPr>
              <w:t>Ü</w:t>
            </w:r>
          </w:p>
        </w:tc>
        <w:tc>
          <w:tcPr>
            <w:tcW w:w="299" w:type="pct"/>
          </w:tcPr>
          <w:p w14:paraId="6B0ADE06" w14:textId="44A3A01A" w:rsidR="005D0911" w:rsidRPr="005D0911" w:rsidRDefault="005D0911" w:rsidP="005D0911">
            <w:pPr>
              <w:pStyle w:val="TableText"/>
            </w:pPr>
            <w:r w:rsidRPr="005D0911">
              <w:t xml:space="preserve">70% </w:t>
            </w:r>
            <w:r w:rsidR="00271827" w:rsidRPr="00CE0F64">
              <w:rPr>
                <w:rFonts w:ascii="Wingdings" w:eastAsia="Wingdings" w:hAnsi="Wingdings" w:cs="Calibri"/>
                <w:b/>
                <w:color w:val="FFC000"/>
                <w:szCs w:val="24"/>
                <w:lang w:val="en-GB" w:eastAsia="en-NZ"/>
              </w:rPr>
              <w:t>Ü</w:t>
            </w:r>
          </w:p>
        </w:tc>
        <w:tc>
          <w:tcPr>
            <w:tcW w:w="347" w:type="pct"/>
          </w:tcPr>
          <w:p w14:paraId="1AF47F92" w14:textId="7D734CF3" w:rsidR="005D0911" w:rsidRPr="005D0911" w:rsidRDefault="005D0911" w:rsidP="005D0911">
            <w:pPr>
              <w:pStyle w:val="TableText"/>
            </w:pPr>
            <w:r w:rsidRPr="005D0911">
              <w:t xml:space="preserve">70% </w:t>
            </w:r>
            <w:r w:rsidR="00271827" w:rsidRPr="00CE0F64">
              <w:rPr>
                <w:rFonts w:ascii="Wingdings" w:eastAsia="Wingdings" w:hAnsi="Wingdings" w:cs="Calibri"/>
                <w:b/>
                <w:color w:val="FFC000"/>
                <w:szCs w:val="24"/>
                <w:lang w:val="en-GB" w:eastAsia="en-NZ"/>
              </w:rPr>
              <w:t>Ü</w:t>
            </w:r>
          </w:p>
        </w:tc>
        <w:tc>
          <w:tcPr>
            <w:tcW w:w="1785" w:type="pct"/>
            <w:vMerge/>
            <w:shd w:val="clear" w:color="auto" w:fill="auto"/>
          </w:tcPr>
          <w:p w14:paraId="30CED364" w14:textId="77777777" w:rsidR="005D0911" w:rsidRPr="005D0911" w:rsidRDefault="005D0911" w:rsidP="005D0911">
            <w:pPr>
              <w:pStyle w:val="TableText"/>
            </w:pPr>
          </w:p>
        </w:tc>
      </w:tr>
      <w:tr w:rsidR="00271827" w:rsidRPr="005D0911" w14:paraId="629C3243" w14:textId="77777777" w:rsidTr="005A070B">
        <w:trPr>
          <w:trHeight w:val="662"/>
        </w:trPr>
        <w:tc>
          <w:tcPr>
            <w:tcW w:w="1151" w:type="pct"/>
            <w:vMerge/>
            <w:hideMark/>
          </w:tcPr>
          <w:p w14:paraId="036CF6D8" w14:textId="77777777" w:rsidR="005D0911" w:rsidRPr="005D0911" w:rsidRDefault="005D0911" w:rsidP="005D0911">
            <w:pPr>
              <w:pStyle w:val="TableText"/>
              <w:rPr>
                <w:lang w:val="en-GB"/>
              </w:rPr>
            </w:pPr>
          </w:p>
        </w:tc>
        <w:tc>
          <w:tcPr>
            <w:tcW w:w="501" w:type="pct"/>
            <w:hideMark/>
          </w:tcPr>
          <w:p w14:paraId="06467C9C" w14:textId="77777777" w:rsidR="005D0911" w:rsidRPr="005D0911" w:rsidRDefault="005D0911" w:rsidP="005D0911">
            <w:pPr>
              <w:pStyle w:val="TableText"/>
              <w:rPr>
                <w:lang w:val="en-GB"/>
              </w:rPr>
            </w:pPr>
            <w:r w:rsidRPr="005D0911">
              <w:rPr>
                <w:lang w:val="en-GB"/>
              </w:rPr>
              <w:t>Pacific</w:t>
            </w:r>
          </w:p>
        </w:tc>
        <w:tc>
          <w:tcPr>
            <w:tcW w:w="289" w:type="pct"/>
          </w:tcPr>
          <w:p w14:paraId="592732BB" w14:textId="77777777" w:rsidR="005D0911" w:rsidRPr="005D0911" w:rsidRDefault="005D0911" w:rsidP="005D0911">
            <w:pPr>
              <w:pStyle w:val="TableText"/>
            </w:pPr>
            <w:r w:rsidRPr="005D0911">
              <w:t>80%</w:t>
            </w:r>
          </w:p>
        </w:tc>
        <w:tc>
          <w:tcPr>
            <w:tcW w:w="314" w:type="pct"/>
          </w:tcPr>
          <w:p w14:paraId="4FD20367" w14:textId="56FAEBA5" w:rsidR="005D0911" w:rsidRPr="005D0911" w:rsidRDefault="005D0911" w:rsidP="005D0911">
            <w:pPr>
              <w:pStyle w:val="TableText"/>
            </w:pPr>
            <w:r w:rsidRPr="005D0911">
              <w:t>83%</w:t>
            </w:r>
            <w:r w:rsidR="00A81E4D">
              <w:t xml:space="preserve"> </w:t>
            </w:r>
            <w:r w:rsidR="00271827" w:rsidRPr="00271827">
              <w:rPr>
                <w:rFonts w:ascii="Wingdings" w:eastAsia="Wingdings" w:hAnsi="Wingdings" w:cs="Wingdings"/>
                <w:color w:val="00B050"/>
                <w:szCs w:val="24"/>
              </w:rPr>
              <w:t>Ý</w:t>
            </w:r>
          </w:p>
        </w:tc>
        <w:tc>
          <w:tcPr>
            <w:tcW w:w="314" w:type="pct"/>
          </w:tcPr>
          <w:p w14:paraId="46D96D98" w14:textId="50613923" w:rsidR="005D0911" w:rsidRPr="005D0911" w:rsidRDefault="005D0911" w:rsidP="005D0911">
            <w:pPr>
              <w:pStyle w:val="TableText"/>
            </w:pPr>
            <w:r w:rsidRPr="005D0911">
              <w:t xml:space="preserve">81% </w:t>
            </w:r>
            <w:r w:rsidR="00271827" w:rsidRPr="00271827">
              <w:rPr>
                <w:rFonts w:ascii="Wingdings" w:eastAsia="Wingdings" w:hAnsi="Wingdings" w:cs="Calibri"/>
                <w:color w:val="FF0000"/>
                <w:szCs w:val="24"/>
                <w:lang w:val="en-GB" w:eastAsia="en-NZ"/>
              </w:rPr>
              <w:t>Þ</w:t>
            </w:r>
          </w:p>
        </w:tc>
        <w:tc>
          <w:tcPr>
            <w:tcW w:w="299" w:type="pct"/>
          </w:tcPr>
          <w:p w14:paraId="1E4E3EA1" w14:textId="08DB409D" w:rsidR="005D0911" w:rsidRPr="005D0911" w:rsidRDefault="005D0911" w:rsidP="005D0911">
            <w:pPr>
              <w:pStyle w:val="TableText"/>
            </w:pPr>
            <w:r w:rsidRPr="005D0911">
              <w:t xml:space="preserve">78% </w:t>
            </w:r>
            <w:r w:rsidR="00271827" w:rsidRPr="00271827">
              <w:rPr>
                <w:rFonts w:ascii="Wingdings" w:eastAsia="Wingdings" w:hAnsi="Wingdings" w:cs="Calibri"/>
                <w:color w:val="FF0000"/>
                <w:szCs w:val="24"/>
                <w:lang w:val="en-GB" w:eastAsia="en-NZ"/>
              </w:rPr>
              <w:t>Þ</w:t>
            </w:r>
          </w:p>
        </w:tc>
        <w:tc>
          <w:tcPr>
            <w:tcW w:w="347" w:type="pct"/>
          </w:tcPr>
          <w:p w14:paraId="3AC57B3C" w14:textId="1AC01BE5" w:rsidR="005D0911" w:rsidRPr="005D0911" w:rsidRDefault="005D0911" w:rsidP="005D0911">
            <w:pPr>
              <w:pStyle w:val="TableText"/>
            </w:pPr>
            <w:r w:rsidRPr="005D0911">
              <w:t>81%</w:t>
            </w:r>
            <w:r w:rsidR="00A81E4D">
              <w:t xml:space="preserve"> </w:t>
            </w:r>
            <w:r w:rsidR="00271827" w:rsidRPr="00271827">
              <w:rPr>
                <w:rFonts w:ascii="Wingdings" w:eastAsia="Wingdings" w:hAnsi="Wingdings" w:cs="Wingdings"/>
                <w:color w:val="00B050"/>
                <w:szCs w:val="24"/>
              </w:rPr>
              <w:t>Ý</w:t>
            </w:r>
          </w:p>
        </w:tc>
        <w:tc>
          <w:tcPr>
            <w:tcW w:w="1785" w:type="pct"/>
            <w:vMerge/>
            <w:shd w:val="clear" w:color="auto" w:fill="auto"/>
          </w:tcPr>
          <w:p w14:paraId="451570FB" w14:textId="77777777" w:rsidR="005D0911" w:rsidRPr="005D0911" w:rsidRDefault="005D0911" w:rsidP="005D0911">
            <w:pPr>
              <w:pStyle w:val="TableText"/>
            </w:pPr>
          </w:p>
        </w:tc>
      </w:tr>
      <w:tr w:rsidR="00271827" w:rsidRPr="005D0911" w14:paraId="5614C1EB" w14:textId="77777777" w:rsidTr="005A070B">
        <w:trPr>
          <w:trHeight w:val="668"/>
        </w:trPr>
        <w:tc>
          <w:tcPr>
            <w:tcW w:w="1151" w:type="pct"/>
            <w:vMerge/>
          </w:tcPr>
          <w:p w14:paraId="1D410F75" w14:textId="77777777" w:rsidR="005D0911" w:rsidRPr="005D0911" w:rsidRDefault="005D0911" w:rsidP="005D0911">
            <w:pPr>
              <w:pStyle w:val="TableText"/>
              <w:rPr>
                <w:lang w:val="en-GB"/>
              </w:rPr>
            </w:pPr>
          </w:p>
        </w:tc>
        <w:tc>
          <w:tcPr>
            <w:tcW w:w="501" w:type="pct"/>
          </w:tcPr>
          <w:p w14:paraId="63FAAA2F" w14:textId="23EBECD2" w:rsidR="005D0911" w:rsidRPr="005D0911" w:rsidRDefault="005D0911" w:rsidP="005D0911">
            <w:pPr>
              <w:pStyle w:val="TableText"/>
              <w:rPr>
                <w:lang w:val="en-GB"/>
              </w:rPr>
            </w:pPr>
            <w:r w:rsidRPr="005D0911">
              <w:rPr>
                <w:lang w:val="en-GB"/>
              </w:rPr>
              <w:t xml:space="preserve">European and </w:t>
            </w:r>
            <w:r w:rsidR="000670B0">
              <w:rPr>
                <w:lang w:val="en-GB"/>
              </w:rPr>
              <w:t>a</w:t>
            </w:r>
            <w:r w:rsidRPr="005D0911">
              <w:rPr>
                <w:lang w:val="en-GB"/>
              </w:rPr>
              <w:t>ll other ethnicities</w:t>
            </w:r>
          </w:p>
        </w:tc>
        <w:tc>
          <w:tcPr>
            <w:tcW w:w="289" w:type="pct"/>
          </w:tcPr>
          <w:p w14:paraId="225FAD22" w14:textId="77777777" w:rsidR="005D0911" w:rsidRPr="005D0911" w:rsidRDefault="005D0911" w:rsidP="005D0911">
            <w:pPr>
              <w:pStyle w:val="TableText"/>
            </w:pPr>
            <w:r w:rsidRPr="005D0911">
              <w:t>99%</w:t>
            </w:r>
          </w:p>
        </w:tc>
        <w:tc>
          <w:tcPr>
            <w:tcW w:w="314" w:type="pct"/>
          </w:tcPr>
          <w:p w14:paraId="4B81C5F2" w14:textId="212FD3F0" w:rsidR="005D0911" w:rsidRPr="005D0911" w:rsidRDefault="005D0911" w:rsidP="005D0911">
            <w:pPr>
              <w:pStyle w:val="TableText"/>
            </w:pPr>
            <w:r w:rsidRPr="005D0911">
              <w:t xml:space="preserve">99% </w:t>
            </w:r>
            <w:r w:rsidR="00271827" w:rsidRPr="00CE0F64">
              <w:rPr>
                <w:rFonts w:ascii="Wingdings" w:eastAsia="Wingdings" w:hAnsi="Wingdings" w:cs="Calibri"/>
                <w:b/>
                <w:color w:val="FFC000"/>
                <w:szCs w:val="24"/>
                <w:lang w:val="en-GB" w:eastAsia="en-NZ"/>
              </w:rPr>
              <w:t>Ü</w:t>
            </w:r>
          </w:p>
        </w:tc>
        <w:tc>
          <w:tcPr>
            <w:tcW w:w="314" w:type="pct"/>
          </w:tcPr>
          <w:p w14:paraId="4C93B186" w14:textId="3C5BAA28" w:rsidR="005D0911" w:rsidRPr="005D0911" w:rsidRDefault="005D0911" w:rsidP="005D0911">
            <w:pPr>
              <w:pStyle w:val="TableText"/>
            </w:pPr>
            <w:r w:rsidRPr="005D0911">
              <w:t>98%</w:t>
            </w:r>
            <w:r w:rsidR="00A77327">
              <w:t xml:space="preserve"> </w:t>
            </w:r>
            <w:r w:rsidR="00271827" w:rsidRPr="00271827">
              <w:rPr>
                <w:rFonts w:ascii="Wingdings" w:eastAsia="Wingdings" w:hAnsi="Wingdings" w:cs="Calibri"/>
                <w:color w:val="FF0000"/>
                <w:szCs w:val="24"/>
                <w:lang w:val="en-GB" w:eastAsia="en-NZ"/>
              </w:rPr>
              <w:t>Þ</w:t>
            </w:r>
          </w:p>
        </w:tc>
        <w:tc>
          <w:tcPr>
            <w:tcW w:w="299" w:type="pct"/>
          </w:tcPr>
          <w:p w14:paraId="590E4F00" w14:textId="28758B50" w:rsidR="005D0911" w:rsidRPr="005D0911" w:rsidRDefault="005D0911" w:rsidP="005D0911">
            <w:pPr>
              <w:pStyle w:val="TableText"/>
            </w:pPr>
            <w:r w:rsidRPr="005D0911">
              <w:t>100%</w:t>
            </w:r>
            <w:r w:rsidR="00A77327">
              <w:t xml:space="preserve"> </w:t>
            </w:r>
            <w:r w:rsidR="00271827" w:rsidRPr="00271827">
              <w:rPr>
                <w:rFonts w:ascii="Wingdings" w:eastAsia="Wingdings" w:hAnsi="Wingdings" w:cs="Wingdings"/>
                <w:color w:val="00B050"/>
                <w:szCs w:val="24"/>
              </w:rPr>
              <w:t>Ý</w:t>
            </w:r>
          </w:p>
        </w:tc>
        <w:tc>
          <w:tcPr>
            <w:tcW w:w="347" w:type="pct"/>
          </w:tcPr>
          <w:p w14:paraId="14F98D5E" w14:textId="4679F0A9" w:rsidR="005D0911" w:rsidRPr="005D0911" w:rsidRDefault="005D0911" w:rsidP="005D0911">
            <w:pPr>
              <w:pStyle w:val="TableText"/>
            </w:pPr>
            <w:r w:rsidRPr="005D0911">
              <w:t>101%</w:t>
            </w:r>
            <w:r w:rsidR="009D4959">
              <w:t xml:space="preserve"> </w:t>
            </w:r>
            <w:r w:rsidR="00271827" w:rsidRPr="00271827">
              <w:rPr>
                <w:rFonts w:ascii="Wingdings" w:eastAsia="Wingdings" w:hAnsi="Wingdings" w:cs="Wingdings"/>
                <w:color w:val="00B050"/>
                <w:szCs w:val="24"/>
              </w:rPr>
              <w:t>Ý</w:t>
            </w:r>
          </w:p>
        </w:tc>
        <w:tc>
          <w:tcPr>
            <w:tcW w:w="1785" w:type="pct"/>
            <w:vMerge/>
            <w:shd w:val="clear" w:color="auto" w:fill="auto"/>
          </w:tcPr>
          <w:p w14:paraId="44B104DF" w14:textId="77777777" w:rsidR="005D0911" w:rsidRPr="005D0911" w:rsidRDefault="005D0911" w:rsidP="005D0911">
            <w:pPr>
              <w:pStyle w:val="TableText"/>
            </w:pPr>
          </w:p>
        </w:tc>
      </w:tr>
      <w:tr w:rsidR="00271827" w:rsidRPr="005D0911" w14:paraId="0BE92CF5" w14:textId="77777777" w:rsidTr="005A070B">
        <w:trPr>
          <w:trHeight w:val="674"/>
        </w:trPr>
        <w:tc>
          <w:tcPr>
            <w:tcW w:w="1151" w:type="pct"/>
            <w:vMerge/>
          </w:tcPr>
          <w:p w14:paraId="75602537" w14:textId="77777777" w:rsidR="005D0911" w:rsidRPr="005D0911" w:rsidRDefault="005D0911" w:rsidP="005D0911">
            <w:pPr>
              <w:pStyle w:val="TableText"/>
              <w:rPr>
                <w:lang w:val="en-GB"/>
              </w:rPr>
            </w:pPr>
          </w:p>
        </w:tc>
        <w:tc>
          <w:tcPr>
            <w:tcW w:w="501" w:type="pct"/>
          </w:tcPr>
          <w:p w14:paraId="0480AED0" w14:textId="77777777" w:rsidR="005D0911" w:rsidRPr="005D0911" w:rsidRDefault="005D0911" w:rsidP="005D0911">
            <w:pPr>
              <w:pStyle w:val="TableText"/>
              <w:rPr>
                <w:lang w:val="en-GB"/>
              </w:rPr>
            </w:pPr>
            <w:r w:rsidRPr="005D0911">
              <w:rPr>
                <w:lang w:val="en-GB"/>
              </w:rPr>
              <w:t>Asian</w:t>
            </w:r>
          </w:p>
        </w:tc>
        <w:tc>
          <w:tcPr>
            <w:tcW w:w="289" w:type="pct"/>
          </w:tcPr>
          <w:p w14:paraId="57BF108B" w14:textId="77777777" w:rsidR="005D0911" w:rsidRPr="005D0911" w:rsidRDefault="005D0911" w:rsidP="005D0911">
            <w:pPr>
              <w:pStyle w:val="TableText"/>
            </w:pPr>
            <w:r w:rsidRPr="005D0911">
              <w:t>92%</w:t>
            </w:r>
          </w:p>
        </w:tc>
        <w:tc>
          <w:tcPr>
            <w:tcW w:w="314" w:type="pct"/>
          </w:tcPr>
          <w:p w14:paraId="57EA7A10" w14:textId="17C636E7" w:rsidR="005D0911" w:rsidRPr="005D0911" w:rsidRDefault="005D0911" w:rsidP="005D0911">
            <w:pPr>
              <w:pStyle w:val="TableText"/>
            </w:pPr>
            <w:r w:rsidRPr="005D0911">
              <w:t>94%</w:t>
            </w:r>
            <w:r w:rsidR="00A81E4D">
              <w:t xml:space="preserve"> </w:t>
            </w:r>
            <w:r w:rsidR="00271827" w:rsidRPr="00271827">
              <w:rPr>
                <w:rFonts w:ascii="Wingdings" w:eastAsia="Wingdings" w:hAnsi="Wingdings" w:cs="Wingdings"/>
                <w:color w:val="00B050"/>
                <w:szCs w:val="24"/>
              </w:rPr>
              <w:t>Ý</w:t>
            </w:r>
          </w:p>
        </w:tc>
        <w:tc>
          <w:tcPr>
            <w:tcW w:w="314" w:type="pct"/>
          </w:tcPr>
          <w:p w14:paraId="5959A249" w14:textId="2560EA75" w:rsidR="005D0911" w:rsidRPr="005D0911" w:rsidRDefault="005D0911" w:rsidP="005D0911">
            <w:pPr>
              <w:pStyle w:val="TableText"/>
            </w:pPr>
            <w:r w:rsidRPr="005D0911">
              <w:t>92%</w:t>
            </w:r>
            <w:r w:rsidR="00A77327">
              <w:t xml:space="preserve"> </w:t>
            </w:r>
            <w:r w:rsidR="00271827" w:rsidRPr="00271827">
              <w:rPr>
                <w:rFonts w:ascii="Wingdings" w:eastAsia="Wingdings" w:hAnsi="Wingdings" w:cs="Calibri"/>
                <w:color w:val="FF0000"/>
                <w:szCs w:val="24"/>
                <w:lang w:val="en-GB" w:eastAsia="en-NZ"/>
              </w:rPr>
              <w:t>Þ</w:t>
            </w:r>
          </w:p>
        </w:tc>
        <w:tc>
          <w:tcPr>
            <w:tcW w:w="299" w:type="pct"/>
          </w:tcPr>
          <w:p w14:paraId="5EB3A8A1" w14:textId="73331984" w:rsidR="005D0911" w:rsidRPr="005D0911" w:rsidRDefault="005D0911" w:rsidP="005D0911">
            <w:pPr>
              <w:pStyle w:val="TableText"/>
            </w:pPr>
            <w:r w:rsidRPr="005D0911">
              <w:t>93%</w:t>
            </w:r>
            <w:r w:rsidR="00A77327">
              <w:t xml:space="preserve"> </w:t>
            </w:r>
            <w:r w:rsidR="00271827" w:rsidRPr="00271827">
              <w:rPr>
                <w:rFonts w:ascii="Wingdings" w:eastAsia="Wingdings" w:hAnsi="Wingdings" w:cs="Calibri"/>
                <w:color w:val="FF0000"/>
                <w:szCs w:val="24"/>
                <w:lang w:val="en-GB" w:eastAsia="en-NZ"/>
              </w:rPr>
              <w:t>Þ</w:t>
            </w:r>
          </w:p>
        </w:tc>
        <w:tc>
          <w:tcPr>
            <w:tcW w:w="347" w:type="pct"/>
          </w:tcPr>
          <w:p w14:paraId="2D5907B9" w14:textId="6AA35A25" w:rsidR="005D0911" w:rsidRPr="005D0911" w:rsidRDefault="005D0911" w:rsidP="005D0911">
            <w:pPr>
              <w:pStyle w:val="TableText"/>
            </w:pPr>
            <w:r w:rsidRPr="005D0911">
              <w:t>95%</w:t>
            </w:r>
            <w:r w:rsidR="00A81E4D">
              <w:t xml:space="preserve"> </w:t>
            </w:r>
            <w:r w:rsidR="00271827" w:rsidRPr="00271827">
              <w:rPr>
                <w:rFonts w:ascii="Wingdings" w:eastAsia="Wingdings" w:hAnsi="Wingdings" w:cs="Wingdings"/>
                <w:color w:val="00B050"/>
                <w:szCs w:val="24"/>
              </w:rPr>
              <w:t>Ý</w:t>
            </w:r>
          </w:p>
        </w:tc>
        <w:tc>
          <w:tcPr>
            <w:tcW w:w="1785" w:type="pct"/>
            <w:vMerge/>
            <w:shd w:val="clear" w:color="auto" w:fill="auto"/>
          </w:tcPr>
          <w:p w14:paraId="4B8A18E0" w14:textId="77777777" w:rsidR="005D0911" w:rsidRPr="005D0911" w:rsidRDefault="005D0911" w:rsidP="005D0911">
            <w:pPr>
              <w:pStyle w:val="TableText"/>
            </w:pPr>
          </w:p>
        </w:tc>
      </w:tr>
      <w:tr w:rsidR="00271827" w:rsidRPr="005D0911" w14:paraId="53B8DBB4" w14:textId="77777777" w:rsidTr="005A070B">
        <w:trPr>
          <w:trHeight w:val="300"/>
        </w:trPr>
        <w:tc>
          <w:tcPr>
            <w:tcW w:w="1151" w:type="pct"/>
            <w:vMerge/>
            <w:hideMark/>
          </w:tcPr>
          <w:p w14:paraId="0B6E75D8" w14:textId="77777777" w:rsidR="005D0911" w:rsidRPr="005D0911" w:rsidRDefault="005D0911" w:rsidP="005D0911">
            <w:pPr>
              <w:pStyle w:val="TableText"/>
              <w:rPr>
                <w:lang w:val="en-GB"/>
              </w:rPr>
            </w:pPr>
          </w:p>
        </w:tc>
        <w:tc>
          <w:tcPr>
            <w:tcW w:w="501" w:type="pct"/>
            <w:hideMark/>
          </w:tcPr>
          <w:p w14:paraId="27AB93D8" w14:textId="77777777" w:rsidR="005D0911" w:rsidRPr="005D0911" w:rsidRDefault="005D0911" w:rsidP="005D0911">
            <w:pPr>
              <w:pStyle w:val="TableText"/>
              <w:rPr>
                <w:lang w:val="en-GB"/>
              </w:rPr>
            </w:pPr>
            <w:r w:rsidRPr="005D0911">
              <w:rPr>
                <w:lang w:val="en-GB"/>
              </w:rPr>
              <w:t>Total</w:t>
            </w:r>
          </w:p>
        </w:tc>
        <w:tc>
          <w:tcPr>
            <w:tcW w:w="289" w:type="pct"/>
          </w:tcPr>
          <w:p w14:paraId="7C539E08" w14:textId="77777777" w:rsidR="005D0911" w:rsidRPr="005D0911" w:rsidRDefault="005D0911" w:rsidP="005D0911">
            <w:pPr>
              <w:pStyle w:val="TableText"/>
            </w:pPr>
            <w:r w:rsidRPr="005D0911">
              <w:t>87%</w:t>
            </w:r>
          </w:p>
        </w:tc>
        <w:tc>
          <w:tcPr>
            <w:tcW w:w="314" w:type="pct"/>
          </w:tcPr>
          <w:p w14:paraId="2EE28D92" w14:textId="013E0318" w:rsidR="005D0911" w:rsidRPr="005D0911" w:rsidRDefault="005D0911" w:rsidP="005D0911">
            <w:pPr>
              <w:pStyle w:val="TableText"/>
            </w:pPr>
            <w:r w:rsidRPr="005D0911">
              <w:t xml:space="preserve">88% </w:t>
            </w:r>
            <w:r w:rsidR="00271827" w:rsidRPr="00CE0F64">
              <w:rPr>
                <w:rFonts w:ascii="Wingdings" w:eastAsia="Wingdings" w:hAnsi="Wingdings" w:cs="Calibri"/>
                <w:b/>
                <w:color w:val="FFC000"/>
                <w:szCs w:val="24"/>
                <w:lang w:val="en-GB" w:eastAsia="en-NZ"/>
              </w:rPr>
              <w:t>Ü</w:t>
            </w:r>
          </w:p>
        </w:tc>
        <w:tc>
          <w:tcPr>
            <w:tcW w:w="314" w:type="pct"/>
          </w:tcPr>
          <w:p w14:paraId="445DECD6" w14:textId="5BB35560" w:rsidR="005D0911" w:rsidRPr="005D0911" w:rsidRDefault="005D0911" w:rsidP="005D0911">
            <w:pPr>
              <w:pStyle w:val="TableText"/>
            </w:pPr>
            <w:r w:rsidRPr="005D0911">
              <w:t xml:space="preserve">88% </w:t>
            </w:r>
            <w:r w:rsidR="00271827" w:rsidRPr="00CE0F64">
              <w:rPr>
                <w:rFonts w:ascii="Wingdings" w:eastAsia="Wingdings" w:hAnsi="Wingdings" w:cs="Calibri"/>
                <w:b/>
                <w:color w:val="FFC000"/>
                <w:szCs w:val="24"/>
                <w:lang w:val="en-GB" w:eastAsia="en-NZ"/>
              </w:rPr>
              <w:t>Ü</w:t>
            </w:r>
          </w:p>
        </w:tc>
        <w:tc>
          <w:tcPr>
            <w:tcW w:w="299" w:type="pct"/>
          </w:tcPr>
          <w:p w14:paraId="62539C91" w14:textId="5407532A" w:rsidR="005D0911" w:rsidRPr="005D0911" w:rsidRDefault="005D0911" w:rsidP="005D0911">
            <w:pPr>
              <w:pStyle w:val="TableText"/>
            </w:pPr>
            <w:r w:rsidRPr="005D0911">
              <w:t xml:space="preserve">88% </w:t>
            </w:r>
            <w:r w:rsidR="00271827" w:rsidRPr="00CE0F64">
              <w:rPr>
                <w:rFonts w:ascii="Wingdings" w:eastAsia="Wingdings" w:hAnsi="Wingdings" w:cs="Calibri"/>
                <w:b/>
                <w:color w:val="FFC000"/>
                <w:szCs w:val="24"/>
                <w:lang w:val="en-GB" w:eastAsia="en-NZ"/>
              </w:rPr>
              <w:t>Ü</w:t>
            </w:r>
          </w:p>
        </w:tc>
        <w:tc>
          <w:tcPr>
            <w:tcW w:w="347" w:type="pct"/>
          </w:tcPr>
          <w:p w14:paraId="3CAA43D0" w14:textId="166AB9B0" w:rsidR="005D0911" w:rsidRPr="005D0911" w:rsidRDefault="005D0911" w:rsidP="005D0911">
            <w:pPr>
              <w:pStyle w:val="TableText"/>
            </w:pPr>
            <w:r w:rsidRPr="005D0911">
              <w:t xml:space="preserve">88% </w:t>
            </w:r>
            <w:r w:rsidR="00271827" w:rsidRPr="00CE0F64">
              <w:rPr>
                <w:rFonts w:ascii="Wingdings" w:eastAsia="Wingdings" w:hAnsi="Wingdings" w:cs="Calibri"/>
                <w:b/>
                <w:color w:val="FFC000"/>
                <w:szCs w:val="24"/>
                <w:lang w:val="en-GB" w:eastAsia="en-NZ"/>
              </w:rPr>
              <w:t>Ü</w:t>
            </w:r>
          </w:p>
        </w:tc>
        <w:tc>
          <w:tcPr>
            <w:tcW w:w="1785" w:type="pct"/>
            <w:vMerge/>
            <w:shd w:val="clear" w:color="auto" w:fill="auto"/>
          </w:tcPr>
          <w:p w14:paraId="6AF853EF" w14:textId="77777777" w:rsidR="005D0911" w:rsidRPr="005D0911" w:rsidRDefault="005D0911" w:rsidP="005D0911">
            <w:pPr>
              <w:pStyle w:val="TableText"/>
            </w:pPr>
          </w:p>
        </w:tc>
      </w:tr>
      <w:tr w:rsidR="005D0911" w:rsidRPr="005D0911" w14:paraId="4BEC88FB" w14:textId="77777777" w:rsidTr="005A070B">
        <w:trPr>
          <w:trHeight w:val="300"/>
        </w:trPr>
        <w:tc>
          <w:tcPr>
            <w:tcW w:w="1151" w:type="pct"/>
          </w:tcPr>
          <w:p w14:paraId="75D1672C" w14:textId="77777777" w:rsidR="005D0911" w:rsidRPr="005D0911" w:rsidRDefault="005D0911" w:rsidP="005D0911">
            <w:pPr>
              <w:pStyle w:val="TableText"/>
              <w:rPr>
                <w:lang w:val="en-GB"/>
              </w:rPr>
            </w:pPr>
            <w:r w:rsidRPr="005D0911">
              <w:rPr>
                <w:lang w:val="en-GB"/>
              </w:rPr>
              <w:t>Comments</w:t>
            </w:r>
          </w:p>
        </w:tc>
        <w:tc>
          <w:tcPr>
            <w:tcW w:w="3849" w:type="pct"/>
            <w:gridSpan w:val="7"/>
          </w:tcPr>
          <w:p w14:paraId="7D6FFA91" w14:textId="77777777" w:rsidR="005D0911" w:rsidRPr="005D0911" w:rsidRDefault="005D0911" w:rsidP="005D0911">
            <w:pPr>
              <w:pStyle w:val="TableText"/>
              <w:rPr>
                <w:lang w:val="en-GB"/>
              </w:rPr>
            </w:pPr>
            <w:r w:rsidRPr="005D0911">
              <w:t xml:space="preserve">New-born enrolment rates have remained relatively stable over the past year. We have seen slight increases for Pacific, European/Other and Asian enrolments in the last quarter. However, Māori enrolment rates remain well below the total, Asian, and European/Other groups.  </w:t>
            </w:r>
          </w:p>
        </w:tc>
      </w:tr>
    </w:tbl>
    <w:p w14:paraId="0083D98A" w14:textId="77777777" w:rsidR="005D0911" w:rsidRDefault="005D0911" w:rsidP="00E92FE9">
      <w:pPr>
        <w:pStyle w:val="TableText"/>
      </w:pPr>
    </w:p>
    <w:tbl>
      <w:tblPr>
        <w:tblStyle w:val="TeWhatuOra"/>
        <w:tblW w:w="5000" w:type="pct"/>
        <w:tblLook w:val="0420" w:firstRow="1" w:lastRow="0" w:firstColumn="0" w:lastColumn="0" w:noHBand="0" w:noVBand="1"/>
      </w:tblPr>
      <w:tblGrid>
        <w:gridCol w:w="4984"/>
        <w:gridCol w:w="2110"/>
        <w:gridCol w:w="1270"/>
        <w:gridCol w:w="1365"/>
        <w:gridCol w:w="1270"/>
        <w:gridCol w:w="1365"/>
        <w:gridCol w:w="1464"/>
        <w:gridCol w:w="7705"/>
      </w:tblGrid>
      <w:tr w:rsidR="00271827" w:rsidRPr="005D0911" w14:paraId="53A5DBC2" w14:textId="77777777" w:rsidTr="00D33BCA">
        <w:trPr>
          <w:cnfStyle w:val="100000000000" w:firstRow="1" w:lastRow="0" w:firstColumn="0" w:lastColumn="0" w:oddVBand="0" w:evenVBand="0" w:oddHBand="0" w:evenHBand="0" w:firstRowFirstColumn="0" w:firstRowLastColumn="0" w:lastRowFirstColumn="0" w:lastRowLastColumn="0"/>
          <w:trHeight w:val="363"/>
        </w:trPr>
        <w:tc>
          <w:tcPr>
            <w:tcW w:w="1157" w:type="pct"/>
          </w:tcPr>
          <w:p w14:paraId="0F78CB7F" w14:textId="77777777" w:rsidR="005D0911" w:rsidRPr="005D0911" w:rsidRDefault="005D0911" w:rsidP="005D0911">
            <w:r w:rsidRPr="005D0911">
              <w:rPr>
                <w:lang w:val="en-GB"/>
              </w:rPr>
              <w:t>Measure</w:t>
            </w:r>
          </w:p>
        </w:tc>
        <w:tc>
          <w:tcPr>
            <w:tcW w:w="490" w:type="pct"/>
          </w:tcPr>
          <w:p w14:paraId="28237E83" w14:textId="77777777" w:rsidR="005D0911" w:rsidRPr="005D0911" w:rsidRDefault="005D0911" w:rsidP="005D0911">
            <w:pPr>
              <w:rPr>
                <w:lang w:val="en-GB"/>
              </w:rPr>
            </w:pPr>
            <w:r w:rsidRPr="005D0911">
              <w:rPr>
                <w:lang w:val="en-GB"/>
              </w:rPr>
              <w:t>Ethnic group</w:t>
            </w:r>
          </w:p>
        </w:tc>
        <w:tc>
          <w:tcPr>
            <w:tcW w:w="295" w:type="pct"/>
          </w:tcPr>
          <w:p w14:paraId="74B923FB" w14:textId="77777777" w:rsidR="005D0911" w:rsidRPr="005D0911" w:rsidRDefault="005D0911" w:rsidP="005D0911">
            <w:pPr>
              <w:rPr>
                <w:lang w:val="en-GB"/>
              </w:rPr>
            </w:pPr>
            <w:r w:rsidRPr="005D0911">
              <w:rPr>
                <w:lang w:val="en-GB"/>
              </w:rPr>
              <w:t>Q1</w:t>
            </w:r>
          </w:p>
          <w:p w14:paraId="7DA63D74" w14:textId="77777777" w:rsidR="005D0911" w:rsidRPr="005D0911" w:rsidRDefault="005D0911" w:rsidP="005D0911">
            <w:pPr>
              <w:rPr>
                <w:lang w:val="en-GB"/>
              </w:rPr>
            </w:pPr>
            <w:r w:rsidRPr="005D0911">
              <w:rPr>
                <w:lang w:val="en-GB"/>
              </w:rPr>
              <w:t>2022-23</w:t>
            </w:r>
          </w:p>
        </w:tc>
        <w:tc>
          <w:tcPr>
            <w:tcW w:w="317" w:type="pct"/>
          </w:tcPr>
          <w:p w14:paraId="6D909348" w14:textId="77777777" w:rsidR="005D0911" w:rsidRPr="005D0911" w:rsidRDefault="005D0911" w:rsidP="005D0911">
            <w:pPr>
              <w:rPr>
                <w:lang w:val="en-GB"/>
              </w:rPr>
            </w:pPr>
            <w:r w:rsidRPr="005D0911">
              <w:rPr>
                <w:lang w:val="en-GB"/>
              </w:rPr>
              <w:t>Q2</w:t>
            </w:r>
          </w:p>
          <w:p w14:paraId="5E6F3301" w14:textId="77777777" w:rsidR="005D0911" w:rsidRPr="005D0911" w:rsidRDefault="005D0911" w:rsidP="005D0911">
            <w:pPr>
              <w:rPr>
                <w:lang w:val="en-GB"/>
              </w:rPr>
            </w:pPr>
            <w:r w:rsidRPr="005D0911">
              <w:rPr>
                <w:lang w:val="en-GB"/>
              </w:rPr>
              <w:t>2022-23</w:t>
            </w:r>
          </w:p>
        </w:tc>
        <w:tc>
          <w:tcPr>
            <w:tcW w:w="295" w:type="pct"/>
          </w:tcPr>
          <w:p w14:paraId="6B04A552" w14:textId="77777777" w:rsidR="005D0911" w:rsidRPr="005D0911" w:rsidRDefault="005D0911" w:rsidP="005D0911">
            <w:pPr>
              <w:rPr>
                <w:lang w:val="en-GB"/>
              </w:rPr>
            </w:pPr>
            <w:r w:rsidRPr="005D0911">
              <w:rPr>
                <w:lang w:val="en-GB"/>
              </w:rPr>
              <w:t>Q3</w:t>
            </w:r>
          </w:p>
          <w:p w14:paraId="2C473393" w14:textId="77777777" w:rsidR="005D0911" w:rsidRPr="005D0911" w:rsidRDefault="005D0911" w:rsidP="005D0911">
            <w:pPr>
              <w:rPr>
                <w:lang w:val="en-GB"/>
              </w:rPr>
            </w:pPr>
            <w:r w:rsidRPr="005D0911">
              <w:rPr>
                <w:lang w:val="en-GB"/>
              </w:rPr>
              <w:t>2022-23</w:t>
            </w:r>
          </w:p>
        </w:tc>
        <w:tc>
          <w:tcPr>
            <w:tcW w:w="317" w:type="pct"/>
          </w:tcPr>
          <w:p w14:paraId="429260C0" w14:textId="77777777" w:rsidR="005D0911" w:rsidRPr="005D0911" w:rsidRDefault="005D0911" w:rsidP="005D0911">
            <w:pPr>
              <w:rPr>
                <w:lang w:val="en-GB"/>
              </w:rPr>
            </w:pPr>
            <w:r w:rsidRPr="005D0911">
              <w:rPr>
                <w:lang w:val="en-GB"/>
              </w:rPr>
              <w:t>Q4</w:t>
            </w:r>
          </w:p>
          <w:p w14:paraId="04967122" w14:textId="77777777" w:rsidR="005D0911" w:rsidRPr="005D0911" w:rsidRDefault="005D0911" w:rsidP="005D0911">
            <w:pPr>
              <w:rPr>
                <w:lang w:val="en-GB"/>
              </w:rPr>
            </w:pPr>
            <w:r w:rsidRPr="005D0911">
              <w:rPr>
                <w:lang w:val="en-GB"/>
              </w:rPr>
              <w:t>2022-23</w:t>
            </w:r>
          </w:p>
        </w:tc>
        <w:tc>
          <w:tcPr>
            <w:tcW w:w="340" w:type="pct"/>
          </w:tcPr>
          <w:p w14:paraId="1A7ECE7D" w14:textId="77777777" w:rsidR="005D0911" w:rsidRPr="005D0911" w:rsidRDefault="005D0911" w:rsidP="005D0911">
            <w:pPr>
              <w:rPr>
                <w:lang w:val="en-GB"/>
              </w:rPr>
            </w:pPr>
            <w:r w:rsidRPr="005D0911">
              <w:rPr>
                <w:lang w:val="en-GB"/>
              </w:rPr>
              <w:t>Q1</w:t>
            </w:r>
          </w:p>
          <w:p w14:paraId="0DC4608A" w14:textId="77777777" w:rsidR="005D0911" w:rsidRPr="005D0911" w:rsidRDefault="005D0911" w:rsidP="005D0911">
            <w:pPr>
              <w:rPr>
                <w:lang w:val="en-GB"/>
              </w:rPr>
            </w:pPr>
            <w:r w:rsidRPr="005D0911">
              <w:rPr>
                <w:lang w:val="en-GB"/>
              </w:rPr>
              <w:t>2023-24</w:t>
            </w:r>
          </w:p>
        </w:tc>
        <w:tc>
          <w:tcPr>
            <w:tcW w:w="1789" w:type="pct"/>
            <w:vMerge w:val="restart"/>
            <w:shd w:val="clear" w:color="auto" w:fill="auto"/>
          </w:tcPr>
          <w:p w14:paraId="41B83A6A" w14:textId="77777777" w:rsidR="005D0911" w:rsidRPr="005D0911" w:rsidRDefault="005D0911" w:rsidP="005D0911">
            <w:pPr>
              <w:rPr>
                <w:lang w:val="en-GB"/>
              </w:rPr>
            </w:pPr>
            <w:r w:rsidRPr="005D0911">
              <w:rPr>
                <w:noProof/>
                <w:lang w:val="en-GB"/>
              </w:rPr>
              <w:drawing>
                <wp:inline distT="0" distB="0" distL="0" distR="0" wp14:anchorId="14E704B9" wp14:editId="7BD9AB6D">
                  <wp:extent cx="4715096" cy="2393343"/>
                  <wp:effectExtent l="0" t="0" r="0" b="6985"/>
                  <wp:docPr id="6" name="Chart 6" descr="Chart showing Percentage of people who say they felt involved in their own care and treatment with their GP or nurs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5D0911" w:rsidRPr="005D0911" w14:paraId="42FF4DAE" w14:textId="77777777" w:rsidTr="00D33BCA">
        <w:trPr>
          <w:trHeight w:val="467"/>
        </w:trPr>
        <w:tc>
          <w:tcPr>
            <w:tcW w:w="1157" w:type="pct"/>
            <w:vMerge w:val="restart"/>
          </w:tcPr>
          <w:p w14:paraId="1CEC86DB" w14:textId="72D87305" w:rsidR="005D0911" w:rsidRPr="005D0911" w:rsidRDefault="005D0911" w:rsidP="005D0911">
            <w:pPr>
              <w:rPr>
                <w:vertAlign w:val="superscript"/>
              </w:rPr>
            </w:pPr>
            <w:r w:rsidRPr="005D0911">
              <w:t xml:space="preserve">Percentage of people who say they felt involved in their own care and treatment with their GP or nurse </w:t>
            </w:r>
            <w:r w:rsidRPr="005D0911">
              <w:rPr>
                <w:vertAlign w:val="superscript"/>
              </w:rPr>
              <w:fldChar w:fldCharType="begin"/>
            </w:r>
            <w:r w:rsidRPr="005D0911">
              <w:rPr>
                <w:vertAlign w:val="superscript"/>
              </w:rPr>
              <w:instrText xml:space="preserve"> NOTEREF _Ref155606579  \* MERGEFORMAT </w:instrText>
            </w:r>
            <w:r w:rsidRPr="005D0911">
              <w:rPr>
                <w:vertAlign w:val="superscript"/>
              </w:rPr>
              <w:fldChar w:fldCharType="separate"/>
            </w:r>
            <w:r w:rsidR="001415FE">
              <w:rPr>
                <w:vertAlign w:val="superscript"/>
              </w:rPr>
              <w:t>2</w:t>
            </w:r>
            <w:r w:rsidRPr="005D0911">
              <w:fldChar w:fldCharType="end"/>
            </w:r>
            <w:r w:rsidRPr="005D0911">
              <w:rPr>
                <w:vertAlign w:val="superscript"/>
              </w:rPr>
              <w:t>,</w:t>
            </w:r>
            <w:r w:rsidRPr="005D0911">
              <w:rPr>
                <w:vertAlign w:val="superscript"/>
              </w:rPr>
              <w:footnoteReference w:id="4"/>
            </w:r>
            <w:r w:rsidRPr="005D0911">
              <w:t>.</w:t>
            </w:r>
          </w:p>
          <w:p w14:paraId="38FE502F" w14:textId="77777777" w:rsidR="005D0911" w:rsidRPr="005D0911" w:rsidRDefault="005D0911" w:rsidP="005D0911">
            <w:pPr>
              <w:rPr>
                <w:vertAlign w:val="superscript"/>
              </w:rPr>
            </w:pPr>
          </w:p>
          <w:p w14:paraId="0F56DFA3" w14:textId="77777777" w:rsidR="005D0911" w:rsidRPr="005D0911" w:rsidRDefault="005D0911" w:rsidP="005D0911">
            <w:pPr>
              <w:rPr>
                <w:vertAlign w:val="superscript"/>
              </w:rPr>
            </w:pPr>
          </w:p>
          <w:p w14:paraId="12CE2B69" w14:textId="77777777" w:rsidR="005D0911" w:rsidRPr="005D0911" w:rsidRDefault="005D0911" w:rsidP="005D0911">
            <w:pPr>
              <w:rPr>
                <w:lang w:val="en-GB"/>
              </w:rPr>
            </w:pPr>
            <w:r w:rsidRPr="005D0911">
              <w:t>Target: Improve from baseline (trend to increase)</w:t>
            </w:r>
          </w:p>
        </w:tc>
        <w:tc>
          <w:tcPr>
            <w:tcW w:w="490" w:type="pct"/>
          </w:tcPr>
          <w:p w14:paraId="0A6421A8" w14:textId="77777777" w:rsidR="005D0911" w:rsidRPr="005D0911" w:rsidRDefault="005D0911" w:rsidP="005D0911">
            <w:r w:rsidRPr="005D0911">
              <w:rPr>
                <w:lang w:val="en-GB"/>
              </w:rPr>
              <w:t>Māori</w:t>
            </w:r>
          </w:p>
        </w:tc>
        <w:tc>
          <w:tcPr>
            <w:tcW w:w="295" w:type="pct"/>
          </w:tcPr>
          <w:p w14:paraId="3E6BDA96" w14:textId="77777777" w:rsidR="005D0911" w:rsidRPr="005D0911" w:rsidRDefault="005D0911" w:rsidP="005D0911">
            <w:r w:rsidRPr="005D0911">
              <w:t>85%</w:t>
            </w:r>
          </w:p>
        </w:tc>
        <w:tc>
          <w:tcPr>
            <w:tcW w:w="317" w:type="pct"/>
          </w:tcPr>
          <w:p w14:paraId="4AAD7AF1" w14:textId="34B3EBD0" w:rsidR="005D0911" w:rsidRPr="005D0911" w:rsidRDefault="005D0911" w:rsidP="005D0911">
            <w:r w:rsidRPr="005D0911">
              <w:t xml:space="preserve">85% </w:t>
            </w:r>
            <w:r w:rsidR="00271827" w:rsidRPr="00CE0F64">
              <w:rPr>
                <w:rFonts w:ascii="Wingdings" w:eastAsia="Wingdings" w:hAnsi="Wingdings" w:cs="Calibri"/>
                <w:b/>
                <w:color w:val="FFC000"/>
                <w:szCs w:val="24"/>
                <w:lang w:val="en-GB" w:eastAsia="en-NZ"/>
              </w:rPr>
              <w:t>Ü</w:t>
            </w:r>
          </w:p>
        </w:tc>
        <w:tc>
          <w:tcPr>
            <w:tcW w:w="295" w:type="pct"/>
          </w:tcPr>
          <w:p w14:paraId="7C525034" w14:textId="5C07734B" w:rsidR="005D0911" w:rsidRPr="005D0911" w:rsidRDefault="005D0911" w:rsidP="005D0911">
            <w:r w:rsidRPr="005D0911">
              <w:t>84%</w:t>
            </w:r>
            <w:r w:rsidRPr="005D0911">
              <w:rPr>
                <w:lang w:val="en-GB"/>
              </w:rPr>
              <w:t xml:space="preserve"> </w:t>
            </w:r>
            <w:r w:rsidR="00271827" w:rsidRPr="00271827">
              <w:rPr>
                <w:rFonts w:ascii="Wingdings" w:eastAsia="Wingdings" w:hAnsi="Wingdings" w:cs="Calibri"/>
                <w:color w:val="FF0000"/>
                <w:szCs w:val="24"/>
                <w:lang w:val="en-GB" w:eastAsia="en-NZ"/>
              </w:rPr>
              <w:t>Þ</w:t>
            </w:r>
          </w:p>
        </w:tc>
        <w:tc>
          <w:tcPr>
            <w:tcW w:w="317" w:type="pct"/>
          </w:tcPr>
          <w:p w14:paraId="7CDBE73A" w14:textId="3156CA90" w:rsidR="005D0911" w:rsidRPr="005D0911" w:rsidRDefault="005D0911" w:rsidP="005D0911">
            <w:r w:rsidRPr="005D0911">
              <w:t xml:space="preserve">86% </w:t>
            </w:r>
            <w:r w:rsidR="00271827" w:rsidRPr="00271827">
              <w:rPr>
                <w:rFonts w:ascii="Wingdings" w:eastAsia="Wingdings" w:hAnsi="Wingdings" w:cs="Wingdings"/>
                <w:color w:val="00B050"/>
                <w:szCs w:val="24"/>
              </w:rPr>
              <w:t>Ý</w:t>
            </w:r>
          </w:p>
        </w:tc>
        <w:tc>
          <w:tcPr>
            <w:tcW w:w="340" w:type="pct"/>
          </w:tcPr>
          <w:p w14:paraId="1B42A484" w14:textId="0C86A182" w:rsidR="005D0911" w:rsidRPr="005D0911" w:rsidRDefault="005D0911" w:rsidP="005D0911">
            <w:r w:rsidRPr="005D0911">
              <w:t xml:space="preserve">86% </w:t>
            </w:r>
            <w:r w:rsidR="00271827" w:rsidRPr="00CE0F64">
              <w:rPr>
                <w:rFonts w:ascii="Wingdings" w:eastAsia="Wingdings" w:hAnsi="Wingdings" w:cs="Calibri"/>
                <w:b/>
                <w:color w:val="FFC000"/>
                <w:szCs w:val="24"/>
                <w:lang w:val="en-GB" w:eastAsia="en-NZ"/>
              </w:rPr>
              <w:t>Ü</w:t>
            </w:r>
          </w:p>
        </w:tc>
        <w:tc>
          <w:tcPr>
            <w:tcW w:w="1789" w:type="pct"/>
            <w:vMerge/>
            <w:shd w:val="clear" w:color="auto" w:fill="auto"/>
          </w:tcPr>
          <w:p w14:paraId="66AE2CF3" w14:textId="77777777" w:rsidR="005D0911" w:rsidRPr="005D0911" w:rsidRDefault="005D0911" w:rsidP="005D0911"/>
        </w:tc>
      </w:tr>
      <w:tr w:rsidR="005D0911" w:rsidRPr="005D0911" w14:paraId="5304055F" w14:textId="77777777" w:rsidTr="00D33BCA">
        <w:trPr>
          <w:trHeight w:val="575"/>
        </w:trPr>
        <w:tc>
          <w:tcPr>
            <w:tcW w:w="1157" w:type="pct"/>
            <w:vMerge/>
          </w:tcPr>
          <w:p w14:paraId="5753D929" w14:textId="77777777" w:rsidR="005D0911" w:rsidRPr="005D0911" w:rsidRDefault="005D0911" w:rsidP="005D0911"/>
        </w:tc>
        <w:tc>
          <w:tcPr>
            <w:tcW w:w="490" w:type="pct"/>
          </w:tcPr>
          <w:p w14:paraId="46BEE8A3" w14:textId="77777777" w:rsidR="005D0911" w:rsidRPr="005D0911" w:rsidRDefault="005D0911" w:rsidP="005D0911">
            <w:r w:rsidRPr="005D0911">
              <w:rPr>
                <w:lang w:val="en-GB"/>
              </w:rPr>
              <w:t>Pacific</w:t>
            </w:r>
          </w:p>
        </w:tc>
        <w:tc>
          <w:tcPr>
            <w:tcW w:w="295" w:type="pct"/>
          </w:tcPr>
          <w:p w14:paraId="24EFA0E4" w14:textId="77777777" w:rsidR="005D0911" w:rsidRPr="005D0911" w:rsidRDefault="005D0911" w:rsidP="005D0911">
            <w:r w:rsidRPr="005D0911">
              <w:t>87%</w:t>
            </w:r>
          </w:p>
        </w:tc>
        <w:tc>
          <w:tcPr>
            <w:tcW w:w="317" w:type="pct"/>
          </w:tcPr>
          <w:p w14:paraId="17FBFEFB" w14:textId="153FC090" w:rsidR="005D0911" w:rsidRPr="005D0911" w:rsidRDefault="005D0911" w:rsidP="005D0911">
            <w:r w:rsidRPr="005D0911">
              <w:t>84%</w:t>
            </w:r>
            <w:r w:rsidRPr="005D0911">
              <w:rPr>
                <w:lang w:val="en-GB"/>
              </w:rPr>
              <w:t xml:space="preserve"> </w:t>
            </w:r>
            <w:r w:rsidR="00271827" w:rsidRPr="00271827">
              <w:rPr>
                <w:rFonts w:ascii="Wingdings" w:eastAsia="Wingdings" w:hAnsi="Wingdings" w:cs="Calibri"/>
                <w:color w:val="FF0000"/>
                <w:szCs w:val="24"/>
                <w:lang w:val="en-GB" w:eastAsia="en-NZ"/>
              </w:rPr>
              <w:t>Þ</w:t>
            </w:r>
          </w:p>
        </w:tc>
        <w:tc>
          <w:tcPr>
            <w:tcW w:w="295" w:type="pct"/>
          </w:tcPr>
          <w:p w14:paraId="3971A6D8" w14:textId="199C74EE" w:rsidR="005D0911" w:rsidRPr="005D0911" w:rsidRDefault="005D0911" w:rsidP="005D0911">
            <w:r w:rsidRPr="005D0911">
              <w:t xml:space="preserve">85% </w:t>
            </w:r>
            <w:r w:rsidR="00271827" w:rsidRPr="00271827">
              <w:rPr>
                <w:rFonts w:ascii="Wingdings" w:eastAsia="Wingdings" w:hAnsi="Wingdings" w:cs="Wingdings"/>
                <w:color w:val="00B050"/>
                <w:szCs w:val="24"/>
              </w:rPr>
              <w:t>Ý</w:t>
            </w:r>
          </w:p>
        </w:tc>
        <w:tc>
          <w:tcPr>
            <w:tcW w:w="317" w:type="pct"/>
          </w:tcPr>
          <w:p w14:paraId="581A8721" w14:textId="116A3B8F" w:rsidR="005D0911" w:rsidRPr="005D0911" w:rsidRDefault="005D0911" w:rsidP="005D0911">
            <w:r w:rsidRPr="005D0911">
              <w:t xml:space="preserve">86% </w:t>
            </w:r>
            <w:r w:rsidR="00271827" w:rsidRPr="00271827">
              <w:rPr>
                <w:rFonts w:ascii="Wingdings" w:eastAsia="Wingdings" w:hAnsi="Wingdings" w:cs="Wingdings"/>
                <w:color w:val="00B050"/>
                <w:szCs w:val="24"/>
              </w:rPr>
              <w:t>Ý</w:t>
            </w:r>
          </w:p>
        </w:tc>
        <w:tc>
          <w:tcPr>
            <w:tcW w:w="340" w:type="pct"/>
          </w:tcPr>
          <w:p w14:paraId="0CBEF4F4" w14:textId="2AE0B2AE" w:rsidR="005D0911" w:rsidRPr="005D0911" w:rsidRDefault="005D0911" w:rsidP="005D0911">
            <w:r w:rsidRPr="005D0911">
              <w:t>85%</w:t>
            </w:r>
            <w:r w:rsidRPr="005D0911">
              <w:rPr>
                <w:lang w:val="en-GB"/>
              </w:rPr>
              <w:t xml:space="preserve"> </w:t>
            </w:r>
            <w:r w:rsidR="00271827" w:rsidRPr="00271827">
              <w:rPr>
                <w:rFonts w:ascii="Wingdings" w:eastAsia="Wingdings" w:hAnsi="Wingdings" w:cs="Calibri"/>
                <w:color w:val="FF0000"/>
                <w:szCs w:val="24"/>
                <w:lang w:val="en-GB" w:eastAsia="en-NZ"/>
              </w:rPr>
              <w:t>Þ</w:t>
            </w:r>
          </w:p>
        </w:tc>
        <w:tc>
          <w:tcPr>
            <w:tcW w:w="1789" w:type="pct"/>
            <w:vMerge/>
            <w:shd w:val="clear" w:color="auto" w:fill="auto"/>
          </w:tcPr>
          <w:p w14:paraId="14C7E0B4" w14:textId="77777777" w:rsidR="005D0911" w:rsidRPr="005D0911" w:rsidRDefault="005D0911" w:rsidP="005D0911"/>
        </w:tc>
      </w:tr>
      <w:tr w:rsidR="005D0911" w:rsidRPr="005D0911" w14:paraId="3EEA8D89" w14:textId="77777777" w:rsidTr="00D33BCA">
        <w:trPr>
          <w:trHeight w:val="684"/>
        </w:trPr>
        <w:tc>
          <w:tcPr>
            <w:tcW w:w="1157" w:type="pct"/>
            <w:vMerge/>
          </w:tcPr>
          <w:p w14:paraId="5C4EFF40" w14:textId="77777777" w:rsidR="005D0911" w:rsidRPr="005D0911" w:rsidRDefault="005D0911" w:rsidP="005D0911"/>
        </w:tc>
        <w:tc>
          <w:tcPr>
            <w:tcW w:w="490" w:type="pct"/>
          </w:tcPr>
          <w:p w14:paraId="5DA3301C" w14:textId="2CE8F6FA" w:rsidR="005D0911" w:rsidRPr="005D0911" w:rsidRDefault="005D0911" w:rsidP="005D0911">
            <w:pPr>
              <w:rPr>
                <w:lang w:val="en-GB"/>
              </w:rPr>
            </w:pPr>
            <w:r w:rsidRPr="005D0911">
              <w:rPr>
                <w:lang w:val="en-GB"/>
              </w:rPr>
              <w:t xml:space="preserve">European and </w:t>
            </w:r>
            <w:r w:rsidR="00BB6E0B">
              <w:rPr>
                <w:lang w:val="en-GB"/>
              </w:rPr>
              <w:t>a</w:t>
            </w:r>
            <w:r w:rsidRPr="005D0911">
              <w:rPr>
                <w:lang w:val="en-GB"/>
              </w:rPr>
              <w:t>ll other ethnicities</w:t>
            </w:r>
          </w:p>
        </w:tc>
        <w:tc>
          <w:tcPr>
            <w:tcW w:w="295" w:type="pct"/>
          </w:tcPr>
          <w:p w14:paraId="587997A9" w14:textId="77777777" w:rsidR="005D0911" w:rsidRPr="005D0911" w:rsidRDefault="005D0911" w:rsidP="005D0911">
            <w:r w:rsidRPr="005D0911">
              <w:t>87%</w:t>
            </w:r>
          </w:p>
        </w:tc>
        <w:tc>
          <w:tcPr>
            <w:tcW w:w="317" w:type="pct"/>
          </w:tcPr>
          <w:p w14:paraId="4BBC010A" w14:textId="0F5246E6" w:rsidR="005D0911" w:rsidRPr="005D0911" w:rsidRDefault="005D0911" w:rsidP="005D0911">
            <w:r w:rsidRPr="005D0911">
              <w:t>86%</w:t>
            </w:r>
            <w:r w:rsidRPr="005D0911">
              <w:rPr>
                <w:lang w:val="en-GB"/>
              </w:rPr>
              <w:t xml:space="preserve"> </w:t>
            </w:r>
            <w:r w:rsidR="00271827" w:rsidRPr="00271827">
              <w:rPr>
                <w:rFonts w:ascii="Wingdings" w:eastAsia="Wingdings" w:hAnsi="Wingdings" w:cs="Calibri"/>
                <w:color w:val="FF0000"/>
                <w:szCs w:val="24"/>
                <w:lang w:val="en-GB" w:eastAsia="en-NZ"/>
              </w:rPr>
              <w:t>Þ</w:t>
            </w:r>
          </w:p>
        </w:tc>
        <w:tc>
          <w:tcPr>
            <w:tcW w:w="295" w:type="pct"/>
          </w:tcPr>
          <w:p w14:paraId="0680C3E3" w14:textId="5281AC11" w:rsidR="005D0911" w:rsidRPr="005D0911" w:rsidRDefault="005D0911" w:rsidP="005D0911">
            <w:r w:rsidRPr="005D0911">
              <w:t xml:space="preserve">87% </w:t>
            </w:r>
            <w:r w:rsidR="00271827" w:rsidRPr="00271827">
              <w:rPr>
                <w:rFonts w:ascii="Wingdings" w:eastAsia="Wingdings" w:hAnsi="Wingdings" w:cs="Wingdings"/>
                <w:color w:val="00B050"/>
                <w:szCs w:val="24"/>
              </w:rPr>
              <w:t>Ý</w:t>
            </w:r>
          </w:p>
        </w:tc>
        <w:tc>
          <w:tcPr>
            <w:tcW w:w="317" w:type="pct"/>
          </w:tcPr>
          <w:p w14:paraId="14E79A7C" w14:textId="72D84582" w:rsidR="005D0911" w:rsidRPr="005D0911" w:rsidRDefault="005D0911" w:rsidP="005D0911">
            <w:r w:rsidRPr="005D0911">
              <w:t>86%</w:t>
            </w:r>
            <w:r w:rsidRPr="005D0911">
              <w:rPr>
                <w:lang w:val="en-GB"/>
              </w:rPr>
              <w:t xml:space="preserve"> </w:t>
            </w:r>
            <w:r w:rsidR="00271827" w:rsidRPr="00271827">
              <w:rPr>
                <w:rFonts w:ascii="Wingdings" w:eastAsia="Wingdings" w:hAnsi="Wingdings" w:cs="Calibri"/>
                <w:color w:val="FF0000"/>
                <w:szCs w:val="24"/>
                <w:lang w:val="en-GB" w:eastAsia="en-NZ"/>
              </w:rPr>
              <w:t>Þ</w:t>
            </w:r>
          </w:p>
        </w:tc>
        <w:tc>
          <w:tcPr>
            <w:tcW w:w="340" w:type="pct"/>
          </w:tcPr>
          <w:p w14:paraId="141E314F" w14:textId="2699F4AF" w:rsidR="005D0911" w:rsidRPr="005D0911" w:rsidRDefault="005D0911" w:rsidP="005D0911">
            <w:r w:rsidRPr="005D0911">
              <w:t xml:space="preserve">87% </w:t>
            </w:r>
            <w:r w:rsidR="00271827" w:rsidRPr="00271827">
              <w:rPr>
                <w:rFonts w:ascii="Wingdings" w:eastAsia="Wingdings" w:hAnsi="Wingdings" w:cs="Wingdings"/>
                <w:color w:val="00B050"/>
                <w:szCs w:val="24"/>
              </w:rPr>
              <w:t>Ý</w:t>
            </w:r>
          </w:p>
        </w:tc>
        <w:tc>
          <w:tcPr>
            <w:tcW w:w="1789" w:type="pct"/>
            <w:vMerge/>
            <w:shd w:val="clear" w:color="auto" w:fill="auto"/>
          </w:tcPr>
          <w:p w14:paraId="65566842" w14:textId="77777777" w:rsidR="005D0911" w:rsidRPr="005D0911" w:rsidRDefault="005D0911" w:rsidP="005D0911"/>
        </w:tc>
      </w:tr>
      <w:tr w:rsidR="005D0911" w:rsidRPr="005D0911" w14:paraId="3942E8A4" w14:textId="77777777" w:rsidTr="00D33BCA">
        <w:trPr>
          <w:trHeight w:val="583"/>
        </w:trPr>
        <w:tc>
          <w:tcPr>
            <w:tcW w:w="1157" w:type="pct"/>
            <w:vMerge/>
          </w:tcPr>
          <w:p w14:paraId="47448747" w14:textId="77777777" w:rsidR="005D0911" w:rsidRPr="005D0911" w:rsidRDefault="005D0911" w:rsidP="005D0911"/>
        </w:tc>
        <w:tc>
          <w:tcPr>
            <w:tcW w:w="490" w:type="pct"/>
          </w:tcPr>
          <w:p w14:paraId="2B0685B6" w14:textId="77777777" w:rsidR="005D0911" w:rsidRPr="005D0911" w:rsidRDefault="005D0911" w:rsidP="005D0911">
            <w:r w:rsidRPr="005D0911">
              <w:rPr>
                <w:lang w:val="en-GB"/>
              </w:rPr>
              <w:t>Asian</w:t>
            </w:r>
          </w:p>
        </w:tc>
        <w:tc>
          <w:tcPr>
            <w:tcW w:w="295" w:type="pct"/>
          </w:tcPr>
          <w:p w14:paraId="34446591" w14:textId="77777777" w:rsidR="005D0911" w:rsidRPr="005D0911" w:rsidRDefault="005D0911" w:rsidP="005D0911">
            <w:r w:rsidRPr="005D0911">
              <w:t>86%</w:t>
            </w:r>
          </w:p>
        </w:tc>
        <w:tc>
          <w:tcPr>
            <w:tcW w:w="317" w:type="pct"/>
          </w:tcPr>
          <w:p w14:paraId="3EF94C55" w14:textId="7D51FD1F" w:rsidR="005D0911" w:rsidRPr="005D0911" w:rsidRDefault="005D0911" w:rsidP="005D0911">
            <w:r w:rsidRPr="005D0911">
              <w:t>84%</w:t>
            </w:r>
            <w:r w:rsidRPr="005D0911">
              <w:rPr>
                <w:lang w:val="en-GB"/>
              </w:rPr>
              <w:t xml:space="preserve"> </w:t>
            </w:r>
            <w:r w:rsidR="00271827" w:rsidRPr="00271827">
              <w:rPr>
                <w:rFonts w:ascii="Wingdings" w:eastAsia="Wingdings" w:hAnsi="Wingdings" w:cs="Calibri"/>
                <w:color w:val="FF0000"/>
                <w:szCs w:val="24"/>
                <w:lang w:val="en-GB" w:eastAsia="en-NZ"/>
              </w:rPr>
              <w:t>Þ</w:t>
            </w:r>
          </w:p>
        </w:tc>
        <w:tc>
          <w:tcPr>
            <w:tcW w:w="295" w:type="pct"/>
          </w:tcPr>
          <w:p w14:paraId="7CF23EDA" w14:textId="17FE55E4" w:rsidR="005D0911" w:rsidRPr="005D0911" w:rsidRDefault="005D0911" w:rsidP="005D0911">
            <w:r w:rsidRPr="005D0911">
              <w:t xml:space="preserve">84% </w:t>
            </w:r>
            <w:r w:rsidR="00271827" w:rsidRPr="00CE0F64">
              <w:rPr>
                <w:rFonts w:ascii="Wingdings" w:eastAsia="Wingdings" w:hAnsi="Wingdings" w:cs="Calibri"/>
                <w:b/>
                <w:color w:val="FFC000"/>
                <w:szCs w:val="24"/>
                <w:lang w:val="en-GB" w:eastAsia="en-NZ"/>
              </w:rPr>
              <w:t>Ü</w:t>
            </w:r>
          </w:p>
        </w:tc>
        <w:tc>
          <w:tcPr>
            <w:tcW w:w="317" w:type="pct"/>
          </w:tcPr>
          <w:p w14:paraId="74623990" w14:textId="43E3F00B" w:rsidR="005D0911" w:rsidRPr="005D0911" w:rsidRDefault="005D0911" w:rsidP="005D0911">
            <w:r w:rsidRPr="005D0911">
              <w:t xml:space="preserve">85% </w:t>
            </w:r>
            <w:r w:rsidR="00271827" w:rsidRPr="00271827">
              <w:rPr>
                <w:rFonts w:ascii="Wingdings" w:eastAsia="Wingdings" w:hAnsi="Wingdings" w:cs="Wingdings"/>
                <w:color w:val="00B050"/>
                <w:szCs w:val="24"/>
              </w:rPr>
              <w:t>Ý</w:t>
            </w:r>
          </w:p>
        </w:tc>
        <w:tc>
          <w:tcPr>
            <w:tcW w:w="340" w:type="pct"/>
          </w:tcPr>
          <w:p w14:paraId="774739A1" w14:textId="173F087D" w:rsidR="005D0911" w:rsidRPr="005D0911" w:rsidRDefault="005D0911" w:rsidP="005D0911">
            <w:r w:rsidRPr="005D0911">
              <w:t>84%</w:t>
            </w:r>
            <w:r w:rsidRPr="005D0911">
              <w:rPr>
                <w:lang w:val="en-GB"/>
              </w:rPr>
              <w:t xml:space="preserve"> </w:t>
            </w:r>
            <w:r w:rsidR="00271827" w:rsidRPr="00271827">
              <w:rPr>
                <w:rFonts w:ascii="Wingdings" w:eastAsia="Wingdings" w:hAnsi="Wingdings" w:cs="Calibri"/>
                <w:color w:val="FF0000"/>
                <w:szCs w:val="24"/>
                <w:lang w:val="en-GB" w:eastAsia="en-NZ"/>
              </w:rPr>
              <w:t>Þ</w:t>
            </w:r>
          </w:p>
        </w:tc>
        <w:tc>
          <w:tcPr>
            <w:tcW w:w="1789" w:type="pct"/>
            <w:vMerge/>
            <w:shd w:val="clear" w:color="auto" w:fill="auto"/>
          </w:tcPr>
          <w:p w14:paraId="027ABA1F" w14:textId="77777777" w:rsidR="005D0911" w:rsidRPr="005D0911" w:rsidRDefault="005D0911" w:rsidP="005D0911"/>
        </w:tc>
      </w:tr>
      <w:tr w:rsidR="005D0911" w:rsidRPr="005D0911" w14:paraId="78327005" w14:textId="77777777" w:rsidTr="00D33BCA">
        <w:trPr>
          <w:trHeight w:val="528"/>
        </w:trPr>
        <w:tc>
          <w:tcPr>
            <w:tcW w:w="1157" w:type="pct"/>
            <w:vMerge/>
          </w:tcPr>
          <w:p w14:paraId="56E3A9F4" w14:textId="77777777" w:rsidR="005D0911" w:rsidRPr="005D0911" w:rsidRDefault="005D0911" w:rsidP="005D0911"/>
        </w:tc>
        <w:tc>
          <w:tcPr>
            <w:tcW w:w="490" w:type="pct"/>
          </w:tcPr>
          <w:p w14:paraId="76FBE654" w14:textId="77777777" w:rsidR="005D0911" w:rsidRPr="005D0911" w:rsidRDefault="005D0911" w:rsidP="005D0911">
            <w:r w:rsidRPr="005D0911">
              <w:rPr>
                <w:lang w:val="en-GB"/>
              </w:rPr>
              <w:t>Total</w:t>
            </w:r>
          </w:p>
        </w:tc>
        <w:tc>
          <w:tcPr>
            <w:tcW w:w="295" w:type="pct"/>
          </w:tcPr>
          <w:p w14:paraId="38C02BE9" w14:textId="77777777" w:rsidR="005D0911" w:rsidRPr="005D0911" w:rsidRDefault="005D0911" w:rsidP="005D0911">
            <w:r w:rsidRPr="005D0911">
              <w:t>87%</w:t>
            </w:r>
          </w:p>
        </w:tc>
        <w:tc>
          <w:tcPr>
            <w:tcW w:w="317" w:type="pct"/>
          </w:tcPr>
          <w:p w14:paraId="3F616C2D" w14:textId="6591A340" w:rsidR="005D0911" w:rsidRPr="005D0911" w:rsidRDefault="005D0911" w:rsidP="005D0911">
            <w:r w:rsidRPr="005D0911">
              <w:t>86%</w:t>
            </w:r>
            <w:r w:rsidRPr="005D0911">
              <w:rPr>
                <w:lang w:val="en-GB"/>
              </w:rPr>
              <w:t xml:space="preserve"> </w:t>
            </w:r>
            <w:r w:rsidR="00271827" w:rsidRPr="00271827">
              <w:rPr>
                <w:rFonts w:ascii="Wingdings" w:eastAsia="Wingdings" w:hAnsi="Wingdings" w:cs="Calibri"/>
                <w:color w:val="FF0000"/>
                <w:szCs w:val="24"/>
                <w:lang w:val="en-GB" w:eastAsia="en-NZ"/>
              </w:rPr>
              <w:t>Þ</w:t>
            </w:r>
          </w:p>
        </w:tc>
        <w:tc>
          <w:tcPr>
            <w:tcW w:w="295" w:type="pct"/>
          </w:tcPr>
          <w:p w14:paraId="177FCEB8" w14:textId="77D815BF" w:rsidR="005D0911" w:rsidRPr="005D0911" w:rsidRDefault="005D0911" w:rsidP="005D0911">
            <w:r w:rsidRPr="005D0911">
              <w:t xml:space="preserve">86% </w:t>
            </w:r>
            <w:r w:rsidR="00271827" w:rsidRPr="00CE0F64">
              <w:rPr>
                <w:rFonts w:ascii="Wingdings" w:eastAsia="Wingdings" w:hAnsi="Wingdings" w:cs="Calibri"/>
                <w:b/>
                <w:color w:val="FFC000"/>
                <w:szCs w:val="24"/>
                <w:lang w:val="en-GB" w:eastAsia="en-NZ"/>
              </w:rPr>
              <w:t>Ü</w:t>
            </w:r>
          </w:p>
        </w:tc>
        <w:tc>
          <w:tcPr>
            <w:tcW w:w="317" w:type="pct"/>
          </w:tcPr>
          <w:p w14:paraId="1D2A308D" w14:textId="6E11E01F" w:rsidR="005D0911" w:rsidRPr="005D0911" w:rsidRDefault="005D0911" w:rsidP="005D0911">
            <w:r w:rsidRPr="005D0911">
              <w:t xml:space="preserve">86% </w:t>
            </w:r>
            <w:r w:rsidR="00271827" w:rsidRPr="00CE0F64">
              <w:rPr>
                <w:rFonts w:ascii="Wingdings" w:eastAsia="Wingdings" w:hAnsi="Wingdings" w:cs="Calibri"/>
                <w:b/>
                <w:color w:val="FFC000"/>
                <w:szCs w:val="24"/>
                <w:lang w:val="en-GB" w:eastAsia="en-NZ"/>
              </w:rPr>
              <w:t>Ü</w:t>
            </w:r>
          </w:p>
        </w:tc>
        <w:tc>
          <w:tcPr>
            <w:tcW w:w="340" w:type="pct"/>
          </w:tcPr>
          <w:p w14:paraId="7695648A" w14:textId="483979C9" w:rsidR="005D0911" w:rsidRPr="005D0911" w:rsidRDefault="005D0911" w:rsidP="005D0911">
            <w:r w:rsidRPr="005D0911">
              <w:t xml:space="preserve">87% </w:t>
            </w:r>
            <w:r w:rsidR="00271827" w:rsidRPr="00271827">
              <w:rPr>
                <w:rFonts w:ascii="Wingdings" w:eastAsia="Wingdings" w:hAnsi="Wingdings" w:cs="Wingdings"/>
                <w:color w:val="00B050"/>
                <w:szCs w:val="24"/>
              </w:rPr>
              <w:t>Ý</w:t>
            </w:r>
          </w:p>
        </w:tc>
        <w:tc>
          <w:tcPr>
            <w:tcW w:w="1789" w:type="pct"/>
            <w:vMerge/>
            <w:shd w:val="clear" w:color="auto" w:fill="auto"/>
          </w:tcPr>
          <w:p w14:paraId="5C3F01BC" w14:textId="77777777" w:rsidR="005D0911" w:rsidRPr="005D0911" w:rsidRDefault="005D0911" w:rsidP="005D0911"/>
        </w:tc>
      </w:tr>
      <w:tr w:rsidR="005D0911" w:rsidRPr="005D0911" w14:paraId="15D7DA86" w14:textId="77777777" w:rsidTr="00271827">
        <w:trPr>
          <w:trHeight w:val="553"/>
        </w:trPr>
        <w:tc>
          <w:tcPr>
            <w:tcW w:w="1157" w:type="pct"/>
          </w:tcPr>
          <w:p w14:paraId="42007125" w14:textId="77777777" w:rsidR="005D0911" w:rsidRPr="005D0911" w:rsidRDefault="005D0911" w:rsidP="005D0911">
            <w:r w:rsidRPr="005D0911">
              <w:rPr>
                <w:lang w:val="en-GB"/>
              </w:rPr>
              <w:t>Comments</w:t>
            </w:r>
          </w:p>
        </w:tc>
        <w:tc>
          <w:tcPr>
            <w:tcW w:w="3843" w:type="pct"/>
            <w:gridSpan w:val="7"/>
          </w:tcPr>
          <w:p w14:paraId="26015FB3" w14:textId="77777777" w:rsidR="005D0911" w:rsidRPr="005D0911" w:rsidRDefault="005D0911" w:rsidP="005D0911">
            <w:pPr>
              <w:rPr>
                <w:lang w:val="en-GB"/>
              </w:rPr>
            </w:pPr>
            <w:r w:rsidRPr="005D0911">
              <w:rPr>
                <w:lang w:val="en-GB"/>
              </w:rPr>
              <w:t xml:space="preserve">This measure is reported through the national primary care experience survey. Results show that most people feel involved in the care delivered by their general practice team. Performance has remained stable over the past year with little variation between groups. </w:t>
            </w:r>
          </w:p>
          <w:p w14:paraId="1DC125E7" w14:textId="77777777" w:rsidR="005D0911" w:rsidRPr="005D0911" w:rsidRDefault="005D0911" w:rsidP="005D0911"/>
        </w:tc>
      </w:tr>
    </w:tbl>
    <w:p w14:paraId="5F0E967A" w14:textId="77777777" w:rsidR="005D0911" w:rsidRDefault="005D0911" w:rsidP="00E92FE9">
      <w:pPr>
        <w:pStyle w:val="TableText"/>
      </w:pPr>
    </w:p>
    <w:tbl>
      <w:tblPr>
        <w:tblStyle w:val="TeWhatuOra"/>
        <w:tblW w:w="5000" w:type="pct"/>
        <w:tblLook w:val="0420" w:firstRow="1" w:lastRow="0" w:firstColumn="0" w:lastColumn="0" w:noHBand="0" w:noVBand="1"/>
      </w:tblPr>
      <w:tblGrid>
        <w:gridCol w:w="4957"/>
        <w:gridCol w:w="2127"/>
        <w:gridCol w:w="1275"/>
        <w:gridCol w:w="1417"/>
        <w:gridCol w:w="1275"/>
        <w:gridCol w:w="1279"/>
        <w:gridCol w:w="1559"/>
        <w:gridCol w:w="7644"/>
      </w:tblGrid>
      <w:tr w:rsidR="00450445" w:rsidRPr="0007612C" w14:paraId="0E365E25" w14:textId="77777777" w:rsidTr="00D33BCA">
        <w:trPr>
          <w:cnfStyle w:val="100000000000" w:firstRow="1" w:lastRow="0" w:firstColumn="0" w:lastColumn="0" w:oddVBand="0" w:evenVBand="0" w:oddHBand="0" w:evenHBand="0" w:firstRowFirstColumn="0" w:firstRowLastColumn="0" w:lastRowFirstColumn="0" w:lastRowLastColumn="0"/>
          <w:trHeight w:val="788"/>
        </w:trPr>
        <w:tc>
          <w:tcPr>
            <w:tcW w:w="1151" w:type="pct"/>
          </w:tcPr>
          <w:p w14:paraId="422FBB91" w14:textId="77777777" w:rsidR="0007612C" w:rsidRPr="0007612C" w:rsidRDefault="0007612C" w:rsidP="0007612C">
            <w:r w:rsidRPr="0007612C">
              <w:rPr>
                <w:lang w:val="en-GB"/>
              </w:rPr>
              <w:t>Measure </w:t>
            </w:r>
          </w:p>
        </w:tc>
        <w:tc>
          <w:tcPr>
            <w:tcW w:w="494" w:type="pct"/>
          </w:tcPr>
          <w:p w14:paraId="3C3B8B28" w14:textId="77777777" w:rsidR="0007612C" w:rsidRPr="0007612C" w:rsidRDefault="0007612C" w:rsidP="0007612C">
            <w:r w:rsidRPr="0007612C">
              <w:rPr>
                <w:lang w:val="en-GB"/>
              </w:rPr>
              <w:t>Ethnic group</w:t>
            </w:r>
          </w:p>
        </w:tc>
        <w:tc>
          <w:tcPr>
            <w:tcW w:w="296" w:type="pct"/>
          </w:tcPr>
          <w:p w14:paraId="5356636F" w14:textId="77777777" w:rsidR="0007612C" w:rsidRPr="0007612C" w:rsidRDefault="0007612C" w:rsidP="0007612C">
            <w:pPr>
              <w:rPr>
                <w:lang w:val="en-GB"/>
              </w:rPr>
            </w:pPr>
            <w:r w:rsidRPr="0007612C">
              <w:rPr>
                <w:lang w:val="en-GB"/>
              </w:rPr>
              <w:t>Q1</w:t>
            </w:r>
          </w:p>
          <w:p w14:paraId="3431745D" w14:textId="77777777" w:rsidR="0007612C" w:rsidRPr="0007612C" w:rsidRDefault="0007612C" w:rsidP="0007612C">
            <w:pPr>
              <w:rPr>
                <w:lang w:val="en-GB"/>
              </w:rPr>
            </w:pPr>
            <w:r w:rsidRPr="0007612C">
              <w:rPr>
                <w:lang w:val="en-GB"/>
              </w:rPr>
              <w:t>2022-23</w:t>
            </w:r>
          </w:p>
        </w:tc>
        <w:tc>
          <w:tcPr>
            <w:tcW w:w="329" w:type="pct"/>
          </w:tcPr>
          <w:p w14:paraId="6849E1DC" w14:textId="77777777" w:rsidR="0007612C" w:rsidRPr="0007612C" w:rsidRDefault="0007612C" w:rsidP="0007612C">
            <w:pPr>
              <w:rPr>
                <w:lang w:val="en-GB"/>
              </w:rPr>
            </w:pPr>
            <w:r w:rsidRPr="0007612C">
              <w:rPr>
                <w:lang w:val="en-GB"/>
              </w:rPr>
              <w:t>Q2</w:t>
            </w:r>
          </w:p>
          <w:p w14:paraId="756A9919" w14:textId="77777777" w:rsidR="0007612C" w:rsidRPr="0007612C" w:rsidRDefault="0007612C" w:rsidP="0007612C">
            <w:pPr>
              <w:rPr>
                <w:lang w:val="en-GB"/>
              </w:rPr>
            </w:pPr>
            <w:r w:rsidRPr="0007612C">
              <w:rPr>
                <w:lang w:val="en-GB"/>
              </w:rPr>
              <w:t>2022-23</w:t>
            </w:r>
          </w:p>
        </w:tc>
        <w:tc>
          <w:tcPr>
            <w:tcW w:w="296" w:type="pct"/>
          </w:tcPr>
          <w:p w14:paraId="15804EAB" w14:textId="77777777" w:rsidR="0007612C" w:rsidRPr="0007612C" w:rsidRDefault="0007612C" w:rsidP="0007612C">
            <w:pPr>
              <w:rPr>
                <w:lang w:val="en-GB"/>
              </w:rPr>
            </w:pPr>
            <w:r w:rsidRPr="0007612C">
              <w:rPr>
                <w:lang w:val="en-GB"/>
              </w:rPr>
              <w:t>Q3</w:t>
            </w:r>
          </w:p>
          <w:p w14:paraId="7656AFE3" w14:textId="77777777" w:rsidR="0007612C" w:rsidRPr="0007612C" w:rsidRDefault="0007612C" w:rsidP="0007612C">
            <w:pPr>
              <w:rPr>
                <w:lang w:val="en-GB"/>
              </w:rPr>
            </w:pPr>
            <w:r w:rsidRPr="0007612C">
              <w:rPr>
                <w:lang w:val="en-GB"/>
              </w:rPr>
              <w:t>2022-23</w:t>
            </w:r>
          </w:p>
        </w:tc>
        <w:tc>
          <w:tcPr>
            <w:tcW w:w="297" w:type="pct"/>
          </w:tcPr>
          <w:p w14:paraId="76A69963" w14:textId="77777777" w:rsidR="0007612C" w:rsidRPr="0007612C" w:rsidRDefault="0007612C" w:rsidP="0007612C">
            <w:pPr>
              <w:rPr>
                <w:lang w:val="en-GB"/>
              </w:rPr>
            </w:pPr>
            <w:r w:rsidRPr="0007612C">
              <w:rPr>
                <w:lang w:val="en-GB"/>
              </w:rPr>
              <w:t>Q4</w:t>
            </w:r>
          </w:p>
          <w:p w14:paraId="705769F7" w14:textId="77777777" w:rsidR="0007612C" w:rsidRPr="0007612C" w:rsidRDefault="0007612C" w:rsidP="0007612C">
            <w:pPr>
              <w:rPr>
                <w:lang w:val="en-GB"/>
              </w:rPr>
            </w:pPr>
            <w:r w:rsidRPr="0007612C">
              <w:rPr>
                <w:lang w:val="en-GB"/>
              </w:rPr>
              <w:t>2022-23</w:t>
            </w:r>
          </w:p>
        </w:tc>
        <w:tc>
          <w:tcPr>
            <w:tcW w:w="362" w:type="pct"/>
          </w:tcPr>
          <w:p w14:paraId="6489246F" w14:textId="77777777" w:rsidR="0007612C" w:rsidRPr="0007612C" w:rsidRDefault="0007612C" w:rsidP="0007612C">
            <w:pPr>
              <w:rPr>
                <w:lang w:val="en-GB"/>
              </w:rPr>
            </w:pPr>
            <w:r w:rsidRPr="0007612C">
              <w:rPr>
                <w:lang w:val="en-GB"/>
              </w:rPr>
              <w:t>Q1</w:t>
            </w:r>
          </w:p>
          <w:p w14:paraId="7C47B254" w14:textId="77777777" w:rsidR="0007612C" w:rsidRPr="0007612C" w:rsidRDefault="0007612C" w:rsidP="0007612C">
            <w:pPr>
              <w:rPr>
                <w:lang w:val="en-GB"/>
              </w:rPr>
            </w:pPr>
            <w:r w:rsidRPr="0007612C">
              <w:rPr>
                <w:lang w:val="en-GB"/>
              </w:rPr>
              <w:t>2023-24</w:t>
            </w:r>
          </w:p>
        </w:tc>
        <w:tc>
          <w:tcPr>
            <w:tcW w:w="1775" w:type="pct"/>
            <w:vMerge w:val="restart"/>
            <w:shd w:val="clear" w:color="auto" w:fill="auto"/>
          </w:tcPr>
          <w:p w14:paraId="659131F5" w14:textId="77777777" w:rsidR="0007612C" w:rsidRPr="0007612C" w:rsidRDefault="0007612C" w:rsidP="00777FF5">
            <w:pPr>
              <w:rPr>
                <w:lang w:val="en-GB"/>
              </w:rPr>
            </w:pPr>
            <w:r w:rsidRPr="0007612C">
              <w:rPr>
                <w:noProof/>
                <w:lang w:val="en-GB"/>
              </w:rPr>
              <w:drawing>
                <wp:inline distT="0" distB="0" distL="0" distR="0" wp14:anchorId="61BEE315" wp14:editId="3FF5B159">
                  <wp:extent cx="4711700" cy="2628900"/>
                  <wp:effectExtent l="0" t="0" r="0" b="0"/>
                  <wp:docPr id="1825775858" name="Chart 1825775858" descr="Chart showing Percentage of people enrolled with a general practice (or a kaupapa Māori provider delivering general practice car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450445" w:rsidRPr="0007612C" w14:paraId="625C9AE1" w14:textId="77777777" w:rsidTr="00D33BCA">
        <w:trPr>
          <w:trHeight w:val="789"/>
        </w:trPr>
        <w:tc>
          <w:tcPr>
            <w:tcW w:w="1151" w:type="pct"/>
            <w:vMerge w:val="restart"/>
            <w:hideMark/>
          </w:tcPr>
          <w:p w14:paraId="56C6789F" w14:textId="3AE7D04B" w:rsidR="0007612C" w:rsidRPr="0007612C" w:rsidRDefault="0007612C" w:rsidP="0007612C">
            <w:pPr>
              <w:rPr>
                <w:vertAlign w:val="superscript"/>
              </w:rPr>
            </w:pPr>
            <w:r w:rsidRPr="0007612C">
              <w:t>Percentage of people enrolled with a general practice (or a kaupapa Māori provider delivering general practice care)</w:t>
            </w:r>
            <w:r w:rsidRPr="0007612C">
              <w:rPr>
                <w:vertAlign w:val="superscript"/>
              </w:rPr>
              <w:fldChar w:fldCharType="begin"/>
            </w:r>
            <w:r w:rsidRPr="0007612C">
              <w:rPr>
                <w:vertAlign w:val="superscript"/>
              </w:rPr>
              <w:instrText xml:space="preserve"> NOTEREF _Ref155606579  \* MERGEFORMAT </w:instrText>
            </w:r>
            <w:r w:rsidRPr="0007612C">
              <w:rPr>
                <w:vertAlign w:val="superscript"/>
              </w:rPr>
              <w:fldChar w:fldCharType="separate"/>
            </w:r>
            <w:r w:rsidR="001415FE">
              <w:rPr>
                <w:vertAlign w:val="superscript"/>
              </w:rPr>
              <w:t>2</w:t>
            </w:r>
            <w:r w:rsidRPr="0007612C">
              <w:fldChar w:fldCharType="end"/>
            </w:r>
            <w:r w:rsidRPr="0007612C">
              <w:rPr>
                <w:vertAlign w:val="superscript"/>
              </w:rPr>
              <w:t>,</w:t>
            </w:r>
            <w:r w:rsidRPr="0007612C">
              <w:rPr>
                <w:vertAlign w:val="superscript"/>
              </w:rPr>
              <w:footnoteReference w:id="5"/>
            </w:r>
            <w:r w:rsidRPr="0007612C">
              <w:t>.</w:t>
            </w:r>
            <w:r w:rsidRPr="0007612C">
              <w:rPr>
                <w:vertAlign w:val="superscript"/>
              </w:rPr>
              <w:t xml:space="preserve"> </w:t>
            </w:r>
          </w:p>
          <w:p w14:paraId="170E5B08" w14:textId="77777777" w:rsidR="0007612C" w:rsidRPr="0007612C" w:rsidRDefault="0007612C" w:rsidP="0007612C"/>
          <w:p w14:paraId="1CC711A2" w14:textId="77777777" w:rsidR="0007612C" w:rsidRPr="0007612C" w:rsidRDefault="0007612C" w:rsidP="0007612C">
            <w:r w:rsidRPr="0007612C">
              <w:t>Target: 95% overall and maintain performance for populations</w:t>
            </w:r>
          </w:p>
        </w:tc>
        <w:tc>
          <w:tcPr>
            <w:tcW w:w="494" w:type="pct"/>
            <w:hideMark/>
          </w:tcPr>
          <w:p w14:paraId="1BFC3185" w14:textId="77777777" w:rsidR="0007612C" w:rsidRPr="0007612C" w:rsidRDefault="0007612C" w:rsidP="0007612C">
            <w:r w:rsidRPr="0007612C">
              <w:t>Māori</w:t>
            </w:r>
          </w:p>
        </w:tc>
        <w:tc>
          <w:tcPr>
            <w:tcW w:w="296" w:type="pct"/>
          </w:tcPr>
          <w:p w14:paraId="3504819A" w14:textId="77777777" w:rsidR="0007612C" w:rsidRPr="0007612C" w:rsidRDefault="0007612C" w:rsidP="0007612C">
            <w:r w:rsidRPr="0007612C">
              <w:t>83%</w:t>
            </w:r>
          </w:p>
        </w:tc>
        <w:tc>
          <w:tcPr>
            <w:tcW w:w="329" w:type="pct"/>
          </w:tcPr>
          <w:p w14:paraId="08ECB2F6" w14:textId="7A899673" w:rsidR="0007612C" w:rsidRPr="0007612C" w:rsidRDefault="0007612C" w:rsidP="0007612C">
            <w:r w:rsidRPr="0007612C">
              <w:t xml:space="preserve">83% </w:t>
            </w:r>
            <w:r w:rsidRPr="00CE0F64">
              <w:rPr>
                <w:rFonts w:ascii="Wingdings" w:eastAsia="Wingdings" w:hAnsi="Wingdings" w:cs="Calibri"/>
                <w:b/>
                <w:color w:val="FFC000"/>
                <w:szCs w:val="24"/>
                <w:lang w:val="en-GB" w:eastAsia="en-NZ"/>
              </w:rPr>
              <w:t>Ü</w:t>
            </w:r>
          </w:p>
        </w:tc>
        <w:tc>
          <w:tcPr>
            <w:tcW w:w="296" w:type="pct"/>
          </w:tcPr>
          <w:p w14:paraId="7B9A3BD0" w14:textId="716CE3C8" w:rsidR="0007612C" w:rsidRPr="0007612C" w:rsidRDefault="0007612C" w:rsidP="0007612C">
            <w:r w:rsidRPr="0007612C">
              <w:t xml:space="preserve">83% </w:t>
            </w:r>
            <w:r w:rsidRPr="00CE0F64">
              <w:rPr>
                <w:rFonts w:ascii="Wingdings" w:eastAsia="Wingdings" w:hAnsi="Wingdings" w:cs="Calibri"/>
                <w:b/>
                <w:color w:val="FFC000"/>
                <w:szCs w:val="24"/>
                <w:lang w:val="en-GB" w:eastAsia="en-NZ"/>
              </w:rPr>
              <w:t>Ü</w:t>
            </w:r>
          </w:p>
        </w:tc>
        <w:tc>
          <w:tcPr>
            <w:tcW w:w="297" w:type="pct"/>
          </w:tcPr>
          <w:p w14:paraId="66F5A075" w14:textId="2522F11F" w:rsidR="0007612C" w:rsidRPr="0007612C" w:rsidRDefault="0007612C" w:rsidP="0007612C">
            <w:r w:rsidRPr="0007612C">
              <w:t xml:space="preserve">83% </w:t>
            </w:r>
            <w:r w:rsidRPr="00CE0F64">
              <w:rPr>
                <w:rFonts w:ascii="Wingdings" w:eastAsia="Wingdings" w:hAnsi="Wingdings" w:cs="Calibri"/>
                <w:b/>
                <w:color w:val="FFC000"/>
                <w:szCs w:val="24"/>
                <w:lang w:val="en-GB" w:eastAsia="en-NZ"/>
              </w:rPr>
              <w:t>Ü</w:t>
            </w:r>
          </w:p>
        </w:tc>
        <w:tc>
          <w:tcPr>
            <w:tcW w:w="362" w:type="pct"/>
          </w:tcPr>
          <w:p w14:paraId="7819991E" w14:textId="4BD31C6E" w:rsidR="0007612C" w:rsidRPr="0007612C" w:rsidRDefault="0007612C" w:rsidP="0007612C">
            <w:r w:rsidRPr="0007612C">
              <w:t xml:space="preserve">83% </w:t>
            </w:r>
            <w:r w:rsidRPr="00CE0F64">
              <w:rPr>
                <w:rFonts w:ascii="Wingdings" w:eastAsia="Wingdings" w:hAnsi="Wingdings" w:cs="Calibri"/>
                <w:b/>
                <w:color w:val="FFC000"/>
                <w:szCs w:val="24"/>
                <w:lang w:val="en-GB" w:eastAsia="en-NZ"/>
              </w:rPr>
              <w:t>Ü</w:t>
            </w:r>
          </w:p>
        </w:tc>
        <w:tc>
          <w:tcPr>
            <w:tcW w:w="1775" w:type="pct"/>
            <w:vMerge/>
            <w:shd w:val="clear" w:color="auto" w:fill="auto"/>
          </w:tcPr>
          <w:p w14:paraId="09141454" w14:textId="77777777" w:rsidR="0007612C" w:rsidRPr="0007612C" w:rsidRDefault="0007612C" w:rsidP="0007612C">
            <w:pPr>
              <w:rPr>
                <w:lang w:val="en-GB"/>
              </w:rPr>
            </w:pPr>
          </w:p>
        </w:tc>
      </w:tr>
      <w:tr w:rsidR="00450445" w:rsidRPr="0007612C" w14:paraId="67B5DB78" w14:textId="77777777" w:rsidTr="00D33BCA">
        <w:trPr>
          <w:trHeight w:val="788"/>
        </w:trPr>
        <w:tc>
          <w:tcPr>
            <w:tcW w:w="1151" w:type="pct"/>
            <w:vMerge/>
            <w:hideMark/>
          </w:tcPr>
          <w:p w14:paraId="15AE84B4" w14:textId="77777777" w:rsidR="0007612C" w:rsidRPr="0007612C" w:rsidRDefault="0007612C" w:rsidP="0007612C">
            <w:pPr>
              <w:rPr>
                <w:lang w:val="en-GB"/>
              </w:rPr>
            </w:pPr>
          </w:p>
        </w:tc>
        <w:tc>
          <w:tcPr>
            <w:tcW w:w="494" w:type="pct"/>
            <w:hideMark/>
          </w:tcPr>
          <w:p w14:paraId="6325B47F" w14:textId="77777777" w:rsidR="0007612C" w:rsidRPr="0007612C" w:rsidRDefault="0007612C" w:rsidP="0007612C">
            <w:r w:rsidRPr="0007612C">
              <w:t>Pacific</w:t>
            </w:r>
          </w:p>
        </w:tc>
        <w:tc>
          <w:tcPr>
            <w:tcW w:w="296" w:type="pct"/>
          </w:tcPr>
          <w:p w14:paraId="388A5470" w14:textId="77777777" w:rsidR="0007612C" w:rsidRPr="0007612C" w:rsidRDefault="0007612C" w:rsidP="0007612C">
            <w:r w:rsidRPr="0007612C">
              <w:t>97%</w:t>
            </w:r>
          </w:p>
        </w:tc>
        <w:tc>
          <w:tcPr>
            <w:tcW w:w="329" w:type="pct"/>
          </w:tcPr>
          <w:p w14:paraId="2DD62089" w14:textId="29DEFB2C" w:rsidR="0007612C" w:rsidRPr="0007612C" w:rsidRDefault="0007612C" w:rsidP="0007612C">
            <w:pPr>
              <w:rPr>
                <w:lang w:val="en-GB"/>
              </w:rPr>
            </w:pPr>
            <w:r w:rsidRPr="0007612C">
              <w:t>97%</w:t>
            </w:r>
            <w:r w:rsidR="005514BE">
              <w:t xml:space="preserve"> </w:t>
            </w:r>
            <w:r w:rsidRPr="00CE0F64">
              <w:rPr>
                <w:rFonts w:ascii="Wingdings" w:eastAsia="Wingdings" w:hAnsi="Wingdings" w:cs="Calibri"/>
                <w:b/>
                <w:color w:val="FFC000"/>
                <w:szCs w:val="24"/>
                <w:lang w:val="en-GB" w:eastAsia="en-NZ"/>
              </w:rPr>
              <w:t>Ü</w:t>
            </w:r>
          </w:p>
        </w:tc>
        <w:tc>
          <w:tcPr>
            <w:tcW w:w="296" w:type="pct"/>
          </w:tcPr>
          <w:p w14:paraId="0AAAE511" w14:textId="5C9E1C0A" w:rsidR="0007612C" w:rsidRPr="0007612C" w:rsidRDefault="0007612C" w:rsidP="0007612C">
            <w:r w:rsidRPr="0007612C">
              <w:t>94%</w:t>
            </w:r>
            <w:r>
              <w:t xml:space="preserve"> </w:t>
            </w:r>
            <w:r w:rsidRPr="0007612C">
              <w:rPr>
                <w:rFonts w:ascii="Wingdings" w:eastAsia="Wingdings" w:hAnsi="Wingdings" w:cs="Calibri"/>
                <w:color w:val="FF0000"/>
                <w:szCs w:val="24"/>
                <w:lang w:val="en-GB" w:eastAsia="en-NZ"/>
              </w:rPr>
              <w:t>Þ</w:t>
            </w:r>
          </w:p>
        </w:tc>
        <w:tc>
          <w:tcPr>
            <w:tcW w:w="297" w:type="pct"/>
          </w:tcPr>
          <w:p w14:paraId="5922609E" w14:textId="76EC66F7" w:rsidR="0007612C" w:rsidRPr="0007612C" w:rsidRDefault="0007612C" w:rsidP="0007612C">
            <w:r w:rsidRPr="0007612C">
              <w:t>95%</w:t>
            </w:r>
            <w:r>
              <w:t xml:space="preserve"> </w:t>
            </w:r>
            <w:r w:rsidRPr="0007612C">
              <w:rPr>
                <w:rFonts w:ascii="Wingdings" w:eastAsia="Wingdings" w:hAnsi="Wingdings" w:cs="Wingdings"/>
                <w:color w:val="00B050"/>
                <w:szCs w:val="24"/>
              </w:rPr>
              <w:t>Ý</w:t>
            </w:r>
          </w:p>
        </w:tc>
        <w:tc>
          <w:tcPr>
            <w:tcW w:w="362" w:type="pct"/>
          </w:tcPr>
          <w:p w14:paraId="16E16405" w14:textId="248FAE08" w:rsidR="0007612C" w:rsidRPr="0007612C" w:rsidRDefault="0007612C" w:rsidP="0007612C">
            <w:r w:rsidRPr="0007612C">
              <w:t>95%</w:t>
            </w:r>
            <w:r>
              <w:rPr>
                <w:lang w:val="en-GB"/>
              </w:rPr>
              <w:t xml:space="preserve"> </w:t>
            </w:r>
            <w:r w:rsidRPr="00CE0F64">
              <w:rPr>
                <w:rFonts w:ascii="Wingdings" w:eastAsia="Wingdings" w:hAnsi="Wingdings" w:cs="Calibri"/>
                <w:b/>
                <w:color w:val="FFC000"/>
                <w:szCs w:val="24"/>
                <w:lang w:val="en-GB" w:eastAsia="en-NZ"/>
              </w:rPr>
              <w:t>Ü</w:t>
            </w:r>
          </w:p>
        </w:tc>
        <w:tc>
          <w:tcPr>
            <w:tcW w:w="1775" w:type="pct"/>
            <w:vMerge/>
            <w:shd w:val="clear" w:color="auto" w:fill="auto"/>
          </w:tcPr>
          <w:p w14:paraId="5FC6C664" w14:textId="77777777" w:rsidR="0007612C" w:rsidRPr="0007612C" w:rsidRDefault="0007612C" w:rsidP="0007612C">
            <w:pPr>
              <w:rPr>
                <w:lang w:val="en-GB"/>
              </w:rPr>
            </w:pPr>
          </w:p>
        </w:tc>
      </w:tr>
      <w:tr w:rsidR="00450445" w:rsidRPr="0007612C" w14:paraId="6F770D86" w14:textId="77777777" w:rsidTr="00D33BCA">
        <w:trPr>
          <w:trHeight w:val="789"/>
        </w:trPr>
        <w:tc>
          <w:tcPr>
            <w:tcW w:w="1151" w:type="pct"/>
            <w:vMerge/>
          </w:tcPr>
          <w:p w14:paraId="46B16F13" w14:textId="77777777" w:rsidR="0007612C" w:rsidRPr="0007612C" w:rsidRDefault="0007612C" w:rsidP="0007612C">
            <w:pPr>
              <w:rPr>
                <w:lang w:val="en-GB"/>
              </w:rPr>
            </w:pPr>
          </w:p>
        </w:tc>
        <w:tc>
          <w:tcPr>
            <w:tcW w:w="494" w:type="pct"/>
          </w:tcPr>
          <w:p w14:paraId="1FFEF5A2" w14:textId="2B598068" w:rsidR="0007612C" w:rsidRPr="0007612C" w:rsidRDefault="0007612C" w:rsidP="0007612C">
            <w:pPr>
              <w:rPr>
                <w:lang w:val="en-GB"/>
              </w:rPr>
            </w:pPr>
            <w:r w:rsidRPr="0007612C">
              <w:t>European</w:t>
            </w:r>
            <w:r w:rsidRPr="0007612C">
              <w:rPr>
                <w:lang w:val="en-GB"/>
              </w:rPr>
              <w:t xml:space="preserve"> and </w:t>
            </w:r>
            <w:r w:rsidR="00BB6E0B">
              <w:rPr>
                <w:lang w:val="en-GB"/>
              </w:rPr>
              <w:t>a</w:t>
            </w:r>
            <w:r w:rsidRPr="0007612C">
              <w:rPr>
                <w:lang w:val="en-GB"/>
              </w:rPr>
              <w:t>ll other ethnicities</w:t>
            </w:r>
          </w:p>
        </w:tc>
        <w:tc>
          <w:tcPr>
            <w:tcW w:w="296" w:type="pct"/>
          </w:tcPr>
          <w:p w14:paraId="13221781" w14:textId="77777777" w:rsidR="0007612C" w:rsidRPr="0007612C" w:rsidRDefault="0007612C" w:rsidP="0007612C">
            <w:r w:rsidRPr="0007612C">
              <w:t>96%</w:t>
            </w:r>
          </w:p>
        </w:tc>
        <w:tc>
          <w:tcPr>
            <w:tcW w:w="329" w:type="pct"/>
          </w:tcPr>
          <w:p w14:paraId="1DEC6690" w14:textId="0066F345" w:rsidR="0007612C" w:rsidRPr="0007612C" w:rsidRDefault="0007612C" w:rsidP="0007612C">
            <w:r w:rsidRPr="0007612C">
              <w:t>96%</w:t>
            </w:r>
            <w:r>
              <w:rPr>
                <w:lang w:val="en-GB"/>
              </w:rPr>
              <w:t xml:space="preserve"> </w:t>
            </w:r>
            <w:r w:rsidRPr="00CE0F64">
              <w:rPr>
                <w:rFonts w:ascii="Wingdings" w:eastAsia="Wingdings" w:hAnsi="Wingdings" w:cs="Calibri"/>
                <w:b/>
                <w:color w:val="FFC000"/>
                <w:szCs w:val="24"/>
                <w:lang w:val="en-GB" w:eastAsia="en-NZ"/>
              </w:rPr>
              <w:t>Ü</w:t>
            </w:r>
          </w:p>
        </w:tc>
        <w:tc>
          <w:tcPr>
            <w:tcW w:w="296" w:type="pct"/>
          </w:tcPr>
          <w:p w14:paraId="11276CB8" w14:textId="7A891213" w:rsidR="0007612C" w:rsidRPr="0007612C" w:rsidRDefault="0007612C" w:rsidP="0007612C">
            <w:r w:rsidRPr="0007612C">
              <w:t xml:space="preserve">98% </w:t>
            </w:r>
            <w:r w:rsidRPr="00CE0F64">
              <w:rPr>
                <w:rFonts w:ascii="Wingdings" w:eastAsia="Wingdings" w:hAnsi="Wingdings" w:cs="Calibri"/>
                <w:b/>
                <w:color w:val="FFC000"/>
                <w:szCs w:val="24"/>
                <w:lang w:val="en-GB" w:eastAsia="en-NZ"/>
              </w:rPr>
              <w:t>Ü</w:t>
            </w:r>
          </w:p>
        </w:tc>
        <w:tc>
          <w:tcPr>
            <w:tcW w:w="297" w:type="pct"/>
          </w:tcPr>
          <w:p w14:paraId="3082907B" w14:textId="2028162A" w:rsidR="0007612C" w:rsidRPr="0007612C" w:rsidRDefault="0007612C" w:rsidP="0007612C">
            <w:r w:rsidRPr="0007612C">
              <w:t xml:space="preserve">98% </w:t>
            </w:r>
            <w:r w:rsidRPr="00CE0F64">
              <w:rPr>
                <w:rFonts w:ascii="Wingdings" w:eastAsia="Wingdings" w:hAnsi="Wingdings" w:cs="Calibri"/>
                <w:b/>
                <w:color w:val="FFC000"/>
                <w:szCs w:val="24"/>
                <w:lang w:val="en-GB" w:eastAsia="en-NZ"/>
              </w:rPr>
              <w:t>Ü</w:t>
            </w:r>
          </w:p>
        </w:tc>
        <w:tc>
          <w:tcPr>
            <w:tcW w:w="362" w:type="pct"/>
          </w:tcPr>
          <w:p w14:paraId="1BED9D05" w14:textId="0CD8524E" w:rsidR="0007612C" w:rsidRPr="0007612C" w:rsidRDefault="0007612C" w:rsidP="0007612C">
            <w:r w:rsidRPr="0007612C">
              <w:t>99%</w:t>
            </w:r>
            <w:r>
              <w:t xml:space="preserve"> </w:t>
            </w:r>
            <w:r w:rsidRPr="0007612C">
              <w:rPr>
                <w:rFonts w:ascii="Wingdings" w:eastAsia="Wingdings" w:hAnsi="Wingdings" w:cs="Wingdings"/>
                <w:color w:val="00B050"/>
                <w:szCs w:val="24"/>
              </w:rPr>
              <w:t>Ý</w:t>
            </w:r>
          </w:p>
        </w:tc>
        <w:tc>
          <w:tcPr>
            <w:tcW w:w="1775" w:type="pct"/>
            <w:vMerge/>
            <w:shd w:val="clear" w:color="auto" w:fill="auto"/>
          </w:tcPr>
          <w:p w14:paraId="05AD9699" w14:textId="77777777" w:rsidR="0007612C" w:rsidRPr="0007612C" w:rsidRDefault="0007612C" w:rsidP="0007612C">
            <w:pPr>
              <w:rPr>
                <w:lang w:val="en-GB"/>
              </w:rPr>
            </w:pPr>
          </w:p>
        </w:tc>
      </w:tr>
      <w:tr w:rsidR="00450445" w:rsidRPr="0007612C" w14:paraId="17820592" w14:textId="77777777" w:rsidTr="00D33BCA">
        <w:trPr>
          <w:trHeight w:val="789"/>
        </w:trPr>
        <w:tc>
          <w:tcPr>
            <w:tcW w:w="1151" w:type="pct"/>
            <w:vMerge/>
            <w:hideMark/>
          </w:tcPr>
          <w:p w14:paraId="454EB262" w14:textId="77777777" w:rsidR="0007612C" w:rsidRPr="0007612C" w:rsidRDefault="0007612C" w:rsidP="0007612C">
            <w:pPr>
              <w:rPr>
                <w:lang w:val="en-GB"/>
              </w:rPr>
            </w:pPr>
          </w:p>
        </w:tc>
        <w:tc>
          <w:tcPr>
            <w:tcW w:w="494" w:type="pct"/>
            <w:hideMark/>
          </w:tcPr>
          <w:p w14:paraId="771E383C" w14:textId="77777777" w:rsidR="0007612C" w:rsidRPr="0007612C" w:rsidRDefault="0007612C" w:rsidP="0007612C">
            <w:r w:rsidRPr="0007612C">
              <w:t>Total</w:t>
            </w:r>
          </w:p>
        </w:tc>
        <w:tc>
          <w:tcPr>
            <w:tcW w:w="296" w:type="pct"/>
          </w:tcPr>
          <w:p w14:paraId="5D603F72" w14:textId="77777777" w:rsidR="0007612C" w:rsidRPr="0007612C" w:rsidRDefault="0007612C" w:rsidP="0007612C">
            <w:r w:rsidRPr="0007612C">
              <w:t>94%</w:t>
            </w:r>
          </w:p>
        </w:tc>
        <w:tc>
          <w:tcPr>
            <w:tcW w:w="329" w:type="pct"/>
          </w:tcPr>
          <w:p w14:paraId="506ED6C0" w14:textId="251AD0DF" w:rsidR="0007612C" w:rsidRPr="0007612C" w:rsidRDefault="0007612C" w:rsidP="0007612C">
            <w:r w:rsidRPr="0007612C">
              <w:t>94%</w:t>
            </w:r>
            <w:r>
              <w:rPr>
                <w:lang w:val="en-GB"/>
              </w:rPr>
              <w:t xml:space="preserve"> </w:t>
            </w:r>
            <w:r w:rsidRPr="00CE0F64">
              <w:rPr>
                <w:rFonts w:ascii="Wingdings" w:eastAsia="Wingdings" w:hAnsi="Wingdings" w:cs="Calibri"/>
                <w:b/>
                <w:color w:val="FFC000"/>
                <w:szCs w:val="24"/>
                <w:lang w:val="en-GB" w:eastAsia="en-NZ"/>
              </w:rPr>
              <w:t>Ü</w:t>
            </w:r>
          </w:p>
        </w:tc>
        <w:tc>
          <w:tcPr>
            <w:tcW w:w="296" w:type="pct"/>
          </w:tcPr>
          <w:p w14:paraId="47315187" w14:textId="7441BCEE" w:rsidR="0007612C" w:rsidRPr="0007612C" w:rsidRDefault="0007612C" w:rsidP="0007612C">
            <w:r w:rsidRPr="0007612C">
              <w:t xml:space="preserve">95% </w:t>
            </w:r>
            <w:r w:rsidRPr="00CE0F64">
              <w:rPr>
                <w:rFonts w:ascii="Wingdings" w:eastAsia="Wingdings" w:hAnsi="Wingdings" w:cs="Calibri"/>
                <w:b/>
                <w:color w:val="FFC000"/>
                <w:szCs w:val="24"/>
                <w:lang w:val="en-GB" w:eastAsia="en-NZ"/>
              </w:rPr>
              <w:t>Ü</w:t>
            </w:r>
          </w:p>
        </w:tc>
        <w:tc>
          <w:tcPr>
            <w:tcW w:w="297" w:type="pct"/>
          </w:tcPr>
          <w:p w14:paraId="4A117059" w14:textId="4470B7DC" w:rsidR="0007612C" w:rsidRPr="0007612C" w:rsidRDefault="0007612C" w:rsidP="0007612C">
            <w:r w:rsidRPr="0007612C">
              <w:t xml:space="preserve">95% </w:t>
            </w:r>
            <w:r w:rsidRPr="00CE0F64">
              <w:rPr>
                <w:rFonts w:ascii="Wingdings" w:eastAsia="Wingdings" w:hAnsi="Wingdings" w:cs="Calibri"/>
                <w:b/>
                <w:color w:val="FFC000"/>
                <w:szCs w:val="24"/>
                <w:lang w:val="en-GB" w:eastAsia="en-NZ"/>
              </w:rPr>
              <w:t>Ü</w:t>
            </w:r>
          </w:p>
        </w:tc>
        <w:tc>
          <w:tcPr>
            <w:tcW w:w="362" w:type="pct"/>
          </w:tcPr>
          <w:p w14:paraId="1A0FEB0A" w14:textId="136E097D" w:rsidR="0007612C" w:rsidRPr="0007612C" w:rsidRDefault="0007612C" w:rsidP="0007612C">
            <w:r w:rsidRPr="0007612C">
              <w:t>96%</w:t>
            </w:r>
            <w:r w:rsidR="005514BE">
              <w:t xml:space="preserve"> </w:t>
            </w:r>
            <w:r w:rsidRPr="0007612C">
              <w:rPr>
                <w:rFonts w:ascii="Wingdings" w:eastAsia="Wingdings" w:hAnsi="Wingdings" w:cs="Wingdings"/>
                <w:color w:val="00B050"/>
                <w:szCs w:val="24"/>
              </w:rPr>
              <w:t>Ý</w:t>
            </w:r>
          </w:p>
        </w:tc>
        <w:tc>
          <w:tcPr>
            <w:tcW w:w="1775" w:type="pct"/>
            <w:vMerge/>
            <w:shd w:val="clear" w:color="auto" w:fill="auto"/>
          </w:tcPr>
          <w:p w14:paraId="6FB896E7" w14:textId="77777777" w:rsidR="0007612C" w:rsidRPr="0007612C" w:rsidRDefault="0007612C" w:rsidP="0007612C"/>
        </w:tc>
      </w:tr>
      <w:tr w:rsidR="0007612C" w:rsidRPr="0007612C" w14:paraId="0F0F871B" w14:textId="77777777" w:rsidTr="00450445">
        <w:trPr>
          <w:trHeight w:val="300"/>
        </w:trPr>
        <w:tc>
          <w:tcPr>
            <w:tcW w:w="1151" w:type="pct"/>
          </w:tcPr>
          <w:p w14:paraId="721C6A02" w14:textId="77777777" w:rsidR="0007612C" w:rsidRPr="0007612C" w:rsidRDefault="0007612C" w:rsidP="0007612C">
            <w:pPr>
              <w:rPr>
                <w:lang w:val="en-GB"/>
              </w:rPr>
            </w:pPr>
            <w:r w:rsidRPr="0007612C">
              <w:rPr>
                <w:lang w:val="en-GB"/>
              </w:rPr>
              <w:t>Comments</w:t>
            </w:r>
          </w:p>
        </w:tc>
        <w:tc>
          <w:tcPr>
            <w:tcW w:w="3849" w:type="pct"/>
            <w:gridSpan w:val="7"/>
          </w:tcPr>
          <w:p w14:paraId="471BC2DE" w14:textId="77777777" w:rsidR="0007612C" w:rsidRPr="0007612C" w:rsidRDefault="0007612C" w:rsidP="0007612C">
            <w:pPr>
              <w:rPr>
                <w:lang w:val="en-GB"/>
              </w:rPr>
            </w:pPr>
            <w:r w:rsidRPr="0007612C">
              <w:rPr>
                <w:lang w:val="en-GB"/>
              </w:rPr>
              <w:t>We continue to experience high rates of patient enrolment in general practice services. Although many general practices report ongoing workforce and funding constraints, the number of people who cannot access general practice has slightly reduced over the quarter. In August 2023 alone, there were just over an additional 20,000 new patients enrolled in general practice. Access rates for Māori remain lower than other groups.</w:t>
            </w:r>
          </w:p>
        </w:tc>
      </w:tr>
    </w:tbl>
    <w:p w14:paraId="3F4B2DFB" w14:textId="227580F2" w:rsidR="0007612C" w:rsidRDefault="0007612C" w:rsidP="00E92FE9">
      <w:pPr>
        <w:pStyle w:val="TableText"/>
      </w:pPr>
    </w:p>
    <w:tbl>
      <w:tblPr>
        <w:tblStyle w:val="TeWhatuOra"/>
        <w:tblW w:w="5000" w:type="pct"/>
        <w:tblLayout w:type="fixed"/>
        <w:tblLook w:val="0420" w:firstRow="1" w:lastRow="0" w:firstColumn="0" w:lastColumn="0" w:noHBand="0" w:noVBand="1"/>
      </w:tblPr>
      <w:tblGrid>
        <w:gridCol w:w="4957"/>
        <w:gridCol w:w="2127"/>
        <w:gridCol w:w="1275"/>
        <w:gridCol w:w="1417"/>
        <w:gridCol w:w="1275"/>
        <w:gridCol w:w="1279"/>
        <w:gridCol w:w="1559"/>
        <w:gridCol w:w="7644"/>
      </w:tblGrid>
      <w:tr w:rsidR="00F61259" w:rsidRPr="0007612C" w14:paraId="042EE170" w14:textId="77777777" w:rsidTr="00D33BCA">
        <w:trPr>
          <w:cnfStyle w:val="100000000000" w:firstRow="1" w:lastRow="0" w:firstColumn="0" w:lastColumn="0" w:oddVBand="0" w:evenVBand="0" w:oddHBand="0" w:evenHBand="0" w:firstRowFirstColumn="0" w:firstRowLastColumn="0" w:lastRowFirstColumn="0" w:lastRowLastColumn="0"/>
          <w:trHeight w:val="635"/>
        </w:trPr>
        <w:tc>
          <w:tcPr>
            <w:tcW w:w="1151" w:type="pct"/>
          </w:tcPr>
          <w:p w14:paraId="1F7D873A" w14:textId="77777777" w:rsidR="0007612C" w:rsidRPr="0007612C" w:rsidRDefault="0007612C" w:rsidP="0007612C">
            <w:r w:rsidRPr="0007612C">
              <w:rPr>
                <w:lang w:val="en-GB"/>
              </w:rPr>
              <w:t>Measure</w:t>
            </w:r>
          </w:p>
        </w:tc>
        <w:tc>
          <w:tcPr>
            <w:tcW w:w="494" w:type="pct"/>
          </w:tcPr>
          <w:p w14:paraId="2DB97265" w14:textId="77777777" w:rsidR="0007612C" w:rsidRPr="0007612C" w:rsidRDefault="0007612C" w:rsidP="0007612C">
            <w:pPr>
              <w:rPr>
                <w:lang w:val="en-GB"/>
              </w:rPr>
            </w:pPr>
            <w:r w:rsidRPr="0007612C">
              <w:rPr>
                <w:lang w:val="en-GB"/>
              </w:rPr>
              <w:t>Ethnic group</w:t>
            </w:r>
          </w:p>
        </w:tc>
        <w:tc>
          <w:tcPr>
            <w:tcW w:w="296" w:type="pct"/>
          </w:tcPr>
          <w:p w14:paraId="3E665A9E" w14:textId="77777777" w:rsidR="0007612C" w:rsidRPr="0007612C" w:rsidRDefault="0007612C" w:rsidP="0007612C">
            <w:pPr>
              <w:rPr>
                <w:lang w:val="en-GB"/>
              </w:rPr>
            </w:pPr>
            <w:r w:rsidRPr="0007612C">
              <w:rPr>
                <w:lang w:val="en-GB"/>
              </w:rPr>
              <w:t>Q1</w:t>
            </w:r>
          </w:p>
          <w:p w14:paraId="77AF35A3" w14:textId="77777777" w:rsidR="0007612C" w:rsidRPr="0007612C" w:rsidRDefault="0007612C" w:rsidP="0007612C">
            <w:pPr>
              <w:rPr>
                <w:lang w:val="en-GB"/>
              </w:rPr>
            </w:pPr>
            <w:r w:rsidRPr="0007612C">
              <w:rPr>
                <w:lang w:val="en-GB"/>
              </w:rPr>
              <w:t>2022-23</w:t>
            </w:r>
          </w:p>
        </w:tc>
        <w:tc>
          <w:tcPr>
            <w:tcW w:w="329" w:type="pct"/>
          </w:tcPr>
          <w:p w14:paraId="17A9B10B" w14:textId="77777777" w:rsidR="0007612C" w:rsidRPr="0007612C" w:rsidRDefault="0007612C" w:rsidP="0007612C">
            <w:pPr>
              <w:rPr>
                <w:lang w:val="en-GB"/>
              </w:rPr>
            </w:pPr>
            <w:r w:rsidRPr="0007612C">
              <w:rPr>
                <w:lang w:val="en-GB"/>
              </w:rPr>
              <w:t>Q2</w:t>
            </w:r>
          </w:p>
          <w:p w14:paraId="63F9AC2A" w14:textId="77777777" w:rsidR="0007612C" w:rsidRPr="0007612C" w:rsidRDefault="0007612C" w:rsidP="0007612C">
            <w:pPr>
              <w:rPr>
                <w:lang w:val="en-GB"/>
              </w:rPr>
            </w:pPr>
            <w:r w:rsidRPr="0007612C">
              <w:rPr>
                <w:lang w:val="en-GB"/>
              </w:rPr>
              <w:t>2022-23</w:t>
            </w:r>
          </w:p>
        </w:tc>
        <w:tc>
          <w:tcPr>
            <w:tcW w:w="296" w:type="pct"/>
          </w:tcPr>
          <w:p w14:paraId="7C4EB7CC" w14:textId="77777777" w:rsidR="0007612C" w:rsidRPr="0007612C" w:rsidRDefault="0007612C" w:rsidP="0007612C">
            <w:pPr>
              <w:rPr>
                <w:lang w:val="en-GB"/>
              </w:rPr>
            </w:pPr>
            <w:r w:rsidRPr="0007612C">
              <w:rPr>
                <w:lang w:val="en-GB"/>
              </w:rPr>
              <w:t>Q3</w:t>
            </w:r>
          </w:p>
          <w:p w14:paraId="72EE0691" w14:textId="77777777" w:rsidR="0007612C" w:rsidRPr="0007612C" w:rsidRDefault="0007612C" w:rsidP="0007612C">
            <w:pPr>
              <w:rPr>
                <w:lang w:val="en-GB"/>
              </w:rPr>
            </w:pPr>
            <w:r w:rsidRPr="0007612C">
              <w:rPr>
                <w:lang w:val="en-GB"/>
              </w:rPr>
              <w:t>2022-23</w:t>
            </w:r>
          </w:p>
        </w:tc>
        <w:tc>
          <w:tcPr>
            <w:tcW w:w="297" w:type="pct"/>
          </w:tcPr>
          <w:p w14:paraId="307ED373" w14:textId="77777777" w:rsidR="0007612C" w:rsidRPr="0007612C" w:rsidRDefault="0007612C" w:rsidP="0007612C">
            <w:pPr>
              <w:rPr>
                <w:lang w:val="en-GB"/>
              </w:rPr>
            </w:pPr>
            <w:r w:rsidRPr="0007612C">
              <w:rPr>
                <w:lang w:val="en-GB"/>
              </w:rPr>
              <w:t>Q4</w:t>
            </w:r>
          </w:p>
          <w:p w14:paraId="0C82B67A" w14:textId="77777777" w:rsidR="0007612C" w:rsidRPr="0007612C" w:rsidRDefault="0007612C" w:rsidP="0007612C">
            <w:pPr>
              <w:rPr>
                <w:lang w:val="en-GB"/>
              </w:rPr>
            </w:pPr>
            <w:r w:rsidRPr="0007612C">
              <w:rPr>
                <w:lang w:val="en-GB"/>
              </w:rPr>
              <w:t>2022-23</w:t>
            </w:r>
          </w:p>
        </w:tc>
        <w:tc>
          <w:tcPr>
            <w:tcW w:w="362" w:type="pct"/>
          </w:tcPr>
          <w:p w14:paraId="0D9F15AE" w14:textId="77777777" w:rsidR="0007612C" w:rsidRPr="0007612C" w:rsidRDefault="0007612C" w:rsidP="0007612C">
            <w:pPr>
              <w:rPr>
                <w:lang w:val="en-GB"/>
              </w:rPr>
            </w:pPr>
            <w:r w:rsidRPr="0007612C">
              <w:rPr>
                <w:lang w:val="en-GB"/>
              </w:rPr>
              <w:t>Q1</w:t>
            </w:r>
          </w:p>
          <w:p w14:paraId="2B0F5FE5" w14:textId="77777777" w:rsidR="0007612C" w:rsidRPr="0007612C" w:rsidRDefault="0007612C" w:rsidP="0007612C">
            <w:pPr>
              <w:rPr>
                <w:lang w:val="en-GB"/>
              </w:rPr>
            </w:pPr>
            <w:r w:rsidRPr="0007612C">
              <w:rPr>
                <w:lang w:val="en-GB"/>
              </w:rPr>
              <w:t>2023-24</w:t>
            </w:r>
          </w:p>
        </w:tc>
        <w:tc>
          <w:tcPr>
            <w:tcW w:w="1775" w:type="pct"/>
            <w:vMerge w:val="restart"/>
            <w:shd w:val="clear" w:color="auto" w:fill="auto"/>
          </w:tcPr>
          <w:p w14:paraId="07DEAA10" w14:textId="77777777" w:rsidR="0007612C" w:rsidRPr="0007612C" w:rsidRDefault="0007612C" w:rsidP="00B83512">
            <w:pPr>
              <w:rPr>
                <w:lang w:val="en-GB"/>
              </w:rPr>
            </w:pPr>
            <w:r w:rsidRPr="0007612C">
              <w:rPr>
                <w:noProof/>
                <w:lang w:val="en-GB"/>
              </w:rPr>
              <w:drawing>
                <wp:inline distT="0" distB="0" distL="0" distR="0" wp14:anchorId="17AD0CB1" wp14:editId="7DAAD81B">
                  <wp:extent cx="4423769" cy="2878372"/>
                  <wp:effectExtent l="0" t="0" r="0" b="0"/>
                  <wp:docPr id="14" name="Chart 14" descr="Chart showing Percentage of people in adult inpatient care who responded, who report they were involved as much as they wanted to be in making decisions about their treat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F61259" w:rsidRPr="0007612C" w14:paraId="516D858C" w14:textId="77777777" w:rsidTr="00D33BCA">
        <w:trPr>
          <w:trHeight w:val="635"/>
        </w:trPr>
        <w:tc>
          <w:tcPr>
            <w:tcW w:w="1151" w:type="pct"/>
            <w:vMerge w:val="restart"/>
            <w:hideMark/>
          </w:tcPr>
          <w:p w14:paraId="158B2CF4" w14:textId="77777777" w:rsidR="0007612C" w:rsidRPr="0007612C" w:rsidRDefault="0007612C" w:rsidP="0007612C">
            <w:r w:rsidRPr="0007612C">
              <w:t>Percentage of people in adult inpatient care who responded, who report they were involved as much as they wanted to be in making decisions about their treatment</w:t>
            </w:r>
            <w:r w:rsidRPr="0007612C">
              <w:rPr>
                <w:vertAlign w:val="superscript"/>
              </w:rPr>
              <w:t xml:space="preserve"> </w:t>
            </w:r>
            <w:bookmarkStart w:id="90" w:name="_Ref150787552"/>
            <w:r w:rsidRPr="0007612C">
              <w:rPr>
                <w:vertAlign w:val="superscript"/>
              </w:rPr>
              <w:footnoteReference w:id="6"/>
            </w:r>
            <w:bookmarkEnd w:id="90"/>
            <w:r w:rsidRPr="0007612C">
              <w:rPr>
                <w:vertAlign w:val="superscript"/>
              </w:rPr>
              <w:t>,</w:t>
            </w:r>
            <w:r w:rsidRPr="0007612C">
              <w:rPr>
                <w:vertAlign w:val="superscript"/>
              </w:rPr>
              <w:footnoteReference w:id="7"/>
            </w:r>
            <w:r w:rsidRPr="0007612C">
              <w:t>.</w:t>
            </w:r>
          </w:p>
          <w:p w14:paraId="17484703" w14:textId="77777777" w:rsidR="0007612C" w:rsidRPr="0007612C" w:rsidRDefault="0007612C" w:rsidP="0007612C"/>
          <w:p w14:paraId="4AD904AC" w14:textId="77777777" w:rsidR="0007612C" w:rsidRPr="0007612C" w:rsidRDefault="0007612C" w:rsidP="0007612C">
            <w:r w:rsidRPr="0007612C">
              <w:t>Target: Improve from baseline (trend to increase)</w:t>
            </w:r>
          </w:p>
        </w:tc>
        <w:tc>
          <w:tcPr>
            <w:tcW w:w="494" w:type="pct"/>
            <w:hideMark/>
          </w:tcPr>
          <w:p w14:paraId="02951860" w14:textId="77777777" w:rsidR="0007612C" w:rsidRPr="0007612C" w:rsidRDefault="0007612C" w:rsidP="0007612C">
            <w:pPr>
              <w:rPr>
                <w:lang w:val="en-GB"/>
              </w:rPr>
            </w:pPr>
            <w:r w:rsidRPr="0007612C">
              <w:rPr>
                <w:lang w:val="en-GB"/>
              </w:rPr>
              <w:t>Māori</w:t>
            </w:r>
          </w:p>
        </w:tc>
        <w:tc>
          <w:tcPr>
            <w:tcW w:w="296" w:type="pct"/>
          </w:tcPr>
          <w:p w14:paraId="2CD4BED8" w14:textId="77777777" w:rsidR="0007612C" w:rsidRPr="0007612C" w:rsidRDefault="0007612C" w:rsidP="0007612C">
            <w:r w:rsidRPr="0007612C">
              <w:rPr>
                <w:lang w:val="en-GB"/>
              </w:rPr>
              <w:t>72%</w:t>
            </w:r>
          </w:p>
        </w:tc>
        <w:tc>
          <w:tcPr>
            <w:tcW w:w="329" w:type="pct"/>
          </w:tcPr>
          <w:p w14:paraId="78AA1F23" w14:textId="59E65409" w:rsidR="0007612C" w:rsidRPr="0007612C" w:rsidRDefault="0007612C" w:rsidP="0007612C">
            <w:r w:rsidRPr="0007612C">
              <w:rPr>
                <w:lang w:val="en-GB"/>
              </w:rPr>
              <w:t>78%</w:t>
            </w:r>
            <w:r>
              <w:rPr>
                <w:lang w:val="en-GB"/>
              </w:rPr>
              <w:t xml:space="preserve"> </w:t>
            </w:r>
            <w:r w:rsidRPr="0007612C">
              <w:rPr>
                <w:rFonts w:ascii="Wingdings" w:eastAsia="Wingdings" w:hAnsi="Wingdings" w:cs="Wingdings"/>
                <w:color w:val="00B050"/>
                <w:szCs w:val="24"/>
              </w:rPr>
              <w:t>Ý</w:t>
            </w:r>
          </w:p>
        </w:tc>
        <w:tc>
          <w:tcPr>
            <w:tcW w:w="296" w:type="pct"/>
          </w:tcPr>
          <w:p w14:paraId="31797B2D" w14:textId="07C814AB" w:rsidR="0007612C" w:rsidRPr="0007612C" w:rsidRDefault="0007612C" w:rsidP="0007612C">
            <w:r w:rsidRPr="0007612C">
              <w:rPr>
                <w:lang w:val="en-GB"/>
              </w:rPr>
              <w:t>82%</w:t>
            </w:r>
            <w:r>
              <w:t xml:space="preserve"> </w:t>
            </w:r>
            <w:r w:rsidRPr="0007612C">
              <w:rPr>
                <w:rFonts w:ascii="Wingdings" w:eastAsia="Wingdings" w:hAnsi="Wingdings" w:cs="Wingdings"/>
                <w:color w:val="00B050"/>
                <w:szCs w:val="24"/>
              </w:rPr>
              <w:t>Ý</w:t>
            </w:r>
          </w:p>
        </w:tc>
        <w:tc>
          <w:tcPr>
            <w:tcW w:w="297" w:type="pct"/>
          </w:tcPr>
          <w:p w14:paraId="1C7731C2" w14:textId="72181594" w:rsidR="0007612C" w:rsidRPr="0007612C" w:rsidRDefault="0007612C" w:rsidP="0007612C">
            <w:r w:rsidRPr="0007612C">
              <w:rPr>
                <w:lang w:val="en-GB"/>
              </w:rPr>
              <w:t>78%</w:t>
            </w:r>
            <w:r>
              <w:rPr>
                <w:lang w:val="en-GB"/>
              </w:rPr>
              <w:t xml:space="preserve"> </w:t>
            </w:r>
            <w:r w:rsidRPr="0007612C">
              <w:rPr>
                <w:rFonts w:ascii="Wingdings" w:eastAsia="Wingdings" w:hAnsi="Wingdings" w:cs="Calibri"/>
                <w:color w:val="FF0000"/>
                <w:szCs w:val="24"/>
                <w:lang w:val="en-GB" w:eastAsia="en-NZ"/>
              </w:rPr>
              <w:t>Þ</w:t>
            </w:r>
          </w:p>
        </w:tc>
        <w:tc>
          <w:tcPr>
            <w:tcW w:w="362" w:type="pct"/>
          </w:tcPr>
          <w:p w14:paraId="23BCB319" w14:textId="31429CBF" w:rsidR="0007612C" w:rsidRPr="0007612C" w:rsidRDefault="0007612C" w:rsidP="0007612C">
            <w:r w:rsidRPr="0007612C">
              <w:rPr>
                <w:lang w:val="en-GB"/>
              </w:rPr>
              <w:t>83%</w:t>
            </w:r>
            <w:r>
              <w:t xml:space="preserve"> </w:t>
            </w:r>
            <w:r w:rsidRPr="0007612C">
              <w:rPr>
                <w:rFonts w:ascii="Wingdings" w:eastAsia="Wingdings" w:hAnsi="Wingdings" w:cs="Wingdings"/>
                <w:color w:val="00B050"/>
                <w:szCs w:val="24"/>
              </w:rPr>
              <w:t>Ý</w:t>
            </w:r>
          </w:p>
        </w:tc>
        <w:tc>
          <w:tcPr>
            <w:tcW w:w="1775" w:type="pct"/>
            <w:vMerge/>
            <w:shd w:val="clear" w:color="auto" w:fill="auto"/>
          </w:tcPr>
          <w:p w14:paraId="192F94D6" w14:textId="77777777" w:rsidR="0007612C" w:rsidRPr="0007612C" w:rsidRDefault="0007612C" w:rsidP="0007612C">
            <w:pPr>
              <w:rPr>
                <w:lang w:val="en-GB"/>
              </w:rPr>
            </w:pPr>
          </w:p>
        </w:tc>
      </w:tr>
      <w:tr w:rsidR="00F61259" w:rsidRPr="0007612C" w14:paraId="22CD0D2C" w14:textId="77777777" w:rsidTr="00D33BCA">
        <w:trPr>
          <w:trHeight w:val="635"/>
        </w:trPr>
        <w:tc>
          <w:tcPr>
            <w:tcW w:w="1151" w:type="pct"/>
            <w:vMerge/>
            <w:hideMark/>
          </w:tcPr>
          <w:p w14:paraId="71A9215A" w14:textId="77777777" w:rsidR="0007612C" w:rsidRPr="0007612C" w:rsidRDefault="0007612C" w:rsidP="0007612C">
            <w:pPr>
              <w:rPr>
                <w:lang w:val="en-GB"/>
              </w:rPr>
            </w:pPr>
          </w:p>
        </w:tc>
        <w:tc>
          <w:tcPr>
            <w:tcW w:w="494" w:type="pct"/>
            <w:hideMark/>
          </w:tcPr>
          <w:p w14:paraId="00715D34" w14:textId="77777777" w:rsidR="0007612C" w:rsidRPr="0007612C" w:rsidRDefault="0007612C" w:rsidP="0007612C">
            <w:pPr>
              <w:rPr>
                <w:lang w:val="en-GB"/>
              </w:rPr>
            </w:pPr>
            <w:r w:rsidRPr="0007612C">
              <w:rPr>
                <w:lang w:val="en-GB"/>
              </w:rPr>
              <w:t>Pacific</w:t>
            </w:r>
          </w:p>
        </w:tc>
        <w:tc>
          <w:tcPr>
            <w:tcW w:w="296" w:type="pct"/>
          </w:tcPr>
          <w:p w14:paraId="18114FC3" w14:textId="77777777" w:rsidR="0007612C" w:rsidRPr="0007612C" w:rsidRDefault="0007612C" w:rsidP="0007612C">
            <w:r w:rsidRPr="0007612C">
              <w:rPr>
                <w:lang w:val="en-GB"/>
              </w:rPr>
              <w:t>77%</w:t>
            </w:r>
          </w:p>
        </w:tc>
        <w:tc>
          <w:tcPr>
            <w:tcW w:w="329" w:type="pct"/>
          </w:tcPr>
          <w:p w14:paraId="6B2DA456" w14:textId="7C8C52C1" w:rsidR="0007612C" w:rsidRPr="0007612C" w:rsidRDefault="0007612C" w:rsidP="0007612C">
            <w:r w:rsidRPr="0007612C">
              <w:rPr>
                <w:lang w:val="en-GB"/>
              </w:rPr>
              <w:t>85%</w:t>
            </w:r>
            <w:r>
              <w:t xml:space="preserve"> </w:t>
            </w:r>
            <w:r w:rsidRPr="0007612C">
              <w:rPr>
                <w:rFonts w:ascii="Wingdings" w:eastAsia="Wingdings" w:hAnsi="Wingdings" w:cs="Wingdings"/>
                <w:color w:val="00B050"/>
                <w:szCs w:val="24"/>
              </w:rPr>
              <w:t>Ý</w:t>
            </w:r>
          </w:p>
        </w:tc>
        <w:tc>
          <w:tcPr>
            <w:tcW w:w="296" w:type="pct"/>
          </w:tcPr>
          <w:p w14:paraId="51065AEF" w14:textId="564FA21D" w:rsidR="0007612C" w:rsidRPr="0007612C" w:rsidRDefault="0007612C" w:rsidP="0007612C">
            <w:r w:rsidRPr="0007612C">
              <w:rPr>
                <w:lang w:val="en-GB"/>
              </w:rPr>
              <w:t>92%</w:t>
            </w:r>
            <w:r>
              <w:rPr>
                <w:lang w:val="en-GB"/>
              </w:rPr>
              <w:t xml:space="preserve"> </w:t>
            </w:r>
            <w:r w:rsidRPr="0007612C">
              <w:rPr>
                <w:rFonts w:ascii="Wingdings" w:eastAsia="Wingdings" w:hAnsi="Wingdings" w:cs="Wingdings"/>
                <w:color w:val="00B050"/>
                <w:szCs w:val="24"/>
              </w:rPr>
              <w:t>Ý</w:t>
            </w:r>
          </w:p>
        </w:tc>
        <w:tc>
          <w:tcPr>
            <w:tcW w:w="297" w:type="pct"/>
          </w:tcPr>
          <w:p w14:paraId="7BDB6367" w14:textId="6320A61F" w:rsidR="0007612C" w:rsidRPr="0007612C" w:rsidRDefault="0007612C" w:rsidP="0007612C">
            <w:r w:rsidRPr="0007612C">
              <w:rPr>
                <w:lang w:val="en-GB"/>
              </w:rPr>
              <w:t>83%</w:t>
            </w:r>
            <w:r>
              <w:rPr>
                <w:lang w:val="en-GB"/>
              </w:rPr>
              <w:t xml:space="preserve"> </w:t>
            </w:r>
            <w:r w:rsidRPr="0007612C">
              <w:rPr>
                <w:rFonts w:ascii="Wingdings" w:eastAsia="Wingdings" w:hAnsi="Wingdings" w:cs="Calibri"/>
                <w:color w:val="FF0000"/>
                <w:szCs w:val="24"/>
                <w:lang w:val="en-GB" w:eastAsia="en-NZ"/>
              </w:rPr>
              <w:t>Þ</w:t>
            </w:r>
          </w:p>
        </w:tc>
        <w:tc>
          <w:tcPr>
            <w:tcW w:w="362" w:type="pct"/>
          </w:tcPr>
          <w:p w14:paraId="2A816BCB" w14:textId="5A33AADF" w:rsidR="0007612C" w:rsidRPr="0007612C" w:rsidRDefault="0007612C" w:rsidP="0007612C">
            <w:r w:rsidRPr="0007612C">
              <w:rPr>
                <w:lang w:val="en-GB"/>
              </w:rPr>
              <w:t>85%</w:t>
            </w:r>
            <w:r>
              <w:t xml:space="preserve"> </w:t>
            </w:r>
            <w:r w:rsidRPr="0007612C">
              <w:rPr>
                <w:rFonts w:ascii="Wingdings" w:eastAsia="Wingdings" w:hAnsi="Wingdings" w:cs="Wingdings"/>
                <w:color w:val="00B050"/>
                <w:szCs w:val="24"/>
              </w:rPr>
              <w:t>Ý</w:t>
            </w:r>
          </w:p>
        </w:tc>
        <w:tc>
          <w:tcPr>
            <w:tcW w:w="1775" w:type="pct"/>
            <w:vMerge/>
            <w:shd w:val="clear" w:color="auto" w:fill="auto"/>
          </w:tcPr>
          <w:p w14:paraId="42110A83" w14:textId="77777777" w:rsidR="0007612C" w:rsidRPr="0007612C" w:rsidRDefault="0007612C" w:rsidP="0007612C">
            <w:pPr>
              <w:rPr>
                <w:lang w:val="en-GB"/>
              </w:rPr>
            </w:pPr>
          </w:p>
        </w:tc>
      </w:tr>
      <w:tr w:rsidR="00F61259" w:rsidRPr="0007612C" w14:paraId="64A8B039" w14:textId="77777777" w:rsidTr="00D33BCA">
        <w:trPr>
          <w:trHeight w:val="635"/>
        </w:trPr>
        <w:tc>
          <w:tcPr>
            <w:tcW w:w="1151" w:type="pct"/>
            <w:vMerge/>
          </w:tcPr>
          <w:p w14:paraId="2F7F12B3" w14:textId="77777777" w:rsidR="0007612C" w:rsidRPr="0007612C" w:rsidRDefault="0007612C" w:rsidP="0007612C">
            <w:pPr>
              <w:rPr>
                <w:lang w:val="en-GB"/>
              </w:rPr>
            </w:pPr>
          </w:p>
        </w:tc>
        <w:tc>
          <w:tcPr>
            <w:tcW w:w="494" w:type="pct"/>
          </w:tcPr>
          <w:p w14:paraId="38FD1BF8" w14:textId="0057A1A0" w:rsidR="0007612C" w:rsidRPr="0007612C" w:rsidRDefault="0007612C" w:rsidP="0007612C">
            <w:pPr>
              <w:rPr>
                <w:lang w:val="en-GB"/>
              </w:rPr>
            </w:pPr>
            <w:r w:rsidRPr="0007612C">
              <w:rPr>
                <w:lang w:val="en-GB"/>
              </w:rPr>
              <w:t xml:space="preserve">New Zealand European and </w:t>
            </w:r>
            <w:r w:rsidR="00352BAB">
              <w:rPr>
                <w:lang w:val="en-GB"/>
              </w:rPr>
              <w:t>a</w:t>
            </w:r>
            <w:r w:rsidRPr="0007612C">
              <w:rPr>
                <w:lang w:val="en-GB"/>
              </w:rPr>
              <w:t>ll other ethnicities</w:t>
            </w:r>
          </w:p>
        </w:tc>
        <w:tc>
          <w:tcPr>
            <w:tcW w:w="296" w:type="pct"/>
          </w:tcPr>
          <w:p w14:paraId="6126C2BF" w14:textId="77777777" w:rsidR="0007612C" w:rsidRPr="0007612C" w:rsidRDefault="0007612C" w:rsidP="0007612C">
            <w:r w:rsidRPr="0007612C">
              <w:rPr>
                <w:lang w:val="en-GB"/>
              </w:rPr>
              <w:t>77%</w:t>
            </w:r>
          </w:p>
        </w:tc>
        <w:tc>
          <w:tcPr>
            <w:tcW w:w="329" w:type="pct"/>
          </w:tcPr>
          <w:p w14:paraId="270A086F" w14:textId="0300706F" w:rsidR="0007612C" w:rsidRPr="0007612C" w:rsidRDefault="0007612C" w:rsidP="0007612C">
            <w:r w:rsidRPr="0007612C">
              <w:rPr>
                <w:lang w:val="en-GB"/>
              </w:rPr>
              <w:t>81%</w:t>
            </w:r>
            <w:r>
              <w:t xml:space="preserve"> </w:t>
            </w:r>
            <w:r w:rsidRPr="0007612C">
              <w:rPr>
                <w:rFonts w:ascii="Wingdings" w:eastAsia="Wingdings" w:hAnsi="Wingdings" w:cs="Wingdings"/>
                <w:color w:val="00B050"/>
                <w:szCs w:val="24"/>
              </w:rPr>
              <w:t>Ý</w:t>
            </w:r>
          </w:p>
        </w:tc>
        <w:tc>
          <w:tcPr>
            <w:tcW w:w="296" w:type="pct"/>
          </w:tcPr>
          <w:p w14:paraId="46F24525" w14:textId="25942A50" w:rsidR="0007612C" w:rsidRPr="0007612C" w:rsidRDefault="0007612C" w:rsidP="0007612C">
            <w:r w:rsidRPr="0007612C">
              <w:rPr>
                <w:lang w:val="en-GB"/>
              </w:rPr>
              <w:t>82%</w:t>
            </w:r>
            <w:r>
              <w:t xml:space="preserve"> </w:t>
            </w:r>
            <w:r w:rsidRPr="0007612C">
              <w:rPr>
                <w:rFonts w:ascii="Wingdings" w:eastAsia="Wingdings" w:hAnsi="Wingdings" w:cs="Wingdings"/>
                <w:color w:val="00B050"/>
                <w:szCs w:val="24"/>
              </w:rPr>
              <w:t>Ý</w:t>
            </w:r>
          </w:p>
        </w:tc>
        <w:tc>
          <w:tcPr>
            <w:tcW w:w="297" w:type="pct"/>
          </w:tcPr>
          <w:p w14:paraId="57536678" w14:textId="58430DAA" w:rsidR="0007612C" w:rsidRPr="0007612C" w:rsidRDefault="0007612C" w:rsidP="0007612C">
            <w:r w:rsidRPr="0007612C">
              <w:rPr>
                <w:lang w:val="en-GB"/>
              </w:rPr>
              <w:t>79%</w:t>
            </w:r>
            <w:r>
              <w:rPr>
                <w:lang w:val="en-GB"/>
              </w:rPr>
              <w:t xml:space="preserve"> </w:t>
            </w:r>
            <w:r w:rsidRPr="0007612C">
              <w:rPr>
                <w:rFonts w:ascii="Wingdings" w:eastAsia="Wingdings" w:hAnsi="Wingdings" w:cs="Calibri"/>
                <w:color w:val="FF0000"/>
                <w:szCs w:val="24"/>
                <w:lang w:val="en-GB" w:eastAsia="en-NZ"/>
              </w:rPr>
              <w:t>Þ</w:t>
            </w:r>
          </w:p>
        </w:tc>
        <w:tc>
          <w:tcPr>
            <w:tcW w:w="362" w:type="pct"/>
          </w:tcPr>
          <w:p w14:paraId="358EF51E" w14:textId="465928D7" w:rsidR="0007612C" w:rsidRPr="0007612C" w:rsidRDefault="0007612C" w:rsidP="0007612C">
            <w:r w:rsidRPr="0007612C">
              <w:rPr>
                <w:lang w:val="en-GB"/>
              </w:rPr>
              <w:t>82%</w:t>
            </w:r>
            <w:r>
              <w:t xml:space="preserve"> </w:t>
            </w:r>
            <w:r w:rsidRPr="0007612C">
              <w:rPr>
                <w:rFonts w:ascii="Wingdings" w:eastAsia="Wingdings" w:hAnsi="Wingdings" w:cs="Wingdings"/>
                <w:color w:val="00B050"/>
                <w:szCs w:val="24"/>
              </w:rPr>
              <w:t>Ý</w:t>
            </w:r>
          </w:p>
        </w:tc>
        <w:tc>
          <w:tcPr>
            <w:tcW w:w="1775" w:type="pct"/>
            <w:vMerge/>
            <w:shd w:val="clear" w:color="auto" w:fill="auto"/>
          </w:tcPr>
          <w:p w14:paraId="485E4C7A" w14:textId="77777777" w:rsidR="0007612C" w:rsidRPr="0007612C" w:rsidRDefault="0007612C" w:rsidP="0007612C">
            <w:pPr>
              <w:rPr>
                <w:lang w:val="en-GB"/>
              </w:rPr>
            </w:pPr>
          </w:p>
        </w:tc>
      </w:tr>
      <w:tr w:rsidR="00F61259" w:rsidRPr="0007612C" w14:paraId="595CADB9" w14:textId="77777777" w:rsidTr="00D33BCA">
        <w:trPr>
          <w:trHeight w:val="635"/>
        </w:trPr>
        <w:tc>
          <w:tcPr>
            <w:tcW w:w="1151" w:type="pct"/>
            <w:vMerge/>
          </w:tcPr>
          <w:p w14:paraId="367D549F" w14:textId="77777777" w:rsidR="0007612C" w:rsidRPr="0007612C" w:rsidRDefault="0007612C" w:rsidP="0007612C">
            <w:pPr>
              <w:rPr>
                <w:lang w:val="en-GB"/>
              </w:rPr>
            </w:pPr>
          </w:p>
        </w:tc>
        <w:tc>
          <w:tcPr>
            <w:tcW w:w="494" w:type="pct"/>
          </w:tcPr>
          <w:p w14:paraId="01243068" w14:textId="77777777" w:rsidR="0007612C" w:rsidRPr="0007612C" w:rsidRDefault="0007612C" w:rsidP="0007612C">
            <w:pPr>
              <w:rPr>
                <w:lang w:val="en-GB"/>
              </w:rPr>
            </w:pPr>
            <w:r w:rsidRPr="0007612C">
              <w:rPr>
                <w:lang w:val="en-GB"/>
              </w:rPr>
              <w:t>Asian</w:t>
            </w:r>
          </w:p>
        </w:tc>
        <w:tc>
          <w:tcPr>
            <w:tcW w:w="296" w:type="pct"/>
          </w:tcPr>
          <w:p w14:paraId="6461B4AF" w14:textId="77777777" w:rsidR="0007612C" w:rsidRPr="0007612C" w:rsidRDefault="0007612C" w:rsidP="0007612C">
            <w:r w:rsidRPr="0007612C">
              <w:rPr>
                <w:lang w:val="en-GB"/>
              </w:rPr>
              <w:t>83%</w:t>
            </w:r>
          </w:p>
        </w:tc>
        <w:tc>
          <w:tcPr>
            <w:tcW w:w="329" w:type="pct"/>
          </w:tcPr>
          <w:p w14:paraId="135D928B" w14:textId="0E420403" w:rsidR="0007612C" w:rsidRPr="0007612C" w:rsidRDefault="0007612C" w:rsidP="0007612C">
            <w:r w:rsidRPr="0007612C">
              <w:rPr>
                <w:lang w:val="en-GB"/>
              </w:rPr>
              <w:t>86%</w:t>
            </w:r>
            <w:r>
              <w:t xml:space="preserve"> </w:t>
            </w:r>
            <w:r w:rsidRPr="0007612C">
              <w:rPr>
                <w:rFonts w:ascii="Wingdings" w:eastAsia="Wingdings" w:hAnsi="Wingdings" w:cs="Wingdings"/>
                <w:color w:val="00B050"/>
                <w:szCs w:val="24"/>
              </w:rPr>
              <w:t>Ý</w:t>
            </w:r>
          </w:p>
        </w:tc>
        <w:tc>
          <w:tcPr>
            <w:tcW w:w="296" w:type="pct"/>
          </w:tcPr>
          <w:p w14:paraId="07CB8BD5" w14:textId="53456C70" w:rsidR="0007612C" w:rsidRPr="0007612C" w:rsidRDefault="0007612C" w:rsidP="0007612C">
            <w:r w:rsidRPr="0007612C">
              <w:rPr>
                <w:lang w:val="en-GB"/>
              </w:rPr>
              <w:t>88%</w:t>
            </w:r>
            <w:r>
              <w:t xml:space="preserve"> </w:t>
            </w:r>
            <w:r w:rsidRPr="0007612C">
              <w:rPr>
                <w:rFonts w:ascii="Wingdings" w:eastAsia="Wingdings" w:hAnsi="Wingdings" w:cs="Wingdings"/>
                <w:color w:val="00B050"/>
                <w:szCs w:val="24"/>
              </w:rPr>
              <w:t>Ý</w:t>
            </w:r>
          </w:p>
        </w:tc>
        <w:tc>
          <w:tcPr>
            <w:tcW w:w="297" w:type="pct"/>
          </w:tcPr>
          <w:p w14:paraId="26C019BC" w14:textId="7CF5EC69" w:rsidR="0007612C" w:rsidRPr="0007612C" w:rsidRDefault="0007612C" w:rsidP="0007612C">
            <w:r w:rsidRPr="0007612C">
              <w:rPr>
                <w:lang w:val="en-GB"/>
              </w:rPr>
              <w:t>90%</w:t>
            </w:r>
            <w:r>
              <w:t xml:space="preserve"> </w:t>
            </w:r>
            <w:r w:rsidRPr="0007612C">
              <w:rPr>
                <w:rFonts w:ascii="Wingdings" w:eastAsia="Wingdings" w:hAnsi="Wingdings" w:cs="Wingdings"/>
                <w:color w:val="00B050"/>
                <w:szCs w:val="24"/>
              </w:rPr>
              <w:t>Ý</w:t>
            </w:r>
          </w:p>
        </w:tc>
        <w:tc>
          <w:tcPr>
            <w:tcW w:w="362" w:type="pct"/>
          </w:tcPr>
          <w:p w14:paraId="32A81358" w14:textId="0252394E" w:rsidR="0007612C" w:rsidRPr="0007612C" w:rsidRDefault="0007612C" w:rsidP="0007612C">
            <w:r w:rsidRPr="0007612C">
              <w:rPr>
                <w:lang w:val="en-GB"/>
              </w:rPr>
              <w:t>91%</w:t>
            </w:r>
            <w:r>
              <w:t xml:space="preserve"> </w:t>
            </w:r>
            <w:r w:rsidRPr="0007612C">
              <w:rPr>
                <w:rFonts w:ascii="Wingdings" w:eastAsia="Wingdings" w:hAnsi="Wingdings" w:cs="Wingdings"/>
                <w:color w:val="00B050"/>
                <w:szCs w:val="24"/>
              </w:rPr>
              <w:t>Ý</w:t>
            </w:r>
          </w:p>
        </w:tc>
        <w:tc>
          <w:tcPr>
            <w:tcW w:w="1775" w:type="pct"/>
            <w:vMerge/>
            <w:shd w:val="clear" w:color="auto" w:fill="auto"/>
          </w:tcPr>
          <w:p w14:paraId="74FAECD5" w14:textId="77777777" w:rsidR="0007612C" w:rsidRPr="0007612C" w:rsidRDefault="0007612C" w:rsidP="0007612C">
            <w:pPr>
              <w:rPr>
                <w:lang w:val="en-GB"/>
              </w:rPr>
            </w:pPr>
          </w:p>
        </w:tc>
      </w:tr>
      <w:tr w:rsidR="00F61259" w:rsidRPr="0007612C" w14:paraId="78C8055C" w14:textId="77777777" w:rsidTr="00D33BCA">
        <w:trPr>
          <w:trHeight w:val="635"/>
        </w:trPr>
        <w:tc>
          <w:tcPr>
            <w:tcW w:w="1151" w:type="pct"/>
            <w:vMerge/>
            <w:hideMark/>
          </w:tcPr>
          <w:p w14:paraId="53818645" w14:textId="77777777" w:rsidR="0007612C" w:rsidRPr="0007612C" w:rsidRDefault="0007612C" w:rsidP="0007612C">
            <w:pPr>
              <w:rPr>
                <w:lang w:val="en-GB"/>
              </w:rPr>
            </w:pPr>
          </w:p>
        </w:tc>
        <w:tc>
          <w:tcPr>
            <w:tcW w:w="494" w:type="pct"/>
            <w:hideMark/>
          </w:tcPr>
          <w:p w14:paraId="2B08ECC5" w14:textId="77777777" w:rsidR="0007612C" w:rsidRPr="0007612C" w:rsidRDefault="0007612C" w:rsidP="0007612C">
            <w:pPr>
              <w:rPr>
                <w:lang w:val="en-GB"/>
              </w:rPr>
            </w:pPr>
            <w:r w:rsidRPr="0007612C">
              <w:rPr>
                <w:lang w:val="en-GB"/>
              </w:rPr>
              <w:t>Total</w:t>
            </w:r>
          </w:p>
        </w:tc>
        <w:tc>
          <w:tcPr>
            <w:tcW w:w="296" w:type="pct"/>
          </w:tcPr>
          <w:p w14:paraId="10700408" w14:textId="77777777" w:rsidR="0007612C" w:rsidRPr="0007612C" w:rsidRDefault="0007612C" w:rsidP="0007612C">
            <w:r w:rsidRPr="0007612C">
              <w:rPr>
                <w:lang w:val="en-GB"/>
              </w:rPr>
              <w:t>76%</w:t>
            </w:r>
          </w:p>
        </w:tc>
        <w:tc>
          <w:tcPr>
            <w:tcW w:w="329" w:type="pct"/>
          </w:tcPr>
          <w:p w14:paraId="34575ECE" w14:textId="107DDDC1" w:rsidR="0007612C" w:rsidRPr="0007612C" w:rsidRDefault="0007612C" w:rsidP="0007612C">
            <w:r w:rsidRPr="0007612C">
              <w:rPr>
                <w:lang w:val="en-GB"/>
              </w:rPr>
              <w:t>81%</w:t>
            </w:r>
            <w:r>
              <w:t xml:space="preserve"> </w:t>
            </w:r>
            <w:r w:rsidRPr="0007612C">
              <w:rPr>
                <w:rFonts w:ascii="Wingdings" w:eastAsia="Wingdings" w:hAnsi="Wingdings" w:cs="Wingdings"/>
                <w:color w:val="00B050"/>
                <w:szCs w:val="24"/>
              </w:rPr>
              <w:t>Ý</w:t>
            </w:r>
          </w:p>
        </w:tc>
        <w:tc>
          <w:tcPr>
            <w:tcW w:w="296" w:type="pct"/>
          </w:tcPr>
          <w:p w14:paraId="16DCCBA5" w14:textId="25812D6F" w:rsidR="0007612C" w:rsidRPr="0007612C" w:rsidRDefault="0007612C" w:rsidP="0007612C">
            <w:r w:rsidRPr="0007612C">
              <w:rPr>
                <w:lang w:val="en-GB"/>
              </w:rPr>
              <w:t>83%</w:t>
            </w:r>
            <w:r>
              <w:t xml:space="preserve"> </w:t>
            </w:r>
            <w:r w:rsidRPr="0007612C">
              <w:rPr>
                <w:rFonts w:ascii="Wingdings" w:eastAsia="Wingdings" w:hAnsi="Wingdings" w:cs="Wingdings"/>
                <w:color w:val="00B050"/>
                <w:szCs w:val="24"/>
              </w:rPr>
              <w:t>Ý</w:t>
            </w:r>
          </w:p>
        </w:tc>
        <w:tc>
          <w:tcPr>
            <w:tcW w:w="297" w:type="pct"/>
          </w:tcPr>
          <w:p w14:paraId="2F7D455F" w14:textId="47D82EC3" w:rsidR="0007612C" w:rsidRPr="0007612C" w:rsidRDefault="0007612C" w:rsidP="0007612C">
            <w:r w:rsidRPr="0007612C">
              <w:rPr>
                <w:lang w:val="en-GB"/>
              </w:rPr>
              <w:t>80%</w:t>
            </w:r>
            <w:r>
              <w:rPr>
                <w:lang w:val="en-GB"/>
              </w:rPr>
              <w:t xml:space="preserve"> </w:t>
            </w:r>
            <w:r w:rsidRPr="0007612C">
              <w:rPr>
                <w:rFonts w:ascii="Wingdings" w:eastAsia="Wingdings" w:hAnsi="Wingdings" w:cs="Calibri"/>
                <w:color w:val="FF0000"/>
                <w:szCs w:val="24"/>
                <w:lang w:val="en-GB" w:eastAsia="en-NZ"/>
              </w:rPr>
              <w:t>Þ</w:t>
            </w:r>
          </w:p>
        </w:tc>
        <w:tc>
          <w:tcPr>
            <w:tcW w:w="362" w:type="pct"/>
          </w:tcPr>
          <w:p w14:paraId="73DB0B79" w14:textId="7B0372C8" w:rsidR="0007612C" w:rsidRPr="0007612C" w:rsidRDefault="0007612C" w:rsidP="0007612C">
            <w:r w:rsidRPr="0007612C">
              <w:rPr>
                <w:lang w:val="en-GB"/>
              </w:rPr>
              <w:t>83%</w:t>
            </w:r>
            <w:r>
              <w:t xml:space="preserve"> </w:t>
            </w:r>
            <w:r w:rsidRPr="0007612C">
              <w:rPr>
                <w:rFonts w:ascii="Wingdings" w:eastAsia="Wingdings" w:hAnsi="Wingdings" w:cs="Wingdings"/>
                <w:color w:val="00B050"/>
                <w:szCs w:val="24"/>
              </w:rPr>
              <w:t>Ý</w:t>
            </w:r>
          </w:p>
        </w:tc>
        <w:tc>
          <w:tcPr>
            <w:tcW w:w="1775" w:type="pct"/>
            <w:vMerge/>
            <w:shd w:val="clear" w:color="auto" w:fill="auto"/>
          </w:tcPr>
          <w:p w14:paraId="3554297A" w14:textId="77777777" w:rsidR="0007612C" w:rsidRPr="0007612C" w:rsidRDefault="0007612C" w:rsidP="0007612C">
            <w:pPr>
              <w:rPr>
                <w:lang w:val="en-GB"/>
              </w:rPr>
            </w:pPr>
          </w:p>
        </w:tc>
      </w:tr>
      <w:tr w:rsidR="0007612C" w:rsidRPr="0007612C" w14:paraId="459C4919" w14:textId="77777777" w:rsidTr="00D33BCA">
        <w:trPr>
          <w:trHeight w:val="300"/>
        </w:trPr>
        <w:tc>
          <w:tcPr>
            <w:tcW w:w="1151" w:type="pct"/>
          </w:tcPr>
          <w:p w14:paraId="2C8284AC" w14:textId="77777777" w:rsidR="0007612C" w:rsidRPr="0007612C" w:rsidRDefault="0007612C" w:rsidP="0007612C">
            <w:pPr>
              <w:rPr>
                <w:lang w:val="en-GB"/>
              </w:rPr>
            </w:pPr>
            <w:r w:rsidRPr="0007612C">
              <w:rPr>
                <w:lang w:val="en-GB"/>
              </w:rPr>
              <w:t>Comments</w:t>
            </w:r>
          </w:p>
          <w:p w14:paraId="262883D7" w14:textId="77777777" w:rsidR="0007612C" w:rsidRPr="0007612C" w:rsidRDefault="0007612C" w:rsidP="0007612C">
            <w:pPr>
              <w:rPr>
                <w:lang w:val="en-GB"/>
              </w:rPr>
            </w:pPr>
          </w:p>
        </w:tc>
        <w:tc>
          <w:tcPr>
            <w:tcW w:w="3849" w:type="pct"/>
            <w:gridSpan w:val="7"/>
          </w:tcPr>
          <w:p w14:paraId="7B56A246" w14:textId="77777777" w:rsidR="0007612C" w:rsidRPr="0007612C" w:rsidRDefault="0007612C" w:rsidP="0007612C">
            <w:pPr>
              <w:rPr>
                <w:lang w:val="en-GB"/>
              </w:rPr>
            </w:pPr>
            <w:r w:rsidRPr="0007612C">
              <w:rPr>
                <w:lang w:val="en-GB"/>
              </w:rPr>
              <w:t>This measure is reported through the national inpatient experience survey. Results show that most people feel involved as much as they wanted to be in making decisions about their own treatment. Results are trending upwards over the past year.</w:t>
            </w:r>
          </w:p>
        </w:tc>
      </w:tr>
    </w:tbl>
    <w:p w14:paraId="09487DB6" w14:textId="77777777" w:rsidR="0007612C" w:rsidRDefault="0007612C" w:rsidP="00E92FE9">
      <w:pPr>
        <w:pStyle w:val="TableText"/>
      </w:pPr>
    </w:p>
    <w:tbl>
      <w:tblPr>
        <w:tblStyle w:val="TeWhatuOra"/>
        <w:tblW w:w="5000" w:type="pct"/>
        <w:tblLook w:val="0420" w:firstRow="1" w:lastRow="0" w:firstColumn="0" w:lastColumn="0" w:noHBand="0" w:noVBand="1"/>
      </w:tblPr>
      <w:tblGrid>
        <w:gridCol w:w="4923"/>
        <w:gridCol w:w="2127"/>
        <w:gridCol w:w="1309"/>
        <w:gridCol w:w="1417"/>
        <w:gridCol w:w="1275"/>
        <w:gridCol w:w="1249"/>
        <w:gridCol w:w="1602"/>
        <w:gridCol w:w="7631"/>
      </w:tblGrid>
      <w:tr w:rsidR="0007612C" w:rsidRPr="0007612C" w14:paraId="1D5580E9" w14:textId="77777777" w:rsidTr="00D50B7E">
        <w:trPr>
          <w:cnfStyle w:val="100000000000" w:firstRow="1" w:lastRow="0" w:firstColumn="0" w:lastColumn="0" w:oddVBand="0" w:evenVBand="0" w:oddHBand="0" w:evenHBand="0" w:firstRowFirstColumn="0" w:firstRowLastColumn="0" w:lastRowFirstColumn="0" w:lastRowLastColumn="0"/>
          <w:trHeight w:val="655"/>
        </w:trPr>
        <w:tc>
          <w:tcPr>
            <w:tcW w:w="1143" w:type="pct"/>
          </w:tcPr>
          <w:p w14:paraId="77F68A25" w14:textId="77777777" w:rsidR="0007612C" w:rsidRPr="0007612C" w:rsidRDefault="0007612C" w:rsidP="0007612C">
            <w:pPr>
              <w:rPr>
                <w:lang w:val="en-GB"/>
              </w:rPr>
            </w:pPr>
            <w:r w:rsidRPr="0007612C">
              <w:rPr>
                <w:lang w:val="en-GB"/>
              </w:rPr>
              <w:t>Measure</w:t>
            </w:r>
          </w:p>
        </w:tc>
        <w:tc>
          <w:tcPr>
            <w:tcW w:w="494" w:type="pct"/>
          </w:tcPr>
          <w:p w14:paraId="481EB297" w14:textId="77777777" w:rsidR="0007612C" w:rsidRPr="0007612C" w:rsidRDefault="0007612C" w:rsidP="0007612C">
            <w:pPr>
              <w:rPr>
                <w:lang w:val="en-GB"/>
              </w:rPr>
            </w:pPr>
            <w:r w:rsidRPr="0007612C">
              <w:rPr>
                <w:lang w:val="en-GB"/>
              </w:rPr>
              <w:t>Ethnic group</w:t>
            </w:r>
          </w:p>
        </w:tc>
        <w:tc>
          <w:tcPr>
            <w:tcW w:w="304" w:type="pct"/>
          </w:tcPr>
          <w:p w14:paraId="5CB61C27" w14:textId="77777777" w:rsidR="0007612C" w:rsidRPr="0007612C" w:rsidRDefault="0007612C" w:rsidP="0007612C">
            <w:pPr>
              <w:rPr>
                <w:lang w:val="en-GB"/>
              </w:rPr>
            </w:pPr>
            <w:r w:rsidRPr="0007612C">
              <w:rPr>
                <w:lang w:val="en-GB"/>
              </w:rPr>
              <w:t xml:space="preserve">Q1 </w:t>
            </w:r>
          </w:p>
          <w:p w14:paraId="5162E114" w14:textId="77777777" w:rsidR="0007612C" w:rsidRPr="0007612C" w:rsidRDefault="0007612C" w:rsidP="0007612C">
            <w:pPr>
              <w:rPr>
                <w:lang w:val="en-GB"/>
              </w:rPr>
            </w:pPr>
            <w:r w:rsidRPr="0007612C">
              <w:rPr>
                <w:lang w:val="en-GB"/>
              </w:rPr>
              <w:t>2022-23</w:t>
            </w:r>
          </w:p>
        </w:tc>
        <w:tc>
          <w:tcPr>
            <w:tcW w:w="329" w:type="pct"/>
          </w:tcPr>
          <w:p w14:paraId="59619F18" w14:textId="77777777" w:rsidR="0007612C" w:rsidRPr="0007612C" w:rsidRDefault="0007612C" w:rsidP="0007612C">
            <w:pPr>
              <w:rPr>
                <w:lang w:val="en-GB"/>
              </w:rPr>
            </w:pPr>
            <w:r w:rsidRPr="0007612C">
              <w:rPr>
                <w:lang w:val="en-GB"/>
              </w:rPr>
              <w:t xml:space="preserve">Q2 </w:t>
            </w:r>
          </w:p>
          <w:p w14:paraId="11214BF7" w14:textId="77777777" w:rsidR="0007612C" w:rsidRPr="0007612C" w:rsidRDefault="0007612C" w:rsidP="0007612C">
            <w:pPr>
              <w:rPr>
                <w:lang w:val="en-GB"/>
              </w:rPr>
            </w:pPr>
            <w:r w:rsidRPr="0007612C">
              <w:rPr>
                <w:lang w:val="en-GB"/>
              </w:rPr>
              <w:t>2022-23</w:t>
            </w:r>
          </w:p>
        </w:tc>
        <w:tc>
          <w:tcPr>
            <w:tcW w:w="296" w:type="pct"/>
          </w:tcPr>
          <w:p w14:paraId="456BF9F4" w14:textId="77777777" w:rsidR="0007612C" w:rsidRPr="0007612C" w:rsidRDefault="0007612C" w:rsidP="0007612C">
            <w:pPr>
              <w:rPr>
                <w:lang w:val="en-GB"/>
              </w:rPr>
            </w:pPr>
            <w:r w:rsidRPr="0007612C">
              <w:rPr>
                <w:lang w:val="en-GB"/>
              </w:rPr>
              <w:t xml:space="preserve">Q3 </w:t>
            </w:r>
          </w:p>
          <w:p w14:paraId="5A60DA75" w14:textId="77777777" w:rsidR="0007612C" w:rsidRPr="0007612C" w:rsidRDefault="0007612C" w:rsidP="0007612C">
            <w:pPr>
              <w:rPr>
                <w:lang w:val="en-GB"/>
              </w:rPr>
            </w:pPr>
            <w:r w:rsidRPr="0007612C">
              <w:rPr>
                <w:lang w:val="en-GB"/>
              </w:rPr>
              <w:t>2022-23</w:t>
            </w:r>
          </w:p>
        </w:tc>
        <w:tc>
          <w:tcPr>
            <w:tcW w:w="290" w:type="pct"/>
          </w:tcPr>
          <w:p w14:paraId="50A9AC05" w14:textId="77777777" w:rsidR="0007612C" w:rsidRPr="0007612C" w:rsidRDefault="0007612C" w:rsidP="0007612C">
            <w:pPr>
              <w:rPr>
                <w:lang w:val="en-GB"/>
              </w:rPr>
            </w:pPr>
            <w:r w:rsidRPr="0007612C">
              <w:rPr>
                <w:lang w:val="en-GB"/>
              </w:rPr>
              <w:t xml:space="preserve">Q4 </w:t>
            </w:r>
          </w:p>
          <w:p w14:paraId="18391CC7" w14:textId="77777777" w:rsidR="0007612C" w:rsidRPr="0007612C" w:rsidRDefault="0007612C" w:rsidP="0007612C">
            <w:pPr>
              <w:rPr>
                <w:lang w:val="en-GB"/>
              </w:rPr>
            </w:pPr>
            <w:r w:rsidRPr="0007612C">
              <w:rPr>
                <w:lang w:val="en-GB"/>
              </w:rPr>
              <w:t>2022-23</w:t>
            </w:r>
          </w:p>
        </w:tc>
        <w:tc>
          <w:tcPr>
            <w:tcW w:w="372" w:type="pct"/>
          </w:tcPr>
          <w:p w14:paraId="6211B36A" w14:textId="77777777" w:rsidR="0007612C" w:rsidRPr="0007612C" w:rsidRDefault="0007612C" w:rsidP="0007612C">
            <w:pPr>
              <w:rPr>
                <w:lang w:val="en-GB"/>
              </w:rPr>
            </w:pPr>
            <w:r w:rsidRPr="0007612C">
              <w:rPr>
                <w:lang w:val="en-GB"/>
              </w:rPr>
              <w:t>Q1</w:t>
            </w:r>
          </w:p>
          <w:p w14:paraId="5C1CE164" w14:textId="77777777" w:rsidR="0007612C" w:rsidRPr="0007612C" w:rsidRDefault="0007612C" w:rsidP="0007612C">
            <w:pPr>
              <w:rPr>
                <w:lang w:val="en-GB"/>
              </w:rPr>
            </w:pPr>
            <w:r w:rsidRPr="0007612C">
              <w:rPr>
                <w:lang w:val="en-GB"/>
              </w:rPr>
              <w:t>2023-24</w:t>
            </w:r>
          </w:p>
        </w:tc>
        <w:tc>
          <w:tcPr>
            <w:tcW w:w="1772" w:type="pct"/>
            <w:vMerge w:val="restart"/>
            <w:shd w:val="clear" w:color="auto" w:fill="auto"/>
          </w:tcPr>
          <w:p w14:paraId="5AFFAB25" w14:textId="77777777" w:rsidR="0007612C" w:rsidRPr="0007612C" w:rsidRDefault="0007612C" w:rsidP="0007612C">
            <w:pPr>
              <w:rPr>
                <w:lang w:val="en-GB"/>
              </w:rPr>
            </w:pPr>
            <w:r w:rsidRPr="0007612C">
              <w:rPr>
                <w:noProof/>
                <w:lang w:val="en-GB"/>
              </w:rPr>
              <w:drawing>
                <wp:inline distT="0" distB="0" distL="0" distR="0" wp14:anchorId="6575749E" wp14:editId="1E316FEF">
                  <wp:extent cx="4707172" cy="2520564"/>
                  <wp:effectExtent l="0" t="0" r="0" b="0"/>
                  <wp:docPr id="1825775866" name="Chart 1825775866" descr="Chart showing People served by specialist mental health services (Te Whatu Ora and NGO combined) rate per 100,000 peopl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07612C" w:rsidRPr="0007612C" w14:paraId="2074739B" w14:textId="77777777" w:rsidTr="00D50B7E">
        <w:trPr>
          <w:trHeight w:val="655"/>
        </w:trPr>
        <w:tc>
          <w:tcPr>
            <w:tcW w:w="1143" w:type="pct"/>
            <w:vMerge w:val="restart"/>
            <w:hideMark/>
          </w:tcPr>
          <w:p w14:paraId="743F35A5" w14:textId="77777777" w:rsidR="0007612C" w:rsidRPr="0007612C" w:rsidRDefault="0007612C" w:rsidP="0007612C">
            <w:r w:rsidRPr="0007612C">
              <w:t xml:space="preserve">People served by specialist mental health services (Te Whatu Ora and NGO combined) rate per 100,000 people </w:t>
            </w:r>
            <w:r w:rsidRPr="0007612C">
              <w:rPr>
                <w:vertAlign w:val="superscript"/>
              </w:rPr>
              <w:footnoteReference w:id="8"/>
            </w:r>
            <w:r w:rsidRPr="0007612C">
              <w:t>.</w:t>
            </w:r>
          </w:p>
          <w:p w14:paraId="37F9F453" w14:textId="77777777" w:rsidR="0007612C" w:rsidRPr="0007612C" w:rsidRDefault="0007612C" w:rsidP="0007612C"/>
          <w:p w14:paraId="0B1EF7E3" w14:textId="77777777" w:rsidR="0007612C" w:rsidRPr="0007612C" w:rsidRDefault="0007612C" w:rsidP="0007612C">
            <w:pPr>
              <w:rPr>
                <w:lang w:val="en-GB"/>
              </w:rPr>
            </w:pPr>
            <w:r w:rsidRPr="0007612C">
              <w:t>Target: Target to be established</w:t>
            </w:r>
          </w:p>
        </w:tc>
        <w:tc>
          <w:tcPr>
            <w:tcW w:w="494" w:type="pct"/>
            <w:hideMark/>
          </w:tcPr>
          <w:p w14:paraId="3E1869E0" w14:textId="77777777" w:rsidR="0007612C" w:rsidRPr="0007612C" w:rsidRDefault="0007612C" w:rsidP="0007612C">
            <w:pPr>
              <w:rPr>
                <w:lang w:val="en-GB"/>
              </w:rPr>
            </w:pPr>
            <w:r w:rsidRPr="0007612C">
              <w:rPr>
                <w:lang w:val="en-GB"/>
              </w:rPr>
              <w:t>Māori</w:t>
            </w:r>
          </w:p>
          <w:p w14:paraId="49A288DF" w14:textId="77777777" w:rsidR="0007612C" w:rsidRPr="0007612C" w:rsidRDefault="0007612C" w:rsidP="0007612C">
            <w:pPr>
              <w:rPr>
                <w:lang w:val="en-GB"/>
              </w:rPr>
            </w:pPr>
          </w:p>
        </w:tc>
        <w:tc>
          <w:tcPr>
            <w:tcW w:w="304" w:type="pct"/>
          </w:tcPr>
          <w:p w14:paraId="7B69AC53" w14:textId="77777777" w:rsidR="0007612C" w:rsidRPr="0007612C" w:rsidRDefault="0007612C" w:rsidP="0007612C">
            <w:pPr>
              <w:rPr>
                <w:lang w:val="en-GB"/>
              </w:rPr>
            </w:pPr>
            <w:r w:rsidRPr="0007612C">
              <w:rPr>
                <w:lang w:val="en-GB"/>
              </w:rPr>
              <w:t>4,866</w:t>
            </w:r>
          </w:p>
        </w:tc>
        <w:tc>
          <w:tcPr>
            <w:tcW w:w="329" w:type="pct"/>
          </w:tcPr>
          <w:p w14:paraId="2004D9C6" w14:textId="3FF9858B" w:rsidR="0007612C" w:rsidRPr="0007612C" w:rsidRDefault="0007612C" w:rsidP="0007612C">
            <w:pPr>
              <w:rPr>
                <w:lang w:val="en-GB"/>
              </w:rPr>
            </w:pPr>
            <w:r w:rsidRPr="0007612C">
              <w:rPr>
                <w:lang w:val="en-GB"/>
              </w:rPr>
              <w:t>4,841</w:t>
            </w:r>
            <w:r w:rsidR="003E5DE9">
              <w:rPr>
                <w:lang w:val="en-GB"/>
              </w:rPr>
              <w:t xml:space="preserve"> </w:t>
            </w:r>
            <w:r w:rsidRPr="0007612C">
              <w:rPr>
                <w:rFonts w:ascii="Wingdings" w:eastAsia="Wingdings" w:hAnsi="Wingdings" w:cs="Calibri"/>
                <w:color w:val="FF0000"/>
                <w:szCs w:val="24"/>
                <w:lang w:val="en-GB" w:eastAsia="en-NZ"/>
              </w:rPr>
              <w:t>Þ</w:t>
            </w:r>
          </w:p>
        </w:tc>
        <w:tc>
          <w:tcPr>
            <w:tcW w:w="296" w:type="pct"/>
          </w:tcPr>
          <w:p w14:paraId="752350E0" w14:textId="500D8111" w:rsidR="0007612C" w:rsidRPr="0007612C" w:rsidRDefault="0007612C" w:rsidP="0007612C">
            <w:pPr>
              <w:rPr>
                <w:lang w:val="en-GB"/>
              </w:rPr>
            </w:pPr>
            <w:r w:rsidRPr="0007612C">
              <w:rPr>
                <w:lang w:val="en-GB"/>
              </w:rPr>
              <w:t>4,710</w:t>
            </w:r>
            <w:r w:rsidR="003E5DE9">
              <w:rPr>
                <w:lang w:val="en-GB"/>
              </w:rPr>
              <w:t xml:space="preserve"> </w:t>
            </w:r>
            <w:r w:rsidRPr="0007612C">
              <w:rPr>
                <w:rFonts w:ascii="Wingdings" w:eastAsia="Wingdings" w:hAnsi="Wingdings" w:cs="Calibri"/>
                <w:color w:val="FF0000"/>
                <w:szCs w:val="24"/>
                <w:lang w:val="en-GB" w:eastAsia="en-NZ"/>
              </w:rPr>
              <w:t>Þ</w:t>
            </w:r>
          </w:p>
        </w:tc>
        <w:tc>
          <w:tcPr>
            <w:tcW w:w="290" w:type="pct"/>
          </w:tcPr>
          <w:p w14:paraId="66E29A4F" w14:textId="4C868C45" w:rsidR="0007612C" w:rsidRPr="0007612C" w:rsidRDefault="0007612C" w:rsidP="0007612C">
            <w:pPr>
              <w:rPr>
                <w:lang w:val="en-GB"/>
              </w:rPr>
            </w:pPr>
            <w:r w:rsidRPr="0007612C">
              <w:rPr>
                <w:lang w:val="en-GB"/>
              </w:rPr>
              <w:t>4,911</w:t>
            </w:r>
            <w:r w:rsidR="003E5DE9">
              <w:rPr>
                <w:lang w:val="en-GB"/>
              </w:rPr>
              <w:t xml:space="preserve"> </w:t>
            </w:r>
            <w:r w:rsidRPr="0007612C">
              <w:rPr>
                <w:rFonts w:ascii="Wingdings" w:eastAsia="Wingdings" w:hAnsi="Wingdings" w:cs="Wingdings"/>
                <w:color w:val="00B050"/>
                <w:szCs w:val="24"/>
              </w:rPr>
              <w:t>Ý</w:t>
            </w:r>
          </w:p>
        </w:tc>
        <w:tc>
          <w:tcPr>
            <w:tcW w:w="372" w:type="pct"/>
          </w:tcPr>
          <w:p w14:paraId="1E46A922" w14:textId="0AB44204" w:rsidR="0007612C" w:rsidRPr="0007612C" w:rsidRDefault="0007612C" w:rsidP="0007612C">
            <w:pPr>
              <w:rPr>
                <w:lang w:val="en-GB"/>
              </w:rPr>
            </w:pPr>
            <w:r w:rsidRPr="0007612C">
              <w:rPr>
                <w:lang w:val="en-GB"/>
              </w:rPr>
              <w:t>4,548</w:t>
            </w:r>
            <w:r w:rsidR="003E5DE9">
              <w:rPr>
                <w:lang w:val="en-GB"/>
              </w:rPr>
              <w:t xml:space="preserve"> </w:t>
            </w:r>
            <w:r w:rsidRPr="0007612C">
              <w:rPr>
                <w:rFonts w:ascii="Wingdings" w:eastAsia="Wingdings" w:hAnsi="Wingdings" w:cs="Calibri"/>
                <w:color w:val="FF0000"/>
                <w:szCs w:val="24"/>
                <w:lang w:val="en-GB" w:eastAsia="en-NZ"/>
              </w:rPr>
              <w:t>Þ</w:t>
            </w:r>
          </w:p>
        </w:tc>
        <w:tc>
          <w:tcPr>
            <w:tcW w:w="1772" w:type="pct"/>
            <w:vMerge/>
            <w:shd w:val="clear" w:color="auto" w:fill="auto"/>
          </w:tcPr>
          <w:p w14:paraId="17D34E6D" w14:textId="77777777" w:rsidR="0007612C" w:rsidRPr="0007612C" w:rsidRDefault="0007612C" w:rsidP="0007612C">
            <w:pPr>
              <w:rPr>
                <w:lang w:val="en-GB"/>
              </w:rPr>
            </w:pPr>
          </w:p>
        </w:tc>
      </w:tr>
      <w:tr w:rsidR="0007612C" w:rsidRPr="0007612C" w14:paraId="1FB5E338" w14:textId="77777777" w:rsidTr="00D50B7E">
        <w:trPr>
          <w:trHeight w:val="655"/>
        </w:trPr>
        <w:tc>
          <w:tcPr>
            <w:tcW w:w="1143" w:type="pct"/>
            <w:vMerge/>
            <w:hideMark/>
          </w:tcPr>
          <w:p w14:paraId="2E83CA24" w14:textId="77777777" w:rsidR="0007612C" w:rsidRPr="0007612C" w:rsidRDefault="0007612C" w:rsidP="0007612C">
            <w:pPr>
              <w:rPr>
                <w:lang w:val="en-GB"/>
              </w:rPr>
            </w:pPr>
          </w:p>
        </w:tc>
        <w:tc>
          <w:tcPr>
            <w:tcW w:w="494" w:type="pct"/>
            <w:hideMark/>
          </w:tcPr>
          <w:p w14:paraId="10EE8FD6" w14:textId="77777777" w:rsidR="0007612C" w:rsidRPr="0007612C" w:rsidRDefault="0007612C" w:rsidP="0007612C">
            <w:pPr>
              <w:rPr>
                <w:lang w:val="en-GB"/>
              </w:rPr>
            </w:pPr>
            <w:r w:rsidRPr="0007612C">
              <w:rPr>
                <w:lang w:val="en-GB"/>
              </w:rPr>
              <w:t>Pacific</w:t>
            </w:r>
          </w:p>
        </w:tc>
        <w:tc>
          <w:tcPr>
            <w:tcW w:w="304" w:type="pct"/>
          </w:tcPr>
          <w:p w14:paraId="2B10C688" w14:textId="77777777" w:rsidR="0007612C" w:rsidRPr="0007612C" w:rsidRDefault="0007612C" w:rsidP="0007612C">
            <w:pPr>
              <w:rPr>
                <w:lang w:val="en-GB"/>
              </w:rPr>
            </w:pPr>
            <w:r w:rsidRPr="0007612C">
              <w:rPr>
                <w:lang w:val="en-GB"/>
              </w:rPr>
              <w:t>2,578</w:t>
            </w:r>
          </w:p>
        </w:tc>
        <w:tc>
          <w:tcPr>
            <w:tcW w:w="329" w:type="pct"/>
          </w:tcPr>
          <w:p w14:paraId="3D9D1551" w14:textId="2321D978" w:rsidR="0007612C" w:rsidRPr="0007612C" w:rsidRDefault="0007612C" w:rsidP="0007612C">
            <w:pPr>
              <w:rPr>
                <w:lang w:val="en-GB"/>
              </w:rPr>
            </w:pPr>
            <w:r w:rsidRPr="0007612C">
              <w:rPr>
                <w:lang w:val="en-GB"/>
              </w:rPr>
              <w:t>2,592</w:t>
            </w:r>
            <w:r w:rsidR="003E5DE9">
              <w:rPr>
                <w:lang w:val="en-GB"/>
              </w:rPr>
              <w:t xml:space="preserve"> </w:t>
            </w:r>
            <w:r w:rsidRPr="0007612C">
              <w:rPr>
                <w:rFonts w:ascii="Wingdings" w:eastAsia="Wingdings" w:hAnsi="Wingdings" w:cs="Wingdings"/>
                <w:color w:val="00B050"/>
                <w:szCs w:val="24"/>
              </w:rPr>
              <w:t>Ý</w:t>
            </w:r>
          </w:p>
        </w:tc>
        <w:tc>
          <w:tcPr>
            <w:tcW w:w="296" w:type="pct"/>
          </w:tcPr>
          <w:p w14:paraId="4E4789F5" w14:textId="0801A0CE" w:rsidR="0007612C" w:rsidRPr="0007612C" w:rsidRDefault="0007612C" w:rsidP="0007612C">
            <w:pPr>
              <w:rPr>
                <w:lang w:val="en-GB"/>
              </w:rPr>
            </w:pPr>
            <w:r w:rsidRPr="0007612C">
              <w:rPr>
                <w:lang w:val="en-GB"/>
              </w:rPr>
              <w:t>2,466</w:t>
            </w:r>
            <w:r w:rsidR="003E5DE9">
              <w:rPr>
                <w:lang w:val="en-GB"/>
              </w:rPr>
              <w:t xml:space="preserve"> </w:t>
            </w:r>
            <w:r w:rsidRPr="0007612C">
              <w:rPr>
                <w:rFonts w:ascii="Wingdings" w:eastAsia="Wingdings" w:hAnsi="Wingdings" w:cs="Calibri"/>
                <w:color w:val="FF0000"/>
                <w:szCs w:val="24"/>
                <w:lang w:val="en-GB" w:eastAsia="en-NZ"/>
              </w:rPr>
              <w:t>Þ</w:t>
            </w:r>
          </w:p>
        </w:tc>
        <w:tc>
          <w:tcPr>
            <w:tcW w:w="290" w:type="pct"/>
          </w:tcPr>
          <w:p w14:paraId="29846B6D" w14:textId="41C79CF2" w:rsidR="0007612C" w:rsidRPr="0007612C" w:rsidRDefault="0007612C" w:rsidP="0007612C">
            <w:pPr>
              <w:rPr>
                <w:lang w:val="en-GB"/>
              </w:rPr>
            </w:pPr>
            <w:r w:rsidRPr="0007612C">
              <w:rPr>
                <w:lang w:val="en-GB"/>
              </w:rPr>
              <w:t>2,518</w:t>
            </w:r>
            <w:r w:rsidR="003E5DE9">
              <w:rPr>
                <w:lang w:val="en-GB"/>
              </w:rPr>
              <w:t xml:space="preserve"> </w:t>
            </w:r>
            <w:r w:rsidRPr="0007612C">
              <w:rPr>
                <w:rFonts w:ascii="Wingdings" w:eastAsia="Wingdings" w:hAnsi="Wingdings" w:cs="Wingdings"/>
                <w:color w:val="00B050"/>
                <w:szCs w:val="24"/>
              </w:rPr>
              <w:t>Ý</w:t>
            </w:r>
          </w:p>
        </w:tc>
        <w:tc>
          <w:tcPr>
            <w:tcW w:w="372" w:type="pct"/>
          </w:tcPr>
          <w:p w14:paraId="5819EBE5" w14:textId="24FED71B" w:rsidR="0007612C" w:rsidRPr="0007612C" w:rsidRDefault="0007612C" w:rsidP="0007612C">
            <w:pPr>
              <w:rPr>
                <w:lang w:val="en-GB"/>
              </w:rPr>
            </w:pPr>
            <w:r w:rsidRPr="0007612C">
              <w:rPr>
                <w:lang w:val="en-GB"/>
              </w:rPr>
              <w:t>2,380</w:t>
            </w:r>
            <w:r w:rsidR="003E5DE9">
              <w:rPr>
                <w:lang w:val="en-GB"/>
              </w:rPr>
              <w:t xml:space="preserve"> </w:t>
            </w:r>
            <w:r w:rsidRPr="0007612C">
              <w:rPr>
                <w:rFonts w:ascii="Wingdings" w:eastAsia="Wingdings" w:hAnsi="Wingdings" w:cs="Calibri"/>
                <w:color w:val="FF0000"/>
                <w:szCs w:val="24"/>
                <w:lang w:val="en-GB" w:eastAsia="en-NZ"/>
              </w:rPr>
              <w:t>Þ</w:t>
            </w:r>
          </w:p>
        </w:tc>
        <w:tc>
          <w:tcPr>
            <w:tcW w:w="1772" w:type="pct"/>
            <w:vMerge/>
            <w:shd w:val="clear" w:color="auto" w:fill="auto"/>
          </w:tcPr>
          <w:p w14:paraId="757B8BFA" w14:textId="77777777" w:rsidR="0007612C" w:rsidRPr="0007612C" w:rsidRDefault="0007612C" w:rsidP="0007612C">
            <w:pPr>
              <w:rPr>
                <w:lang w:val="en-GB"/>
              </w:rPr>
            </w:pPr>
          </w:p>
        </w:tc>
      </w:tr>
      <w:tr w:rsidR="0007612C" w:rsidRPr="0007612C" w14:paraId="784B8A46" w14:textId="77777777" w:rsidTr="00D50B7E">
        <w:trPr>
          <w:trHeight w:val="655"/>
        </w:trPr>
        <w:tc>
          <w:tcPr>
            <w:tcW w:w="1143" w:type="pct"/>
            <w:vMerge/>
          </w:tcPr>
          <w:p w14:paraId="1FDA9651" w14:textId="77777777" w:rsidR="0007612C" w:rsidRPr="0007612C" w:rsidRDefault="0007612C" w:rsidP="0007612C">
            <w:pPr>
              <w:rPr>
                <w:lang w:val="en-GB"/>
              </w:rPr>
            </w:pPr>
          </w:p>
        </w:tc>
        <w:tc>
          <w:tcPr>
            <w:tcW w:w="494" w:type="pct"/>
          </w:tcPr>
          <w:p w14:paraId="1FC55308" w14:textId="3CE03192" w:rsidR="0007612C" w:rsidRPr="0007612C" w:rsidRDefault="0007612C" w:rsidP="0007612C">
            <w:pPr>
              <w:rPr>
                <w:lang w:val="en-GB"/>
              </w:rPr>
            </w:pPr>
            <w:r w:rsidRPr="0007612C">
              <w:rPr>
                <w:lang w:val="en-GB"/>
              </w:rPr>
              <w:t xml:space="preserve">European and </w:t>
            </w:r>
            <w:r w:rsidR="00122EEE">
              <w:rPr>
                <w:lang w:val="en-GB"/>
              </w:rPr>
              <w:t>a</w:t>
            </w:r>
            <w:r w:rsidRPr="0007612C">
              <w:rPr>
                <w:lang w:val="en-GB"/>
              </w:rPr>
              <w:t>ll other ethnicities</w:t>
            </w:r>
          </w:p>
        </w:tc>
        <w:tc>
          <w:tcPr>
            <w:tcW w:w="304" w:type="pct"/>
          </w:tcPr>
          <w:p w14:paraId="700F16D2" w14:textId="77777777" w:rsidR="0007612C" w:rsidRPr="0007612C" w:rsidRDefault="0007612C" w:rsidP="0007612C">
            <w:pPr>
              <w:rPr>
                <w:lang w:val="en-GB"/>
              </w:rPr>
            </w:pPr>
            <w:r w:rsidRPr="0007612C">
              <w:rPr>
                <w:lang w:val="en-GB"/>
              </w:rPr>
              <w:t>3,021</w:t>
            </w:r>
          </w:p>
        </w:tc>
        <w:tc>
          <w:tcPr>
            <w:tcW w:w="329" w:type="pct"/>
          </w:tcPr>
          <w:p w14:paraId="0DEB69FB" w14:textId="7E8FA5D8" w:rsidR="0007612C" w:rsidRPr="0007612C" w:rsidRDefault="0007612C" w:rsidP="0007612C">
            <w:pPr>
              <w:rPr>
                <w:lang w:val="en-GB"/>
              </w:rPr>
            </w:pPr>
            <w:r w:rsidRPr="0007612C">
              <w:rPr>
                <w:lang w:val="en-GB"/>
              </w:rPr>
              <w:t>2,979</w:t>
            </w:r>
            <w:r w:rsidR="003E5DE9">
              <w:rPr>
                <w:lang w:val="en-GB"/>
              </w:rPr>
              <w:t xml:space="preserve"> </w:t>
            </w:r>
            <w:r w:rsidRPr="0007612C">
              <w:rPr>
                <w:rFonts w:ascii="Wingdings" w:eastAsia="Wingdings" w:hAnsi="Wingdings" w:cs="Calibri"/>
                <w:color w:val="FF0000"/>
                <w:szCs w:val="24"/>
                <w:lang w:val="en-GB" w:eastAsia="en-NZ"/>
              </w:rPr>
              <w:t>Þ</w:t>
            </w:r>
          </w:p>
        </w:tc>
        <w:tc>
          <w:tcPr>
            <w:tcW w:w="296" w:type="pct"/>
          </w:tcPr>
          <w:p w14:paraId="1B4D870C" w14:textId="3A2FAD21" w:rsidR="0007612C" w:rsidRPr="0007612C" w:rsidRDefault="0007612C" w:rsidP="0007612C">
            <w:pPr>
              <w:rPr>
                <w:lang w:val="en-GB"/>
              </w:rPr>
            </w:pPr>
            <w:r w:rsidRPr="0007612C">
              <w:rPr>
                <w:lang w:val="en-GB"/>
              </w:rPr>
              <w:t>2,886</w:t>
            </w:r>
            <w:r w:rsidR="003E5DE9">
              <w:rPr>
                <w:lang w:val="en-GB"/>
              </w:rPr>
              <w:t xml:space="preserve"> </w:t>
            </w:r>
            <w:r w:rsidRPr="0007612C">
              <w:rPr>
                <w:rFonts w:ascii="Wingdings" w:eastAsia="Wingdings" w:hAnsi="Wingdings" w:cs="Calibri"/>
                <w:color w:val="FF0000"/>
                <w:szCs w:val="24"/>
                <w:lang w:val="en-GB" w:eastAsia="en-NZ"/>
              </w:rPr>
              <w:t>Þ</w:t>
            </w:r>
          </w:p>
        </w:tc>
        <w:tc>
          <w:tcPr>
            <w:tcW w:w="290" w:type="pct"/>
          </w:tcPr>
          <w:p w14:paraId="08428811" w14:textId="2EE41AE6" w:rsidR="0007612C" w:rsidRPr="0007612C" w:rsidRDefault="0007612C" w:rsidP="0007612C">
            <w:pPr>
              <w:rPr>
                <w:lang w:val="en-GB"/>
              </w:rPr>
            </w:pPr>
            <w:r w:rsidRPr="0007612C">
              <w:rPr>
                <w:lang w:val="en-GB"/>
              </w:rPr>
              <w:t>2,964</w:t>
            </w:r>
            <w:r w:rsidR="003E5DE9">
              <w:rPr>
                <w:lang w:val="en-GB"/>
              </w:rPr>
              <w:t xml:space="preserve"> </w:t>
            </w:r>
            <w:r w:rsidRPr="0007612C">
              <w:rPr>
                <w:rFonts w:ascii="Wingdings" w:eastAsia="Wingdings" w:hAnsi="Wingdings" w:cs="Wingdings"/>
                <w:color w:val="00B050"/>
                <w:szCs w:val="24"/>
              </w:rPr>
              <w:t>Ý</w:t>
            </w:r>
          </w:p>
        </w:tc>
        <w:tc>
          <w:tcPr>
            <w:tcW w:w="372" w:type="pct"/>
          </w:tcPr>
          <w:p w14:paraId="7B6AAA32" w14:textId="0314F66B" w:rsidR="0007612C" w:rsidRPr="0007612C" w:rsidRDefault="0007612C" w:rsidP="0007612C">
            <w:pPr>
              <w:rPr>
                <w:lang w:val="en-GB"/>
              </w:rPr>
            </w:pPr>
            <w:r w:rsidRPr="0007612C">
              <w:rPr>
                <w:lang w:val="en-GB"/>
              </w:rPr>
              <w:t>2,664</w:t>
            </w:r>
            <w:r w:rsidR="003E5DE9">
              <w:rPr>
                <w:lang w:val="en-GB"/>
              </w:rPr>
              <w:t xml:space="preserve"> </w:t>
            </w:r>
            <w:r w:rsidRPr="0007612C">
              <w:rPr>
                <w:rFonts w:ascii="Wingdings" w:eastAsia="Wingdings" w:hAnsi="Wingdings" w:cs="Calibri"/>
                <w:color w:val="FF0000"/>
                <w:szCs w:val="24"/>
                <w:lang w:val="en-GB" w:eastAsia="en-NZ"/>
              </w:rPr>
              <w:t>Þ</w:t>
            </w:r>
          </w:p>
        </w:tc>
        <w:tc>
          <w:tcPr>
            <w:tcW w:w="1772" w:type="pct"/>
            <w:vMerge/>
            <w:shd w:val="clear" w:color="auto" w:fill="auto"/>
          </w:tcPr>
          <w:p w14:paraId="46103EF1" w14:textId="77777777" w:rsidR="0007612C" w:rsidRPr="0007612C" w:rsidRDefault="0007612C" w:rsidP="0007612C">
            <w:pPr>
              <w:rPr>
                <w:lang w:val="en-GB"/>
              </w:rPr>
            </w:pPr>
          </w:p>
        </w:tc>
      </w:tr>
      <w:tr w:rsidR="0007612C" w:rsidRPr="0007612C" w14:paraId="0BCD1404" w14:textId="77777777" w:rsidTr="00D50B7E">
        <w:trPr>
          <w:trHeight w:val="655"/>
        </w:trPr>
        <w:tc>
          <w:tcPr>
            <w:tcW w:w="1143" w:type="pct"/>
            <w:vMerge/>
          </w:tcPr>
          <w:p w14:paraId="0504A0C3" w14:textId="77777777" w:rsidR="0007612C" w:rsidRPr="0007612C" w:rsidRDefault="0007612C" w:rsidP="0007612C">
            <w:pPr>
              <w:rPr>
                <w:lang w:val="en-GB"/>
              </w:rPr>
            </w:pPr>
          </w:p>
        </w:tc>
        <w:tc>
          <w:tcPr>
            <w:tcW w:w="494" w:type="pct"/>
          </w:tcPr>
          <w:p w14:paraId="1D97F9BC" w14:textId="77777777" w:rsidR="0007612C" w:rsidRPr="0007612C" w:rsidRDefault="0007612C" w:rsidP="0007612C">
            <w:pPr>
              <w:rPr>
                <w:lang w:val="en-GB"/>
              </w:rPr>
            </w:pPr>
            <w:r w:rsidRPr="0007612C">
              <w:rPr>
                <w:lang w:val="en-GB"/>
              </w:rPr>
              <w:t>Asian</w:t>
            </w:r>
          </w:p>
        </w:tc>
        <w:tc>
          <w:tcPr>
            <w:tcW w:w="304" w:type="pct"/>
          </w:tcPr>
          <w:p w14:paraId="6A54712B" w14:textId="77777777" w:rsidR="0007612C" w:rsidRPr="0007612C" w:rsidRDefault="0007612C" w:rsidP="0007612C">
            <w:pPr>
              <w:rPr>
                <w:lang w:val="en-GB"/>
              </w:rPr>
            </w:pPr>
            <w:r w:rsidRPr="0007612C">
              <w:rPr>
                <w:lang w:val="en-GB"/>
              </w:rPr>
              <w:t>1,075</w:t>
            </w:r>
          </w:p>
        </w:tc>
        <w:tc>
          <w:tcPr>
            <w:tcW w:w="329" w:type="pct"/>
          </w:tcPr>
          <w:p w14:paraId="44867096" w14:textId="569F28E4" w:rsidR="0007612C" w:rsidRPr="0007612C" w:rsidRDefault="0007612C" w:rsidP="0007612C">
            <w:pPr>
              <w:rPr>
                <w:lang w:val="en-GB"/>
              </w:rPr>
            </w:pPr>
            <w:r w:rsidRPr="0007612C">
              <w:rPr>
                <w:lang w:val="en-GB"/>
              </w:rPr>
              <w:t>1,075</w:t>
            </w:r>
            <w:r>
              <w:rPr>
                <w:b/>
                <w:lang w:val="en-GB"/>
              </w:rPr>
              <w:t xml:space="preserve"> </w:t>
            </w:r>
            <w:r w:rsidRPr="00CE0F64">
              <w:rPr>
                <w:rFonts w:ascii="Wingdings" w:eastAsia="Wingdings" w:hAnsi="Wingdings" w:cs="Calibri"/>
                <w:b/>
                <w:color w:val="FFC000"/>
                <w:szCs w:val="24"/>
                <w:lang w:val="en-GB" w:eastAsia="en-NZ"/>
              </w:rPr>
              <w:t>Ü</w:t>
            </w:r>
          </w:p>
        </w:tc>
        <w:tc>
          <w:tcPr>
            <w:tcW w:w="296" w:type="pct"/>
          </w:tcPr>
          <w:p w14:paraId="749A0EE5" w14:textId="382F5355" w:rsidR="0007612C" w:rsidRPr="0007612C" w:rsidRDefault="0007612C" w:rsidP="0007612C">
            <w:pPr>
              <w:rPr>
                <w:lang w:val="en-GB"/>
              </w:rPr>
            </w:pPr>
            <w:r w:rsidRPr="0007612C">
              <w:rPr>
                <w:lang w:val="en-GB"/>
              </w:rPr>
              <w:t>1,039</w:t>
            </w:r>
            <w:r w:rsidR="003E5DE9">
              <w:rPr>
                <w:lang w:val="en-GB"/>
              </w:rPr>
              <w:t xml:space="preserve"> </w:t>
            </w:r>
            <w:r w:rsidRPr="0007612C">
              <w:rPr>
                <w:rFonts w:ascii="Wingdings" w:eastAsia="Wingdings" w:hAnsi="Wingdings" w:cs="Calibri"/>
                <w:color w:val="FF0000"/>
                <w:szCs w:val="24"/>
                <w:lang w:val="en-GB" w:eastAsia="en-NZ"/>
              </w:rPr>
              <w:t>Þ</w:t>
            </w:r>
          </w:p>
        </w:tc>
        <w:tc>
          <w:tcPr>
            <w:tcW w:w="290" w:type="pct"/>
          </w:tcPr>
          <w:p w14:paraId="553A5051" w14:textId="1C5E10BE" w:rsidR="0007612C" w:rsidRPr="0007612C" w:rsidRDefault="0007612C" w:rsidP="0007612C">
            <w:pPr>
              <w:rPr>
                <w:lang w:val="en-GB"/>
              </w:rPr>
            </w:pPr>
            <w:r w:rsidRPr="0007612C">
              <w:rPr>
                <w:lang w:val="en-GB"/>
              </w:rPr>
              <w:t>1,101</w:t>
            </w:r>
            <w:r w:rsidR="003E5DE9">
              <w:rPr>
                <w:lang w:val="en-GB"/>
              </w:rPr>
              <w:t xml:space="preserve"> </w:t>
            </w:r>
            <w:r w:rsidRPr="0007612C">
              <w:rPr>
                <w:rFonts w:ascii="Wingdings" w:eastAsia="Wingdings" w:hAnsi="Wingdings" w:cs="Wingdings"/>
                <w:color w:val="00B050"/>
                <w:szCs w:val="24"/>
              </w:rPr>
              <w:t>Ý</w:t>
            </w:r>
          </w:p>
        </w:tc>
        <w:tc>
          <w:tcPr>
            <w:tcW w:w="372" w:type="pct"/>
          </w:tcPr>
          <w:p w14:paraId="39280745" w14:textId="17886BE6" w:rsidR="0007612C" w:rsidRPr="0007612C" w:rsidRDefault="0007612C" w:rsidP="0007612C">
            <w:pPr>
              <w:rPr>
                <w:lang w:val="en-GB"/>
              </w:rPr>
            </w:pPr>
            <w:r w:rsidRPr="0007612C">
              <w:rPr>
                <w:lang w:val="en-GB"/>
              </w:rPr>
              <w:t>1,036</w:t>
            </w:r>
            <w:r w:rsidR="003E5DE9">
              <w:rPr>
                <w:lang w:val="en-GB"/>
              </w:rPr>
              <w:t xml:space="preserve"> </w:t>
            </w:r>
            <w:r w:rsidRPr="0007612C">
              <w:rPr>
                <w:rFonts w:ascii="Wingdings" w:eastAsia="Wingdings" w:hAnsi="Wingdings" w:cs="Calibri"/>
                <w:color w:val="FF0000"/>
                <w:szCs w:val="24"/>
                <w:lang w:val="en-GB" w:eastAsia="en-NZ"/>
              </w:rPr>
              <w:t>Þ</w:t>
            </w:r>
          </w:p>
        </w:tc>
        <w:tc>
          <w:tcPr>
            <w:tcW w:w="1772" w:type="pct"/>
            <w:vMerge/>
            <w:shd w:val="clear" w:color="auto" w:fill="auto"/>
          </w:tcPr>
          <w:p w14:paraId="4FABC5B8" w14:textId="77777777" w:rsidR="0007612C" w:rsidRPr="0007612C" w:rsidRDefault="0007612C" w:rsidP="0007612C">
            <w:pPr>
              <w:rPr>
                <w:lang w:val="en-GB"/>
              </w:rPr>
            </w:pPr>
          </w:p>
        </w:tc>
      </w:tr>
      <w:tr w:rsidR="0007612C" w:rsidRPr="0007612C" w14:paraId="058A1081" w14:textId="77777777" w:rsidTr="00D50B7E">
        <w:trPr>
          <w:trHeight w:val="656"/>
        </w:trPr>
        <w:tc>
          <w:tcPr>
            <w:tcW w:w="1143" w:type="pct"/>
            <w:vMerge/>
            <w:hideMark/>
          </w:tcPr>
          <w:p w14:paraId="55858DB5" w14:textId="77777777" w:rsidR="0007612C" w:rsidRPr="0007612C" w:rsidRDefault="0007612C" w:rsidP="0007612C">
            <w:pPr>
              <w:rPr>
                <w:lang w:val="en-GB"/>
              </w:rPr>
            </w:pPr>
          </w:p>
        </w:tc>
        <w:tc>
          <w:tcPr>
            <w:tcW w:w="494" w:type="pct"/>
            <w:hideMark/>
          </w:tcPr>
          <w:p w14:paraId="7F9A31B1" w14:textId="77777777" w:rsidR="0007612C" w:rsidRPr="0007612C" w:rsidRDefault="0007612C" w:rsidP="0007612C">
            <w:pPr>
              <w:rPr>
                <w:lang w:val="en-GB"/>
              </w:rPr>
            </w:pPr>
            <w:r w:rsidRPr="0007612C">
              <w:rPr>
                <w:lang w:val="en-GB"/>
              </w:rPr>
              <w:t>Total</w:t>
            </w:r>
          </w:p>
        </w:tc>
        <w:tc>
          <w:tcPr>
            <w:tcW w:w="304" w:type="pct"/>
          </w:tcPr>
          <w:p w14:paraId="59714471" w14:textId="77777777" w:rsidR="0007612C" w:rsidRPr="0007612C" w:rsidRDefault="0007612C" w:rsidP="0007612C">
            <w:pPr>
              <w:rPr>
                <w:lang w:val="en-GB"/>
              </w:rPr>
            </w:pPr>
            <w:r w:rsidRPr="0007612C">
              <w:rPr>
                <w:lang w:val="en-GB"/>
              </w:rPr>
              <w:t>2,713</w:t>
            </w:r>
          </w:p>
        </w:tc>
        <w:tc>
          <w:tcPr>
            <w:tcW w:w="329" w:type="pct"/>
          </w:tcPr>
          <w:p w14:paraId="695B87AD" w14:textId="3BA85CD2" w:rsidR="0007612C" w:rsidRPr="0007612C" w:rsidRDefault="0007612C" w:rsidP="0007612C">
            <w:pPr>
              <w:rPr>
                <w:lang w:val="en-GB"/>
              </w:rPr>
            </w:pPr>
            <w:r w:rsidRPr="0007612C">
              <w:rPr>
                <w:lang w:val="en-GB"/>
              </w:rPr>
              <w:t>2,974</w:t>
            </w:r>
            <w:r w:rsidR="003E5DE9">
              <w:rPr>
                <w:lang w:val="en-GB"/>
              </w:rPr>
              <w:t xml:space="preserve"> </w:t>
            </w:r>
            <w:r w:rsidRPr="0007612C">
              <w:rPr>
                <w:rFonts w:ascii="Wingdings" w:eastAsia="Wingdings" w:hAnsi="Wingdings" w:cs="Wingdings"/>
                <w:color w:val="00B050"/>
                <w:szCs w:val="24"/>
              </w:rPr>
              <w:t>Ý</w:t>
            </w:r>
          </w:p>
        </w:tc>
        <w:tc>
          <w:tcPr>
            <w:tcW w:w="296" w:type="pct"/>
          </w:tcPr>
          <w:p w14:paraId="7770F5E0" w14:textId="542EF846" w:rsidR="0007612C" w:rsidRPr="0007612C" w:rsidRDefault="0007612C" w:rsidP="0007612C">
            <w:pPr>
              <w:rPr>
                <w:lang w:val="en-GB"/>
              </w:rPr>
            </w:pPr>
            <w:r w:rsidRPr="0007612C">
              <w:rPr>
                <w:lang w:val="en-GB"/>
              </w:rPr>
              <w:t>2,879</w:t>
            </w:r>
            <w:r w:rsidR="003E5DE9">
              <w:rPr>
                <w:lang w:val="en-GB"/>
              </w:rPr>
              <w:t xml:space="preserve"> </w:t>
            </w:r>
            <w:r w:rsidRPr="0007612C">
              <w:rPr>
                <w:rFonts w:ascii="Wingdings" w:eastAsia="Wingdings" w:hAnsi="Wingdings" w:cs="Calibri"/>
                <w:color w:val="FF0000"/>
                <w:szCs w:val="24"/>
                <w:lang w:val="en-GB" w:eastAsia="en-NZ"/>
              </w:rPr>
              <w:t>Þ</w:t>
            </w:r>
          </w:p>
        </w:tc>
        <w:tc>
          <w:tcPr>
            <w:tcW w:w="290" w:type="pct"/>
          </w:tcPr>
          <w:p w14:paraId="43958025" w14:textId="3D7B49D8" w:rsidR="0007612C" w:rsidRPr="0007612C" w:rsidRDefault="0007612C" w:rsidP="0007612C">
            <w:pPr>
              <w:rPr>
                <w:lang w:val="en-GB"/>
              </w:rPr>
            </w:pPr>
            <w:r w:rsidRPr="0007612C">
              <w:rPr>
                <w:lang w:val="en-GB"/>
              </w:rPr>
              <w:t>2,972</w:t>
            </w:r>
            <w:r w:rsidR="003E5DE9">
              <w:rPr>
                <w:lang w:val="en-GB"/>
              </w:rPr>
              <w:t xml:space="preserve"> </w:t>
            </w:r>
            <w:r w:rsidRPr="0007612C">
              <w:rPr>
                <w:rFonts w:ascii="Wingdings" w:eastAsia="Wingdings" w:hAnsi="Wingdings" w:cs="Wingdings"/>
                <w:color w:val="00B050"/>
                <w:szCs w:val="24"/>
              </w:rPr>
              <w:t>Ý</w:t>
            </w:r>
          </w:p>
        </w:tc>
        <w:tc>
          <w:tcPr>
            <w:tcW w:w="372" w:type="pct"/>
          </w:tcPr>
          <w:p w14:paraId="5961E953" w14:textId="72D7CDBF" w:rsidR="0007612C" w:rsidRPr="0007612C" w:rsidRDefault="0007612C" w:rsidP="0007612C">
            <w:pPr>
              <w:rPr>
                <w:lang w:val="en-GB"/>
              </w:rPr>
            </w:pPr>
            <w:r w:rsidRPr="0007612C">
              <w:rPr>
                <w:lang w:val="en-GB"/>
              </w:rPr>
              <w:t>3,000</w:t>
            </w:r>
            <w:r w:rsidR="003E5DE9">
              <w:rPr>
                <w:lang w:val="en-GB"/>
              </w:rPr>
              <w:t xml:space="preserve"> </w:t>
            </w:r>
            <w:r w:rsidRPr="0007612C">
              <w:rPr>
                <w:rFonts w:ascii="Wingdings" w:eastAsia="Wingdings" w:hAnsi="Wingdings" w:cs="Wingdings"/>
                <w:color w:val="00B050"/>
                <w:szCs w:val="24"/>
              </w:rPr>
              <w:t>Ý</w:t>
            </w:r>
          </w:p>
        </w:tc>
        <w:tc>
          <w:tcPr>
            <w:tcW w:w="1772" w:type="pct"/>
            <w:vMerge/>
            <w:shd w:val="clear" w:color="auto" w:fill="auto"/>
          </w:tcPr>
          <w:p w14:paraId="1C4105D9" w14:textId="77777777" w:rsidR="0007612C" w:rsidRPr="0007612C" w:rsidRDefault="0007612C" w:rsidP="0007612C">
            <w:pPr>
              <w:rPr>
                <w:lang w:val="en-GB"/>
              </w:rPr>
            </w:pPr>
          </w:p>
        </w:tc>
      </w:tr>
      <w:tr w:rsidR="0007612C" w:rsidRPr="0007612C" w14:paraId="65E0359B" w14:textId="77777777" w:rsidTr="0007612C">
        <w:trPr>
          <w:trHeight w:val="300"/>
        </w:trPr>
        <w:tc>
          <w:tcPr>
            <w:tcW w:w="1143" w:type="pct"/>
          </w:tcPr>
          <w:p w14:paraId="1CA7E0F5" w14:textId="77777777" w:rsidR="0007612C" w:rsidRPr="0007612C" w:rsidRDefault="0007612C" w:rsidP="0007612C">
            <w:pPr>
              <w:rPr>
                <w:lang w:val="en-GB"/>
              </w:rPr>
            </w:pPr>
            <w:r w:rsidRPr="0007612C">
              <w:rPr>
                <w:lang w:val="en-GB"/>
              </w:rPr>
              <w:t>Comments</w:t>
            </w:r>
          </w:p>
        </w:tc>
        <w:tc>
          <w:tcPr>
            <w:tcW w:w="3857" w:type="pct"/>
            <w:gridSpan w:val="7"/>
          </w:tcPr>
          <w:p w14:paraId="6F6DE467" w14:textId="77777777" w:rsidR="0007612C" w:rsidRPr="0007612C" w:rsidRDefault="0007612C" w:rsidP="0007612C">
            <w:r w:rsidRPr="0007612C">
              <w:t>Specialist mental health services increased in the total service during the quarter of July to September 2023 (Q1 2023-24) compared to the same quarter in the previous year (Q1 2022-23). However, all ethnic groups experienced a decrease between the fourth quarter of 2022-23 and the first quarter of 2023-24.</w:t>
            </w:r>
          </w:p>
        </w:tc>
      </w:tr>
    </w:tbl>
    <w:p w14:paraId="44F4A1F8" w14:textId="26BC7A40" w:rsidR="00846E1E" w:rsidRDefault="00846E1E" w:rsidP="00E92FE9">
      <w:pPr>
        <w:pStyle w:val="TableText"/>
      </w:pPr>
    </w:p>
    <w:p w14:paraId="2712C452" w14:textId="77777777" w:rsidR="00681F0B" w:rsidRDefault="00681F0B" w:rsidP="00E92FE9">
      <w:pPr>
        <w:pStyle w:val="TableText"/>
      </w:pPr>
    </w:p>
    <w:p w14:paraId="706A69DE" w14:textId="77777777" w:rsidR="00681F0B" w:rsidRDefault="00681F0B" w:rsidP="00E92FE9">
      <w:pPr>
        <w:pStyle w:val="TableText"/>
      </w:pPr>
    </w:p>
    <w:p w14:paraId="02342CCF" w14:textId="77777777" w:rsidR="00681F0B" w:rsidRDefault="00681F0B" w:rsidP="00E92FE9">
      <w:pPr>
        <w:pStyle w:val="TableText"/>
      </w:pPr>
    </w:p>
    <w:p w14:paraId="0BE7B5B9" w14:textId="77777777" w:rsidR="00681F0B" w:rsidRDefault="00681F0B" w:rsidP="00E92FE9">
      <w:pPr>
        <w:pStyle w:val="TableText"/>
      </w:pPr>
    </w:p>
    <w:p w14:paraId="6D276759" w14:textId="77777777" w:rsidR="00681F0B" w:rsidRDefault="00681F0B" w:rsidP="00E92FE9">
      <w:pPr>
        <w:pStyle w:val="TableText"/>
      </w:pPr>
    </w:p>
    <w:p w14:paraId="7DF35339" w14:textId="77777777" w:rsidR="00681F0B" w:rsidRDefault="00681F0B" w:rsidP="00E92FE9">
      <w:pPr>
        <w:pStyle w:val="TableText"/>
      </w:pPr>
    </w:p>
    <w:p w14:paraId="19EBE828" w14:textId="77777777" w:rsidR="00681F0B" w:rsidRDefault="00681F0B" w:rsidP="00E92FE9">
      <w:pPr>
        <w:pStyle w:val="TableText"/>
      </w:pPr>
    </w:p>
    <w:p w14:paraId="53E76ED8" w14:textId="77777777" w:rsidR="00681F0B" w:rsidRDefault="00681F0B" w:rsidP="00E92FE9">
      <w:pPr>
        <w:pStyle w:val="TableText"/>
      </w:pPr>
    </w:p>
    <w:p w14:paraId="03C67014" w14:textId="77777777" w:rsidR="00681F0B" w:rsidRDefault="00681F0B" w:rsidP="00E92FE9">
      <w:pPr>
        <w:pStyle w:val="TableText"/>
      </w:pPr>
    </w:p>
    <w:p w14:paraId="491503BC" w14:textId="77777777" w:rsidR="00681F0B" w:rsidRDefault="00681F0B" w:rsidP="00E92FE9">
      <w:pPr>
        <w:pStyle w:val="TableText"/>
      </w:pPr>
    </w:p>
    <w:p w14:paraId="30462864" w14:textId="77777777" w:rsidR="00681F0B" w:rsidRDefault="00681F0B" w:rsidP="00E92FE9">
      <w:pPr>
        <w:pStyle w:val="TableText"/>
      </w:pPr>
    </w:p>
    <w:p w14:paraId="1D66CDC4" w14:textId="77777777" w:rsidR="00681F0B" w:rsidRDefault="00681F0B" w:rsidP="00E92FE9">
      <w:pPr>
        <w:pStyle w:val="TableText"/>
      </w:pPr>
    </w:p>
    <w:p w14:paraId="27C95143" w14:textId="77777777" w:rsidR="00681F0B" w:rsidRDefault="00681F0B" w:rsidP="00E92FE9">
      <w:pPr>
        <w:pStyle w:val="TableText"/>
      </w:pPr>
    </w:p>
    <w:p w14:paraId="22570333" w14:textId="77777777" w:rsidR="00681F0B" w:rsidRDefault="00681F0B" w:rsidP="00E92FE9">
      <w:pPr>
        <w:pStyle w:val="TableText"/>
      </w:pPr>
    </w:p>
    <w:p w14:paraId="696AAF9E" w14:textId="77777777" w:rsidR="00681F0B" w:rsidRDefault="00681F0B" w:rsidP="00E92FE9">
      <w:pPr>
        <w:pStyle w:val="TableText"/>
      </w:pPr>
    </w:p>
    <w:p w14:paraId="7D9D5958" w14:textId="77777777" w:rsidR="00681F0B" w:rsidRDefault="00681F0B" w:rsidP="00E92FE9">
      <w:pPr>
        <w:pStyle w:val="TableText"/>
      </w:pPr>
    </w:p>
    <w:p w14:paraId="08B77D94" w14:textId="77777777" w:rsidR="00681F0B" w:rsidRDefault="00681F0B" w:rsidP="00E92FE9">
      <w:pPr>
        <w:pStyle w:val="TableText"/>
      </w:pPr>
    </w:p>
    <w:p w14:paraId="3992BAE4" w14:textId="77777777" w:rsidR="00681F0B" w:rsidRDefault="00681F0B" w:rsidP="00E92FE9">
      <w:pPr>
        <w:pStyle w:val="TableText"/>
      </w:pPr>
    </w:p>
    <w:tbl>
      <w:tblPr>
        <w:tblStyle w:val="TeWhatuOra"/>
        <w:tblW w:w="5000" w:type="pct"/>
        <w:tblLook w:val="0420" w:firstRow="1" w:lastRow="0" w:firstColumn="0" w:lastColumn="0" w:noHBand="0" w:noVBand="1"/>
      </w:tblPr>
      <w:tblGrid>
        <w:gridCol w:w="4982"/>
        <w:gridCol w:w="2050"/>
        <w:gridCol w:w="1318"/>
        <w:gridCol w:w="1421"/>
        <w:gridCol w:w="1279"/>
        <w:gridCol w:w="1275"/>
        <w:gridCol w:w="1512"/>
        <w:gridCol w:w="7696"/>
      </w:tblGrid>
      <w:tr w:rsidR="00D50B7E" w:rsidRPr="0007612C" w14:paraId="53FBD27F" w14:textId="77777777" w:rsidTr="00D33BCA">
        <w:trPr>
          <w:cnfStyle w:val="100000000000" w:firstRow="1" w:lastRow="0" w:firstColumn="0" w:lastColumn="0" w:oddVBand="0" w:evenVBand="0" w:oddHBand="0" w:evenHBand="0" w:firstRowFirstColumn="0" w:firstRowLastColumn="0" w:lastRowFirstColumn="0" w:lastRowLastColumn="0"/>
          <w:trHeight w:val="738"/>
        </w:trPr>
        <w:tc>
          <w:tcPr>
            <w:tcW w:w="1157" w:type="pct"/>
          </w:tcPr>
          <w:p w14:paraId="308EDED4" w14:textId="32C8B8D4" w:rsidR="0007612C" w:rsidRPr="0007612C" w:rsidRDefault="00846E1E" w:rsidP="0007612C">
            <w:r>
              <w:lastRenderedPageBreak/>
              <w:br w:type="page"/>
            </w:r>
            <w:r w:rsidR="0007612C" w:rsidRPr="0007612C">
              <w:rPr>
                <w:lang w:val="en-GB"/>
              </w:rPr>
              <w:t>Measure</w:t>
            </w:r>
          </w:p>
        </w:tc>
        <w:tc>
          <w:tcPr>
            <w:tcW w:w="476" w:type="pct"/>
          </w:tcPr>
          <w:p w14:paraId="74072C93" w14:textId="77777777" w:rsidR="0007612C" w:rsidRPr="0007612C" w:rsidRDefault="0007612C" w:rsidP="0007612C">
            <w:pPr>
              <w:rPr>
                <w:lang w:val="en-GB"/>
              </w:rPr>
            </w:pPr>
          </w:p>
          <w:p w14:paraId="52460122" w14:textId="77777777" w:rsidR="0007612C" w:rsidRPr="0007612C" w:rsidRDefault="0007612C" w:rsidP="0007612C">
            <w:pPr>
              <w:rPr>
                <w:lang w:val="en-GB"/>
              </w:rPr>
            </w:pPr>
            <w:r w:rsidRPr="0007612C">
              <w:rPr>
                <w:lang w:val="en-GB"/>
              </w:rPr>
              <w:t>Ethnic group</w:t>
            </w:r>
          </w:p>
        </w:tc>
        <w:tc>
          <w:tcPr>
            <w:tcW w:w="306" w:type="pct"/>
          </w:tcPr>
          <w:p w14:paraId="62A64765" w14:textId="77777777" w:rsidR="0007612C" w:rsidRPr="0007612C" w:rsidRDefault="0007612C" w:rsidP="0007612C">
            <w:pPr>
              <w:rPr>
                <w:lang w:val="en-GB"/>
              </w:rPr>
            </w:pPr>
            <w:r w:rsidRPr="0007612C">
              <w:rPr>
                <w:lang w:val="en-GB"/>
              </w:rPr>
              <w:t>Q1</w:t>
            </w:r>
          </w:p>
          <w:p w14:paraId="200DE9ED" w14:textId="77777777" w:rsidR="0007612C" w:rsidRPr="0007612C" w:rsidRDefault="0007612C" w:rsidP="0007612C">
            <w:pPr>
              <w:rPr>
                <w:lang w:val="en-GB"/>
              </w:rPr>
            </w:pPr>
            <w:r w:rsidRPr="0007612C">
              <w:rPr>
                <w:lang w:val="en-GB"/>
              </w:rPr>
              <w:t>2022-23</w:t>
            </w:r>
          </w:p>
        </w:tc>
        <w:tc>
          <w:tcPr>
            <w:tcW w:w="330" w:type="pct"/>
          </w:tcPr>
          <w:p w14:paraId="50D3E2B8" w14:textId="77777777" w:rsidR="0007612C" w:rsidRPr="0007612C" w:rsidRDefault="0007612C" w:rsidP="0007612C">
            <w:pPr>
              <w:rPr>
                <w:lang w:val="en-GB"/>
              </w:rPr>
            </w:pPr>
            <w:r w:rsidRPr="0007612C">
              <w:rPr>
                <w:lang w:val="en-GB"/>
              </w:rPr>
              <w:t>Q2</w:t>
            </w:r>
          </w:p>
          <w:p w14:paraId="6BAD7A78" w14:textId="77777777" w:rsidR="0007612C" w:rsidRPr="0007612C" w:rsidRDefault="0007612C" w:rsidP="0007612C">
            <w:pPr>
              <w:rPr>
                <w:lang w:val="en-GB"/>
              </w:rPr>
            </w:pPr>
            <w:r w:rsidRPr="0007612C">
              <w:rPr>
                <w:lang w:val="en-GB"/>
              </w:rPr>
              <w:t>2022-23</w:t>
            </w:r>
          </w:p>
        </w:tc>
        <w:tc>
          <w:tcPr>
            <w:tcW w:w="297" w:type="pct"/>
          </w:tcPr>
          <w:p w14:paraId="79402E53" w14:textId="77777777" w:rsidR="0007612C" w:rsidRPr="0007612C" w:rsidRDefault="0007612C" w:rsidP="0007612C">
            <w:pPr>
              <w:rPr>
                <w:lang w:val="en-GB"/>
              </w:rPr>
            </w:pPr>
            <w:r w:rsidRPr="0007612C">
              <w:rPr>
                <w:lang w:val="en-GB"/>
              </w:rPr>
              <w:t>Q3</w:t>
            </w:r>
          </w:p>
          <w:p w14:paraId="2E3E132D" w14:textId="77777777" w:rsidR="0007612C" w:rsidRPr="0007612C" w:rsidRDefault="0007612C" w:rsidP="0007612C">
            <w:pPr>
              <w:rPr>
                <w:lang w:val="en-GB"/>
              </w:rPr>
            </w:pPr>
            <w:r w:rsidRPr="0007612C">
              <w:rPr>
                <w:lang w:val="en-GB"/>
              </w:rPr>
              <w:t>2022-23</w:t>
            </w:r>
          </w:p>
        </w:tc>
        <w:tc>
          <w:tcPr>
            <w:tcW w:w="296" w:type="pct"/>
          </w:tcPr>
          <w:p w14:paraId="1E7263EA" w14:textId="77777777" w:rsidR="0007612C" w:rsidRPr="0007612C" w:rsidRDefault="0007612C" w:rsidP="0007612C">
            <w:pPr>
              <w:rPr>
                <w:lang w:val="en-GB"/>
              </w:rPr>
            </w:pPr>
            <w:r w:rsidRPr="0007612C">
              <w:rPr>
                <w:lang w:val="en-GB"/>
              </w:rPr>
              <w:t>Q4</w:t>
            </w:r>
          </w:p>
          <w:p w14:paraId="256FD530" w14:textId="77777777" w:rsidR="0007612C" w:rsidRPr="0007612C" w:rsidRDefault="0007612C" w:rsidP="0007612C">
            <w:pPr>
              <w:rPr>
                <w:lang w:val="en-GB"/>
              </w:rPr>
            </w:pPr>
            <w:r w:rsidRPr="0007612C">
              <w:rPr>
                <w:lang w:val="en-GB"/>
              </w:rPr>
              <w:t>2022-23</w:t>
            </w:r>
          </w:p>
        </w:tc>
        <w:tc>
          <w:tcPr>
            <w:tcW w:w="351" w:type="pct"/>
          </w:tcPr>
          <w:p w14:paraId="4E52495C" w14:textId="77777777" w:rsidR="0007612C" w:rsidRPr="0007612C" w:rsidRDefault="0007612C" w:rsidP="0007612C">
            <w:pPr>
              <w:rPr>
                <w:lang w:val="en-GB"/>
              </w:rPr>
            </w:pPr>
            <w:r w:rsidRPr="0007612C">
              <w:rPr>
                <w:lang w:val="en-GB"/>
              </w:rPr>
              <w:t>Q1</w:t>
            </w:r>
          </w:p>
          <w:p w14:paraId="45D52DBB" w14:textId="77777777" w:rsidR="0007612C" w:rsidRPr="0007612C" w:rsidRDefault="0007612C" w:rsidP="0007612C">
            <w:pPr>
              <w:rPr>
                <w:lang w:val="en-GB"/>
              </w:rPr>
            </w:pPr>
            <w:r w:rsidRPr="0007612C">
              <w:rPr>
                <w:lang w:val="en-GB"/>
              </w:rPr>
              <w:t>2023-24</w:t>
            </w:r>
          </w:p>
        </w:tc>
        <w:tc>
          <w:tcPr>
            <w:tcW w:w="1787" w:type="pct"/>
            <w:vMerge w:val="restart"/>
            <w:shd w:val="clear" w:color="auto" w:fill="auto"/>
          </w:tcPr>
          <w:p w14:paraId="1E483A93" w14:textId="77777777" w:rsidR="0007612C" w:rsidRPr="0007612C" w:rsidRDefault="0007612C" w:rsidP="0007612C">
            <w:pPr>
              <w:rPr>
                <w:lang w:val="en-GB"/>
              </w:rPr>
            </w:pPr>
            <w:r w:rsidRPr="0007612C">
              <w:rPr>
                <w:noProof/>
                <w:lang w:val="en-GB"/>
              </w:rPr>
              <w:drawing>
                <wp:inline distT="0" distB="0" distL="0" distR="0" wp14:anchorId="2102CD23" wp14:editId="699FDB7E">
                  <wp:extent cx="4723075" cy="2838616"/>
                  <wp:effectExtent l="0" t="0" r="1905" b="0"/>
                  <wp:docPr id="226" name="Chart 226" descr="Chart showing Number of people accessing primary mental health and addiction services per 100,000 people."/>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D50B7E" w:rsidRPr="0007612C" w14:paraId="65A1A5AA" w14:textId="77777777" w:rsidTr="00D33BCA">
        <w:trPr>
          <w:trHeight w:val="738"/>
        </w:trPr>
        <w:tc>
          <w:tcPr>
            <w:tcW w:w="1157" w:type="pct"/>
            <w:vMerge w:val="restart"/>
            <w:hideMark/>
          </w:tcPr>
          <w:p w14:paraId="7EC73BB5" w14:textId="77777777" w:rsidR="0007612C" w:rsidRPr="0007612C" w:rsidRDefault="0007612C" w:rsidP="0007612C">
            <w:pPr>
              <w:rPr>
                <w:vertAlign w:val="superscript"/>
              </w:rPr>
            </w:pPr>
            <w:r w:rsidRPr="0007612C">
              <w:t xml:space="preserve">Number of people accessing primary mental health and addiction services per 100,000 people </w:t>
            </w:r>
            <w:r w:rsidRPr="0007612C">
              <w:rPr>
                <w:vertAlign w:val="superscript"/>
              </w:rPr>
              <w:t>8,</w:t>
            </w:r>
            <w:r w:rsidRPr="0007612C">
              <w:rPr>
                <w:vertAlign w:val="superscript"/>
              </w:rPr>
              <w:footnoteReference w:id="9"/>
            </w:r>
            <w:r w:rsidRPr="0007612C">
              <w:t>.</w:t>
            </w:r>
          </w:p>
          <w:p w14:paraId="3C4A8C56" w14:textId="77777777" w:rsidR="0007612C" w:rsidRPr="0007612C" w:rsidRDefault="0007612C" w:rsidP="0007612C"/>
          <w:p w14:paraId="12F68335" w14:textId="77777777" w:rsidR="0007612C" w:rsidRPr="0007612C" w:rsidRDefault="0007612C" w:rsidP="0007612C">
            <w:pPr>
              <w:rPr>
                <w:lang w:val="en-GB"/>
              </w:rPr>
            </w:pPr>
            <w:r w:rsidRPr="0007612C">
              <w:t xml:space="preserve">Target: Target to be established </w:t>
            </w:r>
          </w:p>
        </w:tc>
        <w:tc>
          <w:tcPr>
            <w:tcW w:w="476" w:type="pct"/>
            <w:hideMark/>
          </w:tcPr>
          <w:p w14:paraId="16143211" w14:textId="77777777" w:rsidR="0007612C" w:rsidRPr="0007612C" w:rsidRDefault="0007612C" w:rsidP="0007612C">
            <w:pPr>
              <w:rPr>
                <w:lang w:val="en-GB"/>
              </w:rPr>
            </w:pPr>
            <w:r w:rsidRPr="0007612C">
              <w:rPr>
                <w:lang w:val="en-GB"/>
              </w:rPr>
              <w:t>Māori</w:t>
            </w:r>
          </w:p>
        </w:tc>
        <w:tc>
          <w:tcPr>
            <w:tcW w:w="306" w:type="pct"/>
          </w:tcPr>
          <w:p w14:paraId="1FD1774A" w14:textId="77777777" w:rsidR="0007612C" w:rsidRPr="0007612C" w:rsidRDefault="0007612C" w:rsidP="0007612C">
            <w:pPr>
              <w:rPr>
                <w:lang w:val="en-GB"/>
              </w:rPr>
            </w:pPr>
            <w:r w:rsidRPr="0007612C">
              <w:rPr>
                <w:lang w:val="en-GB"/>
              </w:rPr>
              <w:t>1,356</w:t>
            </w:r>
          </w:p>
        </w:tc>
        <w:tc>
          <w:tcPr>
            <w:tcW w:w="330" w:type="pct"/>
          </w:tcPr>
          <w:p w14:paraId="41DA25CD" w14:textId="7BE51D99" w:rsidR="0007612C" w:rsidRPr="0007612C" w:rsidRDefault="0007612C" w:rsidP="0007612C">
            <w:pPr>
              <w:rPr>
                <w:lang w:val="en-GB"/>
              </w:rPr>
            </w:pPr>
            <w:r w:rsidRPr="0007612C">
              <w:rPr>
                <w:lang w:val="en-GB"/>
              </w:rPr>
              <w:t>1,395</w:t>
            </w:r>
            <w:r w:rsidRPr="0007612C">
              <w:t xml:space="preserve"> </w:t>
            </w:r>
            <w:r w:rsidRPr="0007612C">
              <w:rPr>
                <w:rFonts w:ascii="Wingdings" w:eastAsia="Wingdings" w:hAnsi="Wingdings" w:cs="Wingdings"/>
                <w:color w:val="00B050"/>
                <w:szCs w:val="24"/>
              </w:rPr>
              <w:t>Ý</w:t>
            </w:r>
          </w:p>
        </w:tc>
        <w:tc>
          <w:tcPr>
            <w:tcW w:w="297" w:type="pct"/>
          </w:tcPr>
          <w:p w14:paraId="68E91418" w14:textId="0E23204E" w:rsidR="0007612C" w:rsidRPr="0007612C" w:rsidRDefault="0007612C" w:rsidP="0007612C">
            <w:pPr>
              <w:rPr>
                <w:lang w:val="en-GB"/>
              </w:rPr>
            </w:pPr>
            <w:r w:rsidRPr="0007612C">
              <w:rPr>
                <w:lang w:val="en-GB"/>
              </w:rPr>
              <w:t>1,783</w:t>
            </w:r>
            <w:r w:rsidRPr="0007612C">
              <w:t xml:space="preserve"> </w:t>
            </w:r>
            <w:r w:rsidRPr="0007612C">
              <w:rPr>
                <w:rFonts w:ascii="Wingdings" w:eastAsia="Wingdings" w:hAnsi="Wingdings" w:cs="Wingdings"/>
                <w:color w:val="00B050"/>
                <w:szCs w:val="24"/>
              </w:rPr>
              <w:t>Ý</w:t>
            </w:r>
          </w:p>
        </w:tc>
        <w:tc>
          <w:tcPr>
            <w:tcW w:w="296" w:type="pct"/>
          </w:tcPr>
          <w:p w14:paraId="50B4C8C4" w14:textId="317284EF" w:rsidR="0007612C" w:rsidRPr="0007612C" w:rsidRDefault="0007612C" w:rsidP="0007612C">
            <w:pPr>
              <w:rPr>
                <w:lang w:val="en-GB"/>
              </w:rPr>
            </w:pPr>
            <w:r w:rsidRPr="0007612C">
              <w:rPr>
                <w:lang w:val="en-GB"/>
              </w:rPr>
              <w:t>2,080</w:t>
            </w:r>
            <w:r w:rsidRPr="0007612C">
              <w:t xml:space="preserve"> </w:t>
            </w:r>
            <w:r w:rsidRPr="0007612C">
              <w:rPr>
                <w:rFonts w:ascii="Wingdings" w:eastAsia="Wingdings" w:hAnsi="Wingdings" w:cs="Wingdings"/>
                <w:color w:val="00B050"/>
                <w:szCs w:val="24"/>
              </w:rPr>
              <w:t>Ý</w:t>
            </w:r>
          </w:p>
        </w:tc>
        <w:tc>
          <w:tcPr>
            <w:tcW w:w="351" w:type="pct"/>
          </w:tcPr>
          <w:p w14:paraId="4286DE32" w14:textId="253930A0" w:rsidR="0007612C" w:rsidRPr="0007612C" w:rsidRDefault="0007612C" w:rsidP="0007612C">
            <w:pPr>
              <w:rPr>
                <w:lang w:val="en-GB"/>
              </w:rPr>
            </w:pPr>
            <w:r w:rsidRPr="0007612C">
              <w:rPr>
                <w:lang w:val="en-GB"/>
              </w:rPr>
              <w:t xml:space="preserve">1,911 </w:t>
            </w:r>
            <w:r w:rsidRPr="0007612C">
              <w:rPr>
                <w:rFonts w:ascii="Wingdings" w:eastAsia="Wingdings" w:hAnsi="Wingdings" w:cs="Calibri"/>
                <w:color w:val="FF0000"/>
                <w:szCs w:val="24"/>
                <w:lang w:val="en-GB" w:eastAsia="en-NZ"/>
              </w:rPr>
              <w:t>Þ</w:t>
            </w:r>
          </w:p>
        </w:tc>
        <w:tc>
          <w:tcPr>
            <w:tcW w:w="1787" w:type="pct"/>
            <w:vMerge/>
            <w:shd w:val="clear" w:color="auto" w:fill="auto"/>
          </w:tcPr>
          <w:p w14:paraId="4B06F995" w14:textId="77777777" w:rsidR="0007612C" w:rsidRPr="0007612C" w:rsidRDefault="0007612C" w:rsidP="0007612C">
            <w:pPr>
              <w:rPr>
                <w:lang w:val="en-GB"/>
              </w:rPr>
            </w:pPr>
          </w:p>
        </w:tc>
      </w:tr>
      <w:tr w:rsidR="00D50B7E" w:rsidRPr="0007612C" w14:paraId="38E31722" w14:textId="77777777" w:rsidTr="00D33BCA">
        <w:trPr>
          <w:trHeight w:val="738"/>
        </w:trPr>
        <w:tc>
          <w:tcPr>
            <w:tcW w:w="1157" w:type="pct"/>
            <w:vMerge/>
            <w:hideMark/>
          </w:tcPr>
          <w:p w14:paraId="055D511D" w14:textId="77777777" w:rsidR="0007612C" w:rsidRPr="0007612C" w:rsidRDefault="0007612C" w:rsidP="0007612C">
            <w:pPr>
              <w:rPr>
                <w:lang w:val="en-GB"/>
              </w:rPr>
            </w:pPr>
          </w:p>
        </w:tc>
        <w:tc>
          <w:tcPr>
            <w:tcW w:w="476" w:type="pct"/>
            <w:hideMark/>
          </w:tcPr>
          <w:p w14:paraId="67FD7DA8" w14:textId="77777777" w:rsidR="0007612C" w:rsidRPr="0007612C" w:rsidRDefault="0007612C" w:rsidP="0007612C">
            <w:pPr>
              <w:rPr>
                <w:lang w:val="en-GB"/>
              </w:rPr>
            </w:pPr>
            <w:r w:rsidRPr="0007612C">
              <w:rPr>
                <w:lang w:val="en-GB"/>
              </w:rPr>
              <w:t>Pacific</w:t>
            </w:r>
          </w:p>
        </w:tc>
        <w:tc>
          <w:tcPr>
            <w:tcW w:w="306" w:type="pct"/>
          </w:tcPr>
          <w:p w14:paraId="02CA71BF" w14:textId="77777777" w:rsidR="0007612C" w:rsidRPr="0007612C" w:rsidRDefault="0007612C" w:rsidP="0007612C">
            <w:pPr>
              <w:rPr>
                <w:lang w:val="en-GB"/>
              </w:rPr>
            </w:pPr>
            <w:r w:rsidRPr="0007612C">
              <w:rPr>
                <w:lang w:val="en-GB"/>
              </w:rPr>
              <w:t>1,282</w:t>
            </w:r>
          </w:p>
        </w:tc>
        <w:tc>
          <w:tcPr>
            <w:tcW w:w="330" w:type="pct"/>
          </w:tcPr>
          <w:p w14:paraId="2B7A6C74" w14:textId="1792FD71" w:rsidR="0007612C" w:rsidRPr="0007612C" w:rsidRDefault="0007612C" w:rsidP="0007612C">
            <w:pPr>
              <w:rPr>
                <w:lang w:val="en-GB"/>
              </w:rPr>
            </w:pPr>
            <w:r w:rsidRPr="0007612C">
              <w:rPr>
                <w:lang w:val="en-GB"/>
              </w:rPr>
              <w:t>1,403</w:t>
            </w:r>
            <w:r w:rsidRPr="0007612C">
              <w:t xml:space="preserve"> </w:t>
            </w:r>
            <w:r w:rsidRPr="0007612C">
              <w:rPr>
                <w:rFonts w:ascii="Wingdings" w:eastAsia="Wingdings" w:hAnsi="Wingdings" w:cs="Wingdings"/>
                <w:color w:val="00B050"/>
                <w:szCs w:val="24"/>
              </w:rPr>
              <w:t>Ý</w:t>
            </w:r>
          </w:p>
        </w:tc>
        <w:tc>
          <w:tcPr>
            <w:tcW w:w="297" w:type="pct"/>
          </w:tcPr>
          <w:p w14:paraId="129F5D3C" w14:textId="7E85B349" w:rsidR="0007612C" w:rsidRPr="0007612C" w:rsidRDefault="0007612C" w:rsidP="0007612C">
            <w:pPr>
              <w:rPr>
                <w:lang w:val="en-GB"/>
              </w:rPr>
            </w:pPr>
            <w:r w:rsidRPr="0007612C">
              <w:rPr>
                <w:lang w:val="en-GB"/>
              </w:rPr>
              <w:t>2,410</w:t>
            </w:r>
            <w:r w:rsidRPr="0007612C">
              <w:t xml:space="preserve"> </w:t>
            </w:r>
            <w:r w:rsidRPr="0007612C">
              <w:rPr>
                <w:rFonts w:ascii="Wingdings" w:eastAsia="Wingdings" w:hAnsi="Wingdings" w:cs="Wingdings"/>
                <w:color w:val="00B050"/>
                <w:szCs w:val="24"/>
              </w:rPr>
              <w:t>Ý</w:t>
            </w:r>
          </w:p>
        </w:tc>
        <w:tc>
          <w:tcPr>
            <w:tcW w:w="296" w:type="pct"/>
          </w:tcPr>
          <w:p w14:paraId="06C88F08" w14:textId="3071F575" w:rsidR="0007612C" w:rsidRPr="0007612C" w:rsidRDefault="0007612C" w:rsidP="0007612C">
            <w:pPr>
              <w:rPr>
                <w:lang w:val="en-GB"/>
              </w:rPr>
            </w:pPr>
            <w:r w:rsidRPr="0007612C">
              <w:rPr>
                <w:lang w:val="en-GB"/>
              </w:rPr>
              <w:t xml:space="preserve">1,603 </w:t>
            </w:r>
            <w:r w:rsidRPr="0007612C">
              <w:rPr>
                <w:rFonts w:ascii="Wingdings" w:eastAsia="Wingdings" w:hAnsi="Wingdings" w:cs="Calibri"/>
                <w:color w:val="FF0000"/>
                <w:szCs w:val="24"/>
                <w:lang w:val="en-GB" w:eastAsia="en-NZ"/>
              </w:rPr>
              <w:t>Þ</w:t>
            </w:r>
          </w:p>
        </w:tc>
        <w:tc>
          <w:tcPr>
            <w:tcW w:w="351" w:type="pct"/>
          </w:tcPr>
          <w:p w14:paraId="5723DD47" w14:textId="5DCC8217" w:rsidR="0007612C" w:rsidRPr="0007612C" w:rsidRDefault="0007612C" w:rsidP="0007612C">
            <w:pPr>
              <w:rPr>
                <w:lang w:val="en-GB"/>
              </w:rPr>
            </w:pPr>
            <w:r w:rsidRPr="0007612C">
              <w:rPr>
                <w:lang w:val="en-GB"/>
              </w:rPr>
              <w:t>1,668</w:t>
            </w:r>
            <w:r w:rsidRPr="0007612C">
              <w:t xml:space="preserve"> </w:t>
            </w:r>
            <w:r w:rsidRPr="0007612C">
              <w:rPr>
                <w:rFonts w:ascii="Wingdings" w:eastAsia="Wingdings" w:hAnsi="Wingdings" w:cs="Wingdings"/>
                <w:color w:val="00B050"/>
                <w:szCs w:val="24"/>
              </w:rPr>
              <w:t>Ý</w:t>
            </w:r>
          </w:p>
        </w:tc>
        <w:tc>
          <w:tcPr>
            <w:tcW w:w="1787" w:type="pct"/>
            <w:vMerge/>
            <w:shd w:val="clear" w:color="auto" w:fill="auto"/>
          </w:tcPr>
          <w:p w14:paraId="15ECCF8D" w14:textId="77777777" w:rsidR="0007612C" w:rsidRPr="0007612C" w:rsidRDefault="0007612C" w:rsidP="0007612C">
            <w:pPr>
              <w:rPr>
                <w:lang w:val="en-GB"/>
              </w:rPr>
            </w:pPr>
          </w:p>
        </w:tc>
      </w:tr>
      <w:tr w:rsidR="00D50B7E" w:rsidRPr="0007612C" w14:paraId="0D6FA92C" w14:textId="77777777" w:rsidTr="00D33BCA">
        <w:trPr>
          <w:trHeight w:val="738"/>
        </w:trPr>
        <w:tc>
          <w:tcPr>
            <w:tcW w:w="1157" w:type="pct"/>
            <w:vMerge/>
          </w:tcPr>
          <w:p w14:paraId="7AFB550E" w14:textId="77777777" w:rsidR="0007612C" w:rsidRPr="0007612C" w:rsidRDefault="0007612C" w:rsidP="0007612C">
            <w:pPr>
              <w:rPr>
                <w:lang w:val="en-GB"/>
              </w:rPr>
            </w:pPr>
          </w:p>
        </w:tc>
        <w:tc>
          <w:tcPr>
            <w:tcW w:w="476" w:type="pct"/>
          </w:tcPr>
          <w:p w14:paraId="16FAF4E5" w14:textId="7478E05B" w:rsidR="0007612C" w:rsidRPr="0007612C" w:rsidRDefault="0007612C" w:rsidP="0007612C">
            <w:pPr>
              <w:rPr>
                <w:lang w:val="en-GB"/>
              </w:rPr>
            </w:pPr>
            <w:r w:rsidRPr="0007612C">
              <w:rPr>
                <w:lang w:val="en-GB"/>
              </w:rPr>
              <w:t xml:space="preserve">European and </w:t>
            </w:r>
            <w:r w:rsidR="00546454">
              <w:rPr>
                <w:lang w:val="en-GB"/>
              </w:rPr>
              <w:t>a</w:t>
            </w:r>
            <w:r w:rsidRPr="0007612C">
              <w:rPr>
                <w:lang w:val="en-GB"/>
              </w:rPr>
              <w:t>ll other ethnicities</w:t>
            </w:r>
          </w:p>
        </w:tc>
        <w:tc>
          <w:tcPr>
            <w:tcW w:w="306" w:type="pct"/>
          </w:tcPr>
          <w:p w14:paraId="3491C3F1" w14:textId="77777777" w:rsidR="0007612C" w:rsidRPr="0007612C" w:rsidRDefault="0007612C" w:rsidP="0007612C">
            <w:pPr>
              <w:rPr>
                <w:lang w:val="en-GB"/>
              </w:rPr>
            </w:pPr>
            <w:r w:rsidRPr="0007612C">
              <w:rPr>
                <w:lang w:val="en-GB"/>
              </w:rPr>
              <w:t>857</w:t>
            </w:r>
          </w:p>
        </w:tc>
        <w:tc>
          <w:tcPr>
            <w:tcW w:w="330" w:type="pct"/>
          </w:tcPr>
          <w:p w14:paraId="5716CAB8" w14:textId="562E0880" w:rsidR="0007612C" w:rsidRPr="0007612C" w:rsidRDefault="0007612C" w:rsidP="0007612C">
            <w:pPr>
              <w:rPr>
                <w:lang w:val="en-GB"/>
              </w:rPr>
            </w:pPr>
            <w:r w:rsidRPr="0007612C">
              <w:rPr>
                <w:lang w:val="en-GB"/>
              </w:rPr>
              <w:t>884</w:t>
            </w:r>
            <w:r w:rsidRPr="0007612C">
              <w:t xml:space="preserve"> </w:t>
            </w:r>
            <w:r w:rsidRPr="0007612C">
              <w:rPr>
                <w:rFonts w:ascii="Wingdings" w:eastAsia="Wingdings" w:hAnsi="Wingdings" w:cs="Wingdings"/>
                <w:color w:val="00B050"/>
                <w:szCs w:val="24"/>
              </w:rPr>
              <w:t>Ý</w:t>
            </w:r>
          </w:p>
        </w:tc>
        <w:tc>
          <w:tcPr>
            <w:tcW w:w="297" w:type="pct"/>
          </w:tcPr>
          <w:p w14:paraId="206BCA57" w14:textId="772E2415" w:rsidR="0007612C" w:rsidRPr="0007612C" w:rsidRDefault="0007612C" w:rsidP="0007612C">
            <w:pPr>
              <w:rPr>
                <w:lang w:val="en-GB"/>
              </w:rPr>
            </w:pPr>
            <w:r w:rsidRPr="0007612C">
              <w:rPr>
                <w:lang w:val="en-GB"/>
              </w:rPr>
              <w:t>947</w:t>
            </w:r>
            <w:r w:rsidRPr="0007612C">
              <w:t xml:space="preserve"> </w:t>
            </w:r>
            <w:r w:rsidRPr="0007612C">
              <w:rPr>
                <w:rFonts w:ascii="Wingdings" w:eastAsia="Wingdings" w:hAnsi="Wingdings" w:cs="Wingdings"/>
                <w:color w:val="00B050"/>
                <w:szCs w:val="24"/>
              </w:rPr>
              <w:t>Ý</w:t>
            </w:r>
          </w:p>
        </w:tc>
        <w:tc>
          <w:tcPr>
            <w:tcW w:w="296" w:type="pct"/>
          </w:tcPr>
          <w:p w14:paraId="623E28BF" w14:textId="768167D0" w:rsidR="0007612C" w:rsidRPr="0007612C" w:rsidRDefault="0007612C" w:rsidP="0007612C">
            <w:pPr>
              <w:rPr>
                <w:lang w:val="en-GB"/>
              </w:rPr>
            </w:pPr>
            <w:r w:rsidRPr="0007612C">
              <w:rPr>
                <w:lang w:val="en-GB"/>
              </w:rPr>
              <w:t>1,050</w:t>
            </w:r>
            <w:r w:rsidRPr="0007612C">
              <w:t xml:space="preserve"> </w:t>
            </w:r>
            <w:r w:rsidRPr="0007612C">
              <w:rPr>
                <w:rFonts w:ascii="Wingdings" w:eastAsia="Wingdings" w:hAnsi="Wingdings" w:cs="Wingdings"/>
                <w:color w:val="00B050"/>
                <w:szCs w:val="24"/>
              </w:rPr>
              <w:t>Ý</w:t>
            </w:r>
          </w:p>
        </w:tc>
        <w:tc>
          <w:tcPr>
            <w:tcW w:w="351" w:type="pct"/>
          </w:tcPr>
          <w:p w14:paraId="05AE099F" w14:textId="23F4B94C" w:rsidR="0007612C" w:rsidRPr="0007612C" w:rsidRDefault="0007612C" w:rsidP="0007612C">
            <w:pPr>
              <w:rPr>
                <w:lang w:val="en-GB"/>
              </w:rPr>
            </w:pPr>
            <w:r w:rsidRPr="0007612C">
              <w:rPr>
                <w:lang w:val="en-GB"/>
              </w:rPr>
              <w:t>1,124</w:t>
            </w:r>
            <w:r w:rsidRPr="0007612C">
              <w:t xml:space="preserve"> </w:t>
            </w:r>
            <w:r w:rsidRPr="0007612C">
              <w:rPr>
                <w:rFonts w:ascii="Wingdings" w:eastAsia="Wingdings" w:hAnsi="Wingdings" w:cs="Wingdings"/>
                <w:color w:val="00B050"/>
                <w:szCs w:val="24"/>
              </w:rPr>
              <w:t>Ý</w:t>
            </w:r>
          </w:p>
        </w:tc>
        <w:tc>
          <w:tcPr>
            <w:tcW w:w="1787" w:type="pct"/>
            <w:vMerge/>
            <w:shd w:val="clear" w:color="auto" w:fill="auto"/>
          </w:tcPr>
          <w:p w14:paraId="00B3D143" w14:textId="77777777" w:rsidR="0007612C" w:rsidRPr="0007612C" w:rsidRDefault="0007612C" w:rsidP="0007612C">
            <w:pPr>
              <w:rPr>
                <w:lang w:val="en-GB"/>
              </w:rPr>
            </w:pPr>
          </w:p>
        </w:tc>
      </w:tr>
      <w:tr w:rsidR="00D50B7E" w:rsidRPr="0007612C" w14:paraId="022E0A9C" w14:textId="77777777" w:rsidTr="00D33BCA">
        <w:trPr>
          <w:trHeight w:val="738"/>
        </w:trPr>
        <w:tc>
          <w:tcPr>
            <w:tcW w:w="1157" w:type="pct"/>
            <w:vMerge/>
          </w:tcPr>
          <w:p w14:paraId="0FB9A872" w14:textId="77777777" w:rsidR="0007612C" w:rsidRPr="0007612C" w:rsidRDefault="0007612C" w:rsidP="0007612C">
            <w:pPr>
              <w:rPr>
                <w:lang w:val="en-GB"/>
              </w:rPr>
            </w:pPr>
          </w:p>
        </w:tc>
        <w:tc>
          <w:tcPr>
            <w:tcW w:w="476" w:type="pct"/>
          </w:tcPr>
          <w:p w14:paraId="607FE9E0" w14:textId="77777777" w:rsidR="0007612C" w:rsidRPr="0007612C" w:rsidRDefault="0007612C" w:rsidP="0007612C">
            <w:pPr>
              <w:rPr>
                <w:lang w:val="en-GB"/>
              </w:rPr>
            </w:pPr>
            <w:r w:rsidRPr="0007612C">
              <w:rPr>
                <w:lang w:val="en-GB"/>
              </w:rPr>
              <w:t>Asian</w:t>
            </w:r>
          </w:p>
        </w:tc>
        <w:tc>
          <w:tcPr>
            <w:tcW w:w="306" w:type="pct"/>
          </w:tcPr>
          <w:p w14:paraId="263C315F" w14:textId="77777777" w:rsidR="0007612C" w:rsidRPr="0007612C" w:rsidRDefault="0007612C" w:rsidP="0007612C">
            <w:pPr>
              <w:rPr>
                <w:lang w:val="en-GB"/>
              </w:rPr>
            </w:pPr>
            <w:r w:rsidRPr="0007612C">
              <w:rPr>
                <w:lang w:val="en-GB"/>
              </w:rPr>
              <w:t>486</w:t>
            </w:r>
          </w:p>
        </w:tc>
        <w:tc>
          <w:tcPr>
            <w:tcW w:w="330" w:type="pct"/>
          </w:tcPr>
          <w:p w14:paraId="6E3ED663" w14:textId="6B35993A" w:rsidR="0007612C" w:rsidRPr="0007612C" w:rsidRDefault="0007612C" w:rsidP="0007612C">
            <w:pPr>
              <w:rPr>
                <w:lang w:val="en-GB"/>
              </w:rPr>
            </w:pPr>
            <w:r w:rsidRPr="0007612C">
              <w:rPr>
                <w:lang w:val="en-GB"/>
              </w:rPr>
              <w:t xml:space="preserve">480 </w:t>
            </w:r>
            <w:r w:rsidRPr="0007612C">
              <w:rPr>
                <w:rFonts w:ascii="Wingdings" w:eastAsia="Wingdings" w:hAnsi="Wingdings" w:cs="Calibri"/>
                <w:color w:val="FF0000"/>
                <w:szCs w:val="24"/>
                <w:lang w:val="en-GB" w:eastAsia="en-NZ"/>
              </w:rPr>
              <w:t>Þ</w:t>
            </w:r>
          </w:p>
        </w:tc>
        <w:tc>
          <w:tcPr>
            <w:tcW w:w="297" w:type="pct"/>
          </w:tcPr>
          <w:p w14:paraId="7BB37BBD" w14:textId="6F98B04A" w:rsidR="0007612C" w:rsidRPr="0007612C" w:rsidRDefault="0007612C" w:rsidP="0007612C">
            <w:pPr>
              <w:rPr>
                <w:lang w:val="en-GB"/>
              </w:rPr>
            </w:pPr>
            <w:r w:rsidRPr="0007612C">
              <w:rPr>
                <w:lang w:val="en-GB"/>
              </w:rPr>
              <w:t>522</w:t>
            </w:r>
            <w:r w:rsidRPr="0007612C">
              <w:t xml:space="preserve"> </w:t>
            </w:r>
            <w:r w:rsidRPr="0007612C">
              <w:rPr>
                <w:rFonts w:ascii="Wingdings" w:eastAsia="Wingdings" w:hAnsi="Wingdings" w:cs="Wingdings"/>
                <w:color w:val="00B050"/>
                <w:szCs w:val="24"/>
              </w:rPr>
              <w:t>Ý</w:t>
            </w:r>
          </w:p>
        </w:tc>
        <w:tc>
          <w:tcPr>
            <w:tcW w:w="296" w:type="pct"/>
          </w:tcPr>
          <w:p w14:paraId="2F9EF188" w14:textId="2AD633EB" w:rsidR="0007612C" w:rsidRPr="0007612C" w:rsidRDefault="0007612C" w:rsidP="0007612C">
            <w:pPr>
              <w:rPr>
                <w:lang w:val="en-GB"/>
              </w:rPr>
            </w:pPr>
            <w:r w:rsidRPr="0007612C">
              <w:rPr>
                <w:lang w:val="en-GB"/>
              </w:rPr>
              <w:t>595</w:t>
            </w:r>
            <w:r w:rsidRPr="0007612C">
              <w:t xml:space="preserve"> </w:t>
            </w:r>
            <w:r w:rsidRPr="0007612C">
              <w:rPr>
                <w:rFonts w:ascii="Wingdings" w:eastAsia="Wingdings" w:hAnsi="Wingdings" w:cs="Wingdings"/>
                <w:color w:val="00B050"/>
                <w:szCs w:val="24"/>
              </w:rPr>
              <w:t>Ý</w:t>
            </w:r>
          </w:p>
        </w:tc>
        <w:tc>
          <w:tcPr>
            <w:tcW w:w="351" w:type="pct"/>
          </w:tcPr>
          <w:p w14:paraId="7FA4A939" w14:textId="56AB17BF" w:rsidR="0007612C" w:rsidRPr="0007612C" w:rsidRDefault="0007612C" w:rsidP="0007612C">
            <w:pPr>
              <w:rPr>
                <w:lang w:val="en-GB"/>
              </w:rPr>
            </w:pPr>
            <w:r w:rsidRPr="0007612C">
              <w:rPr>
                <w:lang w:val="en-GB"/>
              </w:rPr>
              <w:t>690</w:t>
            </w:r>
            <w:r w:rsidRPr="0007612C">
              <w:t xml:space="preserve"> </w:t>
            </w:r>
            <w:r w:rsidRPr="0007612C">
              <w:rPr>
                <w:rFonts w:ascii="Wingdings" w:eastAsia="Wingdings" w:hAnsi="Wingdings" w:cs="Wingdings"/>
                <w:color w:val="00B050"/>
                <w:szCs w:val="24"/>
              </w:rPr>
              <w:t>Ý</w:t>
            </w:r>
          </w:p>
        </w:tc>
        <w:tc>
          <w:tcPr>
            <w:tcW w:w="1787" w:type="pct"/>
            <w:vMerge/>
            <w:shd w:val="clear" w:color="auto" w:fill="auto"/>
          </w:tcPr>
          <w:p w14:paraId="6AFCE019" w14:textId="77777777" w:rsidR="0007612C" w:rsidRPr="0007612C" w:rsidRDefault="0007612C" w:rsidP="0007612C">
            <w:pPr>
              <w:rPr>
                <w:lang w:val="en-GB"/>
              </w:rPr>
            </w:pPr>
          </w:p>
        </w:tc>
      </w:tr>
      <w:tr w:rsidR="00D50B7E" w:rsidRPr="0007612C" w14:paraId="4101ACB1" w14:textId="77777777" w:rsidTr="00D33BCA">
        <w:trPr>
          <w:trHeight w:val="738"/>
        </w:trPr>
        <w:tc>
          <w:tcPr>
            <w:tcW w:w="1157" w:type="pct"/>
            <w:vMerge/>
            <w:hideMark/>
          </w:tcPr>
          <w:p w14:paraId="3B59A8F6" w14:textId="77777777" w:rsidR="0007612C" w:rsidRPr="0007612C" w:rsidRDefault="0007612C" w:rsidP="0007612C">
            <w:pPr>
              <w:rPr>
                <w:lang w:val="en-GB"/>
              </w:rPr>
            </w:pPr>
          </w:p>
        </w:tc>
        <w:tc>
          <w:tcPr>
            <w:tcW w:w="476" w:type="pct"/>
            <w:hideMark/>
          </w:tcPr>
          <w:p w14:paraId="79B3B83D" w14:textId="77777777" w:rsidR="0007612C" w:rsidRPr="0007612C" w:rsidRDefault="0007612C" w:rsidP="0007612C">
            <w:pPr>
              <w:rPr>
                <w:lang w:val="en-GB"/>
              </w:rPr>
            </w:pPr>
            <w:r w:rsidRPr="0007612C">
              <w:rPr>
                <w:lang w:val="en-GB"/>
              </w:rPr>
              <w:t>Total</w:t>
            </w:r>
          </w:p>
        </w:tc>
        <w:tc>
          <w:tcPr>
            <w:tcW w:w="306" w:type="pct"/>
          </w:tcPr>
          <w:p w14:paraId="7EAFE8F4" w14:textId="77777777" w:rsidR="0007612C" w:rsidRPr="0007612C" w:rsidRDefault="0007612C" w:rsidP="0007612C">
            <w:pPr>
              <w:rPr>
                <w:lang w:val="en-GB"/>
              </w:rPr>
            </w:pPr>
            <w:r w:rsidRPr="0007612C">
              <w:rPr>
                <w:lang w:val="en-GB"/>
              </w:rPr>
              <w:t>916</w:t>
            </w:r>
          </w:p>
        </w:tc>
        <w:tc>
          <w:tcPr>
            <w:tcW w:w="330" w:type="pct"/>
          </w:tcPr>
          <w:p w14:paraId="3D88CEF4" w14:textId="2BCC7A1A" w:rsidR="0007612C" w:rsidRPr="0007612C" w:rsidRDefault="0007612C" w:rsidP="0007612C">
            <w:pPr>
              <w:rPr>
                <w:lang w:val="en-GB"/>
              </w:rPr>
            </w:pPr>
            <w:r w:rsidRPr="0007612C">
              <w:rPr>
                <w:lang w:val="en-GB"/>
              </w:rPr>
              <w:t>947</w:t>
            </w:r>
            <w:r w:rsidRPr="0007612C">
              <w:t xml:space="preserve"> </w:t>
            </w:r>
            <w:r w:rsidRPr="0007612C">
              <w:rPr>
                <w:rFonts w:ascii="Wingdings" w:eastAsia="Wingdings" w:hAnsi="Wingdings" w:cs="Wingdings"/>
                <w:color w:val="00B050"/>
                <w:szCs w:val="24"/>
              </w:rPr>
              <w:t>Ý</w:t>
            </w:r>
          </w:p>
        </w:tc>
        <w:tc>
          <w:tcPr>
            <w:tcW w:w="297" w:type="pct"/>
          </w:tcPr>
          <w:p w14:paraId="44783949" w14:textId="264535CF" w:rsidR="0007612C" w:rsidRPr="0007612C" w:rsidRDefault="0007612C" w:rsidP="0007612C">
            <w:pPr>
              <w:rPr>
                <w:lang w:val="en-GB"/>
              </w:rPr>
            </w:pPr>
            <w:r w:rsidRPr="0007612C">
              <w:rPr>
                <w:lang w:val="en-GB"/>
              </w:rPr>
              <w:t>1,132</w:t>
            </w:r>
            <w:r w:rsidRPr="0007612C">
              <w:t xml:space="preserve"> </w:t>
            </w:r>
            <w:r w:rsidRPr="0007612C">
              <w:rPr>
                <w:rFonts w:ascii="Wingdings" w:eastAsia="Wingdings" w:hAnsi="Wingdings" w:cs="Wingdings"/>
                <w:color w:val="00B050"/>
                <w:szCs w:val="24"/>
              </w:rPr>
              <w:t>Ý</w:t>
            </w:r>
          </w:p>
        </w:tc>
        <w:tc>
          <w:tcPr>
            <w:tcW w:w="296" w:type="pct"/>
          </w:tcPr>
          <w:p w14:paraId="533A8CC5" w14:textId="1C174026" w:rsidR="0007612C" w:rsidRPr="0007612C" w:rsidRDefault="0007612C" w:rsidP="0007612C">
            <w:pPr>
              <w:rPr>
                <w:lang w:val="en-GB"/>
              </w:rPr>
            </w:pPr>
            <w:r w:rsidRPr="0007612C">
              <w:rPr>
                <w:lang w:val="en-GB"/>
              </w:rPr>
              <w:t>1,198</w:t>
            </w:r>
            <w:r w:rsidRPr="0007612C">
              <w:t xml:space="preserve"> </w:t>
            </w:r>
            <w:r w:rsidRPr="0007612C">
              <w:rPr>
                <w:rFonts w:ascii="Wingdings" w:eastAsia="Wingdings" w:hAnsi="Wingdings" w:cs="Wingdings"/>
                <w:color w:val="00B050"/>
                <w:szCs w:val="24"/>
              </w:rPr>
              <w:t>Ý</w:t>
            </w:r>
          </w:p>
        </w:tc>
        <w:tc>
          <w:tcPr>
            <w:tcW w:w="351" w:type="pct"/>
          </w:tcPr>
          <w:p w14:paraId="083746F3" w14:textId="2BE7CCF4" w:rsidR="0007612C" w:rsidRPr="0007612C" w:rsidRDefault="0007612C" w:rsidP="0007612C">
            <w:pPr>
              <w:rPr>
                <w:lang w:val="en-GB"/>
              </w:rPr>
            </w:pPr>
            <w:r w:rsidRPr="0007612C">
              <w:rPr>
                <w:lang w:val="en-GB"/>
              </w:rPr>
              <w:t>1,232</w:t>
            </w:r>
            <w:r w:rsidRPr="0007612C">
              <w:t xml:space="preserve"> </w:t>
            </w:r>
            <w:r w:rsidRPr="0007612C">
              <w:rPr>
                <w:rFonts w:ascii="Wingdings" w:eastAsia="Wingdings" w:hAnsi="Wingdings" w:cs="Wingdings"/>
                <w:color w:val="00B050"/>
                <w:szCs w:val="24"/>
              </w:rPr>
              <w:t>Ý</w:t>
            </w:r>
          </w:p>
        </w:tc>
        <w:tc>
          <w:tcPr>
            <w:tcW w:w="1787" w:type="pct"/>
            <w:vMerge/>
            <w:shd w:val="clear" w:color="auto" w:fill="auto"/>
          </w:tcPr>
          <w:p w14:paraId="4BA98289" w14:textId="77777777" w:rsidR="0007612C" w:rsidRPr="0007612C" w:rsidRDefault="0007612C" w:rsidP="0007612C">
            <w:pPr>
              <w:rPr>
                <w:lang w:val="en-GB"/>
              </w:rPr>
            </w:pPr>
          </w:p>
        </w:tc>
      </w:tr>
      <w:tr w:rsidR="0007612C" w:rsidRPr="0007612C" w14:paraId="5E5293F3" w14:textId="77777777" w:rsidTr="00D50B7E">
        <w:trPr>
          <w:trHeight w:val="300"/>
        </w:trPr>
        <w:tc>
          <w:tcPr>
            <w:tcW w:w="1157" w:type="pct"/>
          </w:tcPr>
          <w:p w14:paraId="784AE3DB" w14:textId="77777777" w:rsidR="0007612C" w:rsidRPr="0007612C" w:rsidRDefault="0007612C" w:rsidP="0007612C">
            <w:pPr>
              <w:rPr>
                <w:lang w:val="en-GB"/>
              </w:rPr>
            </w:pPr>
            <w:r w:rsidRPr="0007612C">
              <w:rPr>
                <w:lang w:val="en-GB"/>
              </w:rPr>
              <w:t>Comments</w:t>
            </w:r>
          </w:p>
        </w:tc>
        <w:tc>
          <w:tcPr>
            <w:tcW w:w="3843" w:type="pct"/>
            <w:gridSpan w:val="7"/>
          </w:tcPr>
          <w:p w14:paraId="6C14356D" w14:textId="6AFC6C61" w:rsidR="0007612C" w:rsidRPr="0007612C" w:rsidRDefault="0007612C" w:rsidP="0007612C">
            <w:r w:rsidRPr="0007612C">
              <w:t>This measure reflects access to primary mental health and addiction services funded since 2019 only and excludes previously existing primary mental health and addiction services because of lack of reliable data from those services. There has been steady growth in overall access to these services reflecting progressive expansion over time. These new services prioritised access for Māori and Pacific people and, accordingly, rates of access for these population groups are higher than for other population groups, as intended. Access is low among Asian populations relative to all other population groups, and Asian access to services will be a focus for future planning and improvement.</w:t>
            </w:r>
          </w:p>
        </w:tc>
      </w:tr>
    </w:tbl>
    <w:p w14:paraId="6E8CF48E" w14:textId="77777777" w:rsidR="0007612C" w:rsidRDefault="0007612C" w:rsidP="00E92FE9">
      <w:pPr>
        <w:pStyle w:val="TableText"/>
      </w:pPr>
    </w:p>
    <w:p w14:paraId="47F86774" w14:textId="77777777" w:rsidR="00D452BB" w:rsidRDefault="00D452BB" w:rsidP="00E92FE9">
      <w:pPr>
        <w:pStyle w:val="TableText"/>
      </w:pPr>
    </w:p>
    <w:p w14:paraId="318AD6C7" w14:textId="77777777" w:rsidR="00D452BB" w:rsidRDefault="00D452BB" w:rsidP="00E92FE9">
      <w:pPr>
        <w:pStyle w:val="TableText"/>
      </w:pPr>
    </w:p>
    <w:p w14:paraId="5EC15008" w14:textId="77777777" w:rsidR="00D452BB" w:rsidRDefault="00D452BB" w:rsidP="00E92FE9">
      <w:pPr>
        <w:pStyle w:val="TableText"/>
      </w:pPr>
    </w:p>
    <w:p w14:paraId="54B827FA" w14:textId="77777777" w:rsidR="00D452BB" w:rsidRDefault="00D452BB" w:rsidP="00E92FE9">
      <w:pPr>
        <w:pStyle w:val="TableText"/>
      </w:pPr>
    </w:p>
    <w:p w14:paraId="096F1463" w14:textId="77777777" w:rsidR="00D452BB" w:rsidRDefault="00D452BB" w:rsidP="00E92FE9">
      <w:pPr>
        <w:pStyle w:val="TableText"/>
      </w:pPr>
    </w:p>
    <w:p w14:paraId="5E896F94" w14:textId="77777777" w:rsidR="00D452BB" w:rsidRDefault="00D452BB" w:rsidP="00E92FE9">
      <w:pPr>
        <w:pStyle w:val="TableText"/>
      </w:pPr>
    </w:p>
    <w:p w14:paraId="2C94948B" w14:textId="77777777" w:rsidR="00D452BB" w:rsidRDefault="00D452BB" w:rsidP="00E92FE9">
      <w:pPr>
        <w:pStyle w:val="TableText"/>
      </w:pPr>
    </w:p>
    <w:p w14:paraId="0F2DF76F" w14:textId="77777777" w:rsidR="00D452BB" w:rsidRDefault="00D452BB" w:rsidP="00E92FE9">
      <w:pPr>
        <w:pStyle w:val="TableText"/>
      </w:pPr>
    </w:p>
    <w:p w14:paraId="727EBEAB" w14:textId="77777777" w:rsidR="00D452BB" w:rsidRDefault="00D452BB" w:rsidP="00E92FE9">
      <w:pPr>
        <w:pStyle w:val="TableText"/>
      </w:pPr>
    </w:p>
    <w:p w14:paraId="6C3AA073" w14:textId="77777777" w:rsidR="00D452BB" w:rsidRDefault="00D452BB" w:rsidP="00E92FE9">
      <w:pPr>
        <w:pStyle w:val="TableText"/>
      </w:pPr>
    </w:p>
    <w:p w14:paraId="13A1A350" w14:textId="77777777" w:rsidR="00D452BB" w:rsidRDefault="00D452BB" w:rsidP="00E92FE9">
      <w:pPr>
        <w:pStyle w:val="TableText"/>
      </w:pPr>
    </w:p>
    <w:p w14:paraId="78121AF8" w14:textId="77777777" w:rsidR="00D452BB" w:rsidRDefault="00D452BB" w:rsidP="00E92FE9">
      <w:pPr>
        <w:pStyle w:val="TableText"/>
      </w:pPr>
    </w:p>
    <w:p w14:paraId="749A67F2" w14:textId="77777777" w:rsidR="00D452BB" w:rsidRDefault="00D452BB" w:rsidP="00E92FE9">
      <w:pPr>
        <w:pStyle w:val="TableText"/>
      </w:pPr>
    </w:p>
    <w:p w14:paraId="30F2FC9C" w14:textId="77777777" w:rsidR="00D452BB" w:rsidRDefault="00D452BB" w:rsidP="00E92FE9">
      <w:pPr>
        <w:pStyle w:val="TableText"/>
      </w:pPr>
    </w:p>
    <w:p w14:paraId="2B86261F" w14:textId="77777777" w:rsidR="00D452BB" w:rsidRDefault="00D452BB" w:rsidP="00E92FE9">
      <w:pPr>
        <w:pStyle w:val="TableText"/>
      </w:pPr>
    </w:p>
    <w:p w14:paraId="17630A3E" w14:textId="77777777" w:rsidR="00D452BB" w:rsidRDefault="00D452BB" w:rsidP="00E92FE9">
      <w:pPr>
        <w:pStyle w:val="TableText"/>
      </w:pPr>
    </w:p>
    <w:p w14:paraId="2AD6C427" w14:textId="77777777" w:rsidR="00D452BB" w:rsidRDefault="00D452BB" w:rsidP="00E92FE9">
      <w:pPr>
        <w:pStyle w:val="TableText"/>
      </w:pPr>
    </w:p>
    <w:tbl>
      <w:tblPr>
        <w:tblStyle w:val="TeWhatuOra"/>
        <w:tblW w:w="5000" w:type="pct"/>
        <w:tblLook w:val="0420" w:firstRow="1" w:lastRow="0" w:firstColumn="0" w:lastColumn="0" w:noHBand="0" w:noVBand="1"/>
      </w:tblPr>
      <w:tblGrid>
        <w:gridCol w:w="4957"/>
        <w:gridCol w:w="2127"/>
        <w:gridCol w:w="1275"/>
        <w:gridCol w:w="1417"/>
        <w:gridCol w:w="1275"/>
        <w:gridCol w:w="1279"/>
        <w:gridCol w:w="1559"/>
        <w:gridCol w:w="7644"/>
      </w:tblGrid>
      <w:tr w:rsidR="00D50B7E" w:rsidRPr="0007612C" w14:paraId="220CAFA0" w14:textId="77777777" w:rsidTr="00D33BCA">
        <w:trPr>
          <w:cnfStyle w:val="100000000000" w:firstRow="1" w:lastRow="0" w:firstColumn="0" w:lastColumn="0" w:oddVBand="0" w:evenVBand="0" w:oddHBand="0" w:evenHBand="0" w:firstRowFirstColumn="0" w:firstRowLastColumn="0" w:lastRowFirstColumn="0" w:lastRowLastColumn="0"/>
          <w:trHeight w:val="360"/>
        </w:trPr>
        <w:tc>
          <w:tcPr>
            <w:tcW w:w="1151" w:type="pct"/>
          </w:tcPr>
          <w:p w14:paraId="75013241" w14:textId="77777777" w:rsidR="0007612C" w:rsidRPr="0007612C" w:rsidRDefault="0007612C" w:rsidP="0007612C">
            <w:pPr>
              <w:rPr>
                <w:lang w:val="en-GB"/>
              </w:rPr>
            </w:pPr>
            <w:r w:rsidRPr="0007612C">
              <w:rPr>
                <w:lang w:val="en-GB"/>
              </w:rPr>
              <w:lastRenderedPageBreak/>
              <w:t>Measure</w:t>
            </w:r>
          </w:p>
        </w:tc>
        <w:tc>
          <w:tcPr>
            <w:tcW w:w="494" w:type="pct"/>
          </w:tcPr>
          <w:p w14:paraId="49F1D6BB" w14:textId="77777777" w:rsidR="0007612C" w:rsidRPr="0007612C" w:rsidRDefault="0007612C" w:rsidP="0007612C">
            <w:pPr>
              <w:rPr>
                <w:lang w:val="en-GB"/>
              </w:rPr>
            </w:pPr>
            <w:r w:rsidRPr="0007612C">
              <w:rPr>
                <w:bCs/>
                <w:lang w:val="en-GB"/>
              </w:rPr>
              <w:t>Ethnic group</w:t>
            </w:r>
          </w:p>
        </w:tc>
        <w:tc>
          <w:tcPr>
            <w:tcW w:w="296" w:type="pct"/>
          </w:tcPr>
          <w:p w14:paraId="5DC7AC28" w14:textId="77777777" w:rsidR="0007612C" w:rsidRPr="0007612C" w:rsidRDefault="0007612C" w:rsidP="0007612C">
            <w:pPr>
              <w:rPr>
                <w:lang w:val="en-GB"/>
              </w:rPr>
            </w:pPr>
            <w:r w:rsidRPr="0007612C">
              <w:rPr>
                <w:lang w:val="en-GB"/>
              </w:rPr>
              <w:t>Q1</w:t>
            </w:r>
          </w:p>
          <w:p w14:paraId="50246DC5" w14:textId="77777777" w:rsidR="0007612C" w:rsidRPr="0007612C" w:rsidRDefault="0007612C" w:rsidP="0007612C">
            <w:pPr>
              <w:rPr>
                <w:lang w:val="en-GB"/>
              </w:rPr>
            </w:pPr>
            <w:r w:rsidRPr="0007612C">
              <w:rPr>
                <w:lang w:val="en-GB"/>
              </w:rPr>
              <w:t>2022-23</w:t>
            </w:r>
          </w:p>
        </w:tc>
        <w:tc>
          <w:tcPr>
            <w:tcW w:w="329" w:type="pct"/>
          </w:tcPr>
          <w:p w14:paraId="20940658" w14:textId="77777777" w:rsidR="0007612C" w:rsidRPr="0007612C" w:rsidRDefault="0007612C" w:rsidP="0007612C">
            <w:pPr>
              <w:rPr>
                <w:lang w:val="en-GB"/>
              </w:rPr>
            </w:pPr>
            <w:r w:rsidRPr="0007612C">
              <w:rPr>
                <w:lang w:val="en-GB"/>
              </w:rPr>
              <w:t>Q2</w:t>
            </w:r>
          </w:p>
          <w:p w14:paraId="69C42765" w14:textId="77777777" w:rsidR="0007612C" w:rsidRPr="0007612C" w:rsidRDefault="0007612C" w:rsidP="0007612C">
            <w:pPr>
              <w:rPr>
                <w:lang w:val="en-GB"/>
              </w:rPr>
            </w:pPr>
            <w:r w:rsidRPr="0007612C">
              <w:rPr>
                <w:lang w:val="en-GB"/>
              </w:rPr>
              <w:t>2022-23</w:t>
            </w:r>
          </w:p>
        </w:tc>
        <w:tc>
          <w:tcPr>
            <w:tcW w:w="296" w:type="pct"/>
          </w:tcPr>
          <w:p w14:paraId="25284E32" w14:textId="77777777" w:rsidR="0007612C" w:rsidRPr="0007612C" w:rsidRDefault="0007612C" w:rsidP="0007612C">
            <w:pPr>
              <w:rPr>
                <w:lang w:val="en-GB"/>
              </w:rPr>
            </w:pPr>
            <w:r w:rsidRPr="0007612C">
              <w:rPr>
                <w:lang w:val="en-GB"/>
              </w:rPr>
              <w:t>Q3</w:t>
            </w:r>
          </w:p>
          <w:p w14:paraId="164C9B59" w14:textId="77777777" w:rsidR="0007612C" w:rsidRPr="0007612C" w:rsidRDefault="0007612C" w:rsidP="0007612C">
            <w:pPr>
              <w:rPr>
                <w:lang w:val="en-GB"/>
              </w:rPr>
            </w:pPr>
            <w:r w:rsidRPr="0007612C">
              <w:rPr>
                <w:lang w:val="en-GB"/>
              </w:rPr>
              <w:t>2022-23</w:t>
            </w:r>
          </w:p>
        </w:tc>
        <w:tc>
          <w:tcPr>
            <w:tcW w:w="297" w:type="pct"/>
          </w:tcPr>
          <w:p w14:paraId="13F06E3E" w14:textId="77777777" w:rsidR="0007612C" w:rsidRPr="0007612C" w:rsidRDefault="0007612C" w:rsidP="0007612C">
            <w:pPr>
              <w:rPr>
                <w:lang w:val="en-GB"/>
              </w:rPr>
            </w:pPr>
            <w:r w:rsidRPr="0007612C">
              <w:rPr>
                <w:lang w:val="en-GB"/>
              </w:rPr>
              <w:t>Q4</w:t>
            </w:r>
          </w:p>
          <w:p w14:paraId="09C1E9E3" w14:textId="77777777" w:rsidR="0007612C" w:rsidRPr="0007612C" w:rsidRDefault="0007612C" w:rsidP="0007612C">
            <w:pPr>
              <w:rPr>
                <w:lang w:val="en-GB"/>
              </w:rPr>
            </w:pPr>
            <w:r w:rsidRPr="0007612C">
              <w:rPr>
                <w:lang w:val="en-GB"/>
              </w:rPr>
              <w:t>2022-23</w:t>
            </w:r>
          </w:p>
        </w:tc>
        <w:tc>
          <w:tcPr>
            <w:tcW w:w="362" w:type="pct"/>
          </w:tcPr>
          <w:p w14:paraId="6F366721" w14:textId="77777777" w:rsidR="0007612C" w:rsidRPr="0007612C" w:rsidRDefault="0007612C" w:rsidP="0007612C">
            <w:pPr>
              <w:rPr>
                <w:lang w:val="en-GB"/>
              </w:rPr>
            </w:pPr>
            <w:r w:rsidRPr="0007612C">
              <w:rPr>
                <w:lang w:val="en-GB"/>
              </w:rPr>
              <w:t>Q1</w:t>
            </w:r>
          </w:p>
          <w:p w14:paraId="151F49A3" w14:textId="77777777" w:rsidR="0007612C" w:rsidRPr="0007612C" w:rsidRDefault="0007612C" w:rsidP="0007612C">
            <w:pPr>
              <w:rPr>
                <w:lang w:val="en-GB"/>
              </w:rPr>
            </w:pPr>
            <w:r w:rsidRPr="0007612C">
              <w:rPr>
                <w:lang w:val="en-GB"/>
              </w:rPr>
              <w:t>2023-24</w:t>
            </w:r>
          </w:p>
        </w:tc>
        <w:tc>
          <w:tcPr>
            <w:tcW w:w="1775" w:type="pct"/>
            <w:vMerge w:val="restart"/>
            <w:shd w:val="clear" w:color="auto" w:fill="auto"/>
          </w:tcPr>
          <w:p w14:paraId="6C58B460" w14:textId="77777777" w:rsidR="0007612C" w:rsidRPr="0007612C" w:rsidRDefault="0007612C" w:rsidP="0007612C">
            <w:pPr>
              <w:rPr>
                <w:lang w:val="en-GB"/>
              </w:rPr>
            </w:pPr>
            <w:r w:rsidRPr="0007612C">
              <w:rPr>
                <w:noProof/>
                <w:lang w:val="en-GB"/>
              </w:rPr>
              <w:drawing>
                <wp:inline distT="0" distB="0" distL="0" distR="0" wp14:anchorId="77D68E6A" wp14:editId="34B46F67">
                  <wp:extent cx="4570730" cy="2508885"/>
                  <wp:effectExtent l="0" t="0" r="1270" b="5715"/>
                  <wp:docPr id="1825775867" name="Chart 1825775867" descr="Chart showing Percentage of child and youth (under 25) accessing mental health services within three weeks of referral."/>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D50B7E" w:rsidRPr="0007612C" w14:paraId="3910DAF3" w14:textId="77777777" w:rsidTr="00D33BCA">
        <w:trPr>
          <w:trHeight w:val="504"/>
        </w:trPr>
        <w:tc>
          <w:tcPr>
            <w:tcW w:w="1151" w:type="pct"/>
            <w:vMerge w:val="restart"/>
          </w:tcPr>
          <w:p w14:paraId="5BBA6491" w14:textId="77777777" w:rsidR="0007612C" w:rsidRPr="0007612C" w:rsidRDefault="0007612C" w:rsidP="0007612C">
            <w:r w:rsidRPr="0007612C">
              <w:t xml:space="preserve">Percentage of child and youth (under 25) accessing mental health services within three weeks of referral </w:t>
            </w:r>
            <w:r w:rsidRPr="0007612C">
              <w:rPr>
                <w:vertAlign w:val="superscript"/>
              </w:rPr>
              <w:t>8,9,</w:t>
            </w:r>
            <w:r w:rsidRPr="0007612C">
              <w:rPr>
                <w:vertAlign w:val="superscript"/>
              </w:rPr>
              <w:footnoteReference w:id="10"/>
            </w:r>
            <w:r w:rsidRPr="0007612C">
              <w:rPr>
                <w:vertAlign w:val="superscript"/>
              </w:rPr>
              <w:t>,</w:t>
            </w:r>
            <w:r w:rsidRPr="0007612C">
              <w:rPr>
                <w:vertAlign w:val="superscript"/>
              </w:rPr>
              <w:footnoteReference w:id="11"/>
            </w:r>
            <w:r w:rsidRPr="0007612C">
              <w:t>.</w:t>
            </w:r>
          </w:p>
          <w:p w14:paraId="18B0E78B" w14:textId="77777777" w:rsidR="0007612C" w:rsidRPr="0007612C" w:rsidRDefault="0007612C" w:rsidP="0007612C">
            <w:pPr>
              <w:rPr>
                <w:vertAlign w:val="superscript"/>
              </w:rPr>
            </w:pPr>
          </w:p>
          <w:p w14:paraId="55AF834E" w14:textId="77777777" w:rsidR="0007612C" w:rsidRPr="0007612C" w:rsidRDefault="0007612C" w:rsidP="0007612C">
            <w:pPr>
              <w:rPr>
                <w:lang w:val="en-GB"/>
              </w:rPr>
            </w:pPr>
            <w:r w:rsidRPr="0007612C">
              <w:rPr>
                <w:lang w:val="en-GB"/>
              </w:rPr>
              <w:t xml:space="preserve">Target: </w:t>
            </w:r>
            <w:r w:rsidRPr="0007612C">
              <w:t xml:space="preserve">80% overall and maintain performance for populations exceeding this target </w:t>
            </w:r>
          </w:p>
        </w:tc>
        <w:tc>
          <w:tcPr>
            <w:tcW w:w="494" w:type="pct"/>
            <w:hideMark/>
          </w:tcPr>
          <w:p w14:paraId="494D2FF0" w14:textId="77777777" w:rsidR="0007612C" w:rsidRPr="0007612C" w:rsidRDefault="0007612C" w:rsidP="0007612C">
            <w:pPr>
              <w:rPr>
                <w:lang w:val="en-GB"/>
              </w:rPr>
            </w:pPr>
            <w:r w:rsidRPr="0007612C">
              <w:rPr>
                <w:lang w:val="en-GB"/>
              </w:rPr>
              <w:t>Māori</w:t>
            </w:r>
          </w:p>
        </w:tc>
        <w:tc>
          <w:tcPr>
            <w:tcW w:w="296" w:type="pct"/>
          </w:tcPr>
          <w:p w14:paraId="3134D38B" w14:textId="77777777" w:rsidR="0007612C" w:rsidRPr="0007612C" w:rsidRDefault="0007612C" w:rsidP="0007612C">
            <w:pPr>
              <w:rPr>
                <w:lang w:val="en-GB"/>
              </w:rPr>
            </w:pPr>
            <w:r w:rsidRPr="0007612C">
              <w:rPr>
                <w:lang w:val="en-GB"/>
              </w:rPr>
              <w:t>79%</w:t>
            </w:r>
          </w:p>
        </w:tc>
        <w:tc>
          <w:tcPr>
            <w:tcW w:w="329" w:type="pct"/>
          </w:tcPr>
          <w:p w14:paraId="52A44EAA" w14:textId="0F0485FC" w:rsidR="0007612C" w:rsidRPr="0007612C" w:rsidRDefault="0007612C" w:rsidP="0007612C">
            <w:pPr>
              <w:rPr>
                <w:lang w:val="en-GB"/>
              </w:rPr>
            </w:pPr>
            <w:r w:rsidRPr="0007612C">
              <w:rPr>
                <w:lang w:val="en-GB"/>
              </w:rPr>
              <w:t>77%</w:t>
            </w:r>
            <w:r>
              <w:rPr>
                <w:lang w:val="en-GB"/>
              </w:rPr>
              <w:t xml:space="preserve"> </w:t>
            </w:r>
            <w:r w:rsidRPr="0007612C">
              <w:rPr>
                <w:rFonts w:ascii="Wingdings" w:eastAsia="Wingdings" w:hAnsi="Wingdings" w:cs="Calibri"/>
                <w:color w:val="FF0000"/>
                <w:szCs w:val="24"/>
                <w:lang w:val="en-GB" w:eastAsia="en-NZ"/>
              </w:rPr>
              <w:t>Þ</w:t>
            </w:r>
          </w:p>
        </w:tc>
        <w:tc>
          <w:tcPr>
            <w:tcW w:w="296" w:type="pct"/>
          </w:tcPr>
          <w:p w14:paraId="046AC16E" w14:textId="69271652" w:rsidR="0007612C" w:rsidRPr="0007612C" w:rsidRDefault="0007612C" w:rsidP="0007612C">
            <w:pPr>
              <w:rPr>
                <w:lang w:val="en-GB"/>
              </w:rPr>
            </w:pPr>
            <w:r w:rsidRPr="0007612C">
              <w:rPr>
                <w:lang w:val="en-GB"/>
              </w:rPr>
              <w:t>76%</w:t>
            </w:r>
            <w:r>
              <w:rPr>
                <w:lang w:val="en-GB"/>
              </w:rPr>
              <w:t xml:space="preserve"> </w:t>
            </w:r>
            <w:r w:rsidRPr="0007612C">
              <w:rPr>
                <w:rFonts w:ascii="Wingdings" w:eastAsia="Wingdings" w:hAnsi="Wingdings" w:cs="Calibri"/>
                <w:color w:val="FF0000"/>
                <w:szCs w:val="24"/>
                <w:lang w:val="en-GB" w:eastAsia="en-NZ"/>
              </w:rPr>
              <w:t>Þ</w:t>
            </w:r>
          </w:p>
        </w:tc>
        <w:tc>
          <w:tcPr>
            <w:tcW w:w="297" w:type="pct"/>
          </w:tcPr>
          <w:p w14:paraId="0E8B3B22" w14:textId="2DD1FF44" w:rsidR="0007612C" w:rsidRPr="0007612C" w:rsidRDefault="0007612C" w:rsidP="0007612C">
            <w:pPr>
              <w:rPr>
                <w:lang w:val="en-GB"/>
              </w:rPr>
            </w:pPr>
            <w:r w:rsidRPr="0007612C">
              <w:rPr>
                <w:lang w:val="en-GB"/>
              </w:rPr>
              <w:t>72%</w:t>
            </w:r>
            <w:r>
              <w:rPr>
                <w:lang w:val="en-GB"/>
              </w:rPr>
              <w:t xml:space="preserve"> </w:t>
            </w:r>
            <w:r w:rsidRPr="0007612C">
              <w:rPr>
                <w:rFonts w:ascii="Wingdings" w:eastAsia="Wingdings" w:hAnsi="Wingdings" w:cs="Calibri"/>
                <w:color w:val="FF0000"/>
                <w:szCs w:val="24"/>
                <w:lang w:val="en-GB" w:eastAsia="en-NZ"/>
              </w:rPr>
              <w:t>Þ</w:t>
            </w:r>
          </w:p>
        </w:tc>
        <w:tc>
          <w:tcPr>
            <w:tcW w:w="362" w:type="pct"/>
          </w:tcPr>
          <w:p w14:paraId="0E68343D" w14:textId="1122B2E4" w:rsidR="0007612C" w:rsidRPr="0007612C" w:rsidRDefault="0007612C" w:rsidP="0007612C">
            <w:pPr>
              <w:rPr>
                <w:lang w:val="en-GB"/>
              </w:rPr>
            </w:pPr>
            <w:r w:rsidRPr="0007612C">
              <w:rPr>
                <w:lang w:val="en-GB"/>
              </w:rPr>
              <w:t>76%</w:t>
            </w:r>
            <w:r>
              <w:t xml:space="preserve"> </w:t>
            </w:r>
            <w:r w:rsidRPr="0007612C">
              <w:rPr>
                <w:rFonts w:ascii="Wingdings" w:eastAsia="Wingdings" w:hAnsi="Wingdings" w:cs="Wingdings"/>
                <w:color w:val="00B050"/>
                <w:szCs w:val="24"/>
              </w:rPr>
              <w:t>Ý</w:t>
            </w:r>
          </w:p>
        </w:tc>
        <w:tc>
          <w:tcPr>
            <w:tcW w:w="1775" w:type="pct"/>
            <w:vMerge/>
            <w:shd w:val="clear" w:color="auto" w:fill="auto"/>
          </w:tcPr>
          <w:p w14:paraId="4EA8B411" w14:textId="77777777" w:rsidR="0007612C" w:rsidRPr="0007612C" w:rsidRDefault="0007612C" w:rsidP="0007612C">
            <w:pPr>
              <w:rPr>
                <w:lang w:val="en-GB"/>
              </w:rPr>
            </w:pPr>
          </w:p>
        </w:tc>
      </w:tr>
      <w:tr w:rsidR="00D50B7E" w:rsidRPr="0007612C" w14:paraId="4079DC12" w14:textId="77777777" w:rsidTr="00D33BCA">
        <w:trPr>
          <w:trHeight w:val="427"/>
        </w:trPr>
        <w:tc>
          <w:tcPr>
            <w:tcW w:w="1151" w:type="pct"/>
            <w:vMerge/>
            <w:hideMark/>
          </w:tcPr>
          <w:p w14:paraId="56AC6FE5" w14:textId="77777777" w:rsidR="0007612C" w:rsidRPr="0007612C" w:rsidRDefault="0007612C" w:rsidP="0007612C">
            <w:pPr>
              <w:rPr>
                <w:lang w:val="en-GB"/>
              </w:rPr>
            </w:pPr>
          </w:p>
        </w:tc>
        <w:tc>
          <w:tcPr>
            <w:tcW w:w="494" w:type="pct"/>
            <w:hideMark/>
          </w:tcPr>
          <w:p w14:paraId="304D994E" w14:textId="77777777" w:rsidR="0007612C" w:rsidRPr="0007612C" w:rsidRDefault="0007612C" w:rsidP="0007612C">
            <w:pPr>
              <w:rPr>
                <w:lang w:val="en-GB"/>
              </w:rPr>
            </w:pPr>
            <w:r w:rsidRPr="0007612C">
              <w:rPr>
                <w:lang w:val="en-GB"/>
              </w:rPr>
              <w:t>Pacific</w:t>
            </w:r>
          </w:p>
        </w:tc>
        <w:tc>
          <w:tcPr>
            <w:tcW w:w="296" w:type="pct"/>
          </w:tcPr>
          <w:p w14:paraId="2BFF1B81" w14:textId="77777777" w:rsidR="0007612C" w:rsidRPr="0007612C" w:rsidRDefault="0007612C" w:rsidP="0007612C">
            <w:pPr>
              <w:rPr>
                <w:lang w:val="en-GB"/>
              </w:rPr>
            </w:pPr>
            <w:r w:rsidRPr="0007612C">
              <w:rPr>
                <w:lang w:val="en-GB"/>
              </w:rPr>
              <w:t>82%</w:t>
            </w:r>
          </w:p>
        </w:tc>
        <w:tc>
          <w:tcPr>
            <w:tcW w:w="329" w:type="pct"/>
          </w:tcPr>
          <w:p w14:paraId="74CEF95B" w14:textId="2EDD48B5" w:rsidR="0007612C" w:rsidRPr="0007612C" w:rsidRDefault="0007612C" w:rsidP="0007612C">
            <w:pPr>
              <w:rPr>
                <w:lang w:val="en-GB"/>
              </w:rPr>
            </w:pPr>
            <w:r w:rsidRPr="0007612C">
              <w:rPr>
                <w:lang w:val="en-GB"/>
              </w:rPr>
              <w:t>81%</w:t>
            </w:r>
            <w:r>
              <w:rPr>
                <w:lang w:val="en-GB"/>
              </w:rPr>
              <w:t xml:space="preserve"> </w:t>
            </w:r>
            <w:r w:rsidRPr="0007612C">
              <w:rPr>
                <w:rFonts w:ascii="Wingdings" w:eastAsia="Wingdings" w:hAnsi="Wingdings" w:cs="Calibri"/>
                <w:color w:val="FF0000"/>
                <w:szCs w:val="24"/>
                <w:lang w:val="en-GB" w:eastAsia="en-NZ"/>
              </w:rPr>
              <w:t>Þ</w:t>
            </w:r>
          </w:p>
        </w:tc>
        <w:tc>
          <w:tcPr>
            <w:tcW w:w="296" w:type="pct"/>
          </w:tcPr>
          <w:p w14:paraId="4340FB90" w14:textId="4C5E17F8" w:rsidR="0007612C" w:rsidRPr="0007612C" w:rsidRDefault="0007612C" w:rsidP="0007612C">
            <w:pPr>
              <w:rPr>
                <w:lang w:val="en-GB"/>
              </w:rPr>
            </w:pPr>
            <w:r w:rsidRPr="0007612C">
              <w:rPr>
                <w:lang w:val="en-GB"/>
              </w:rPr>
              <w:t>80%</w:t>
            </w:r>
            <w:r>
              <w:rPr>
                <w:lang w:val="en-GB"/>
              </w:rPr>
              <w:t xml:space="preserve"> </w:t>
            </w:r>
            <w:r w:rsidRPr="0007612C">
              <w:rPr>
                <w:rFonts w:ascii="Wingdings" w:eastAsia="Wingdings" w:hAnsi="Wingdings" w:cs="Calibri"/>
                <w:color w:val="FF0000"/>
                <w:szCs w:val="24"/>
                <w:lang w:val="en-GB" w:eastAsia="en-NZ"/>
              </w:rPr>
              <w:t>Þ</w:t>
            </w:r>
          </w:p>
        </w:tc>
        <w:tc>
          <w:tcPr>
            <w:tcW w:w="297" w:type="pct"/>
          </w:tcPr>
          <w:p w14:paraId="2EFFA58B" w14:textId="4CE9CB13" w:rsidR="0007612C" w:rsidRPr="0007612C" w:rsidRDefault="0007612C" w:rsidP="0007612C">
            <w:pPr>
              <w:rPr>
                <w:lang w:val="en-GB"/>
              </w:rPr>
            </w:pPr>
            <w:r w:rsidRPr="0007612C">
              <w:rPr>
                <w:lang w:val="en-GB"/>
              </w:rPr>
              <w:t>74%</w:t>
            </w:r>
            <w:r>
              <w:rPr>
                <w:lang w:val="en-GB"/>
              </w:rPr>
              <w:t xml:space="preserve"> </w:t>
            </w:r>
            <w:r w:rsidRPr="0007612C">
              <w:rPr>
                <w:rFonts w:ascii="Wingdings" w:eastAsia="Wingdings" w:hAnsi="Wingdings" w:cs="Calibri"/>
                <w:color w:val="FF0000"/>
                <w:szCs w:val="24"/>
                <w:lang w:val="en-GB" w:eastAsia="en-NZ"/>
              </w:rPr>
              <w:t>Þ</w:t>
            </w:r>
          </w:p>
        </w:tc>
        <w:tc>
          <w:tcPr>
            <w:tcW w:w="362" w:type="pct"/>
          </w:tcPr>
          <w:p w14:paraId="207EA45C" w14:textId="6D2193FA" w:rsidR="0007612C" w:rsidRPr="0007612C" w:rsidRDefault="0007612C" w:rsidP="0007612C">
            <w:pPr>
              <w:rPr>
                <w:lang w:val="en-GB"/>
              </w:rPr>
            </w:pPr>
            <w:r w:rsidRPr="0007612C">
              <w:rPr>
                <w:lang w:val="en-GB"/>
              </w:rPr>
              <w:t>84%</w:t>
            </w:r>
            <w:r>
              <w:t xml:space="preserve"> </w:t>
            </w:r>
            <w:r w:rsidRPr="0007612C">
              <w:rPr>
                <w:rFonts w:ascii="Wingdings" w:eastAsia="Wingdings" w:hAnsi="Wingdings" w:cs="Wingdings"/>
                <w:color w:val="00B050"/>
                <w:szCs w:val="24"/>
              </w:rPr>
              <w:t>Ý</w:t>
            </w:r>
          </w:p>
        </w:tc>
        <w:tc>
          <w:tcPr>
            <w:tcW w:w="1775" w:type="pct"/>
            <w:vMerge/>
            <w:shd w:val="clear" w:color="auto" w:fill="auto"/>
          </w:tcPr>
          <w:p w14:paraId="35740F40" w14:textId="77777777" w:rsidR="0007612C" w:rsidRPr="0007612C" w:rsidRDefault="0007612C" w:rsidP="0007612C">
            <w:pPr>
              <w:rPr>
                <w:lang w:val="en-GB"/>
              </w:rPr>
            </w:pPr>
          </w:p>
        </w:tc>
      </w:tr>
      <w:tr w:rsidR="00D50B7E" w:rsidRPr="0007612C" w14:paraId="51D527F1" w14:textId="77777777" w:rsidTr="00D33BCA">
        <w:trPr>
          <w:trHeight w:val="421"/>
        </w:trPr>
        <w:tc>
          <w:tcPr>
            <w:tcW w:w="1151" w:type="pct"/>
            <w:vMerge/>
          </w:tcPr>
          <w:p w14:paraId="1DFC85DE" w14:textId="77777777" w:rsidR="0007612C" w:rsidRPr="0007612C" w:rsidRDefault="0007612C" w:rsidP="0007612C">
            <w:pPr>
              <w:rPr>
                <w:lang w:val="en-GB"/>
              </w:rPr>
            </w:pPr>
          </w:p>
        </w:tc>
        <w:tc>
          <w:tcPr>
            <w:tcW w:w="494" w:type="pct"/>
          </w:tcPr>
          <w:p w14:paraId="7BA85BA1" w14:textId="37D57E73" w:rsidR="0007612C" w:rsidRPr="0007612C" w:rsidRDefault="0007612C" w:rsidP="0007612C">
            <w:pPr>
              <w:rPr>
                <w:lang w:val="en-GB"/>
              </w:rPr>
            </w:pPr>
            <w:r w:rsidRPr="0007612C">
              <w:rPr>
                <w:lang w:val="en-GB"/>
              </w:rPr>
              <w:t xml:space="preserve">European and </w:t>
            </w:r>
            <w:r w:rsidR="00D628E7">
              <w:rPr>
                <w:lang w:val="en-GB"/>
              </w:rPr>
              <w:t>a</w:t>
            </w:r>
            <w:r w:rsidRPr="0007612C">
              <w:rPr>
                <w:lang w:val="en-GB"/>
              </w:rPr>
              <w:t>ll other ethnicities</w:t>
            </w:r>
          </w:p>
        </w:tc>
        <w:tc>
          <w:tcPr>
            <w:tcW w:w="296" w:type="pct"/>
          </w:tcPr>
          <w:p w14:paraId="04D0225B" w14:textId="77777777" w:rsidR="0007612C" w:rsidRPr="0007612C" w:rsidRDefault="0007612C" w:rsidP="0007612C">
            <w:pPr>
              <w:rPr>
                <w:lang w:val="en-GB"/>
              </w:rPr>
            </w:pPr>
            <w:r w:rsidRPr="0007612C">
              <w:rPr>
                <w:lang w:val="en-GB"/>
              </w:rPr>
              <w:t>67%</w:t>
            </w:r>
          </w:p>
        </w:tc>
        <w:tc>
          <w:tcPr>
            <w:tcW w:w="329" w:type="pct"/>
          </w:tcPr>
          <w:p w14:paraId="3FC2C211" w14:textId="458D7741" w:rsidR="0007612C" w:rsidRPr="0007612C" w:rsidRDefault="0007612C" w:rsidP="0007612C">
            <w:pPr>
              <w:rPr>
                <w:lang w:val="en-GB"/>
              </w:rPr>
            </w:pPr>
            <w:r w:rsidRPr="0007612C">
              <w:rPr>
                <w:lang w:val="en-GB"/>
              </w:rPr>
              <w:t>61%</w:t>
            </w:r>
            <w:r>
              <w:rPr>
                <w:lang w:val="en-GB"/>
              </w:rPr>
              <w:t xml:space="preserve"> </w:t>
            </w:r>
            <w:r w:rsidRPr="0007612C">
              <w:rPr>
                <w:rFonts w:ascii="Wingdings" w:eastAsia="Wingdings" w:hAnsi="Wingdings" w:cs="Calibri"/>
                <w:color w:val="FF0000"/>
                <w:szCs w:val="24"/>
                <w:lang w:val="en-GB" w:eastAsia="en-NZ"/>
              </w:rPr>
              <w:t>Þ</w:t>
            </w:r>
          </w:p>
        </w:tc>
        <w:tc>
          <w:tcPr>
            <w:tcW w:w="296" w:type="pct"/>
          </w:tcPr>
          <w:p w14:paraId="2D9BEB2E" w14:textId="020F2265" w:rsidR="0007612C" w:rsidRPr="0007612C" w:rsidRDefault="0007612C" w:rsidP="0007612C">
            <w:pPr>
              <w:rPr>
                <w:lang w:val="en-GB"/>
              </w:rPr>
            </w:pPr>
            <w:r w:rsidRPr="0007612C">
              <w:rPr>
                <w:lang w:val="en-GB"/>
              </w:rPr>
              <w:t>65%</w:t>
            </w:r>
            <w:r>
              <w:t xml:space="preserve"> </w:t>
            </w:r>
            <w:r w:rsidRPr="0007612C">
              <w:rPr>
                <w:rFonts w:ascii="Wingdings" w:eastAsia="Wingdings" w:hAnsi="Wingdings" w:cs="Wingdings"/>
                <w:color w:val="00B050"/>
                <w:szCs w:val="24"/>
              </w:rPr>
              <w:t>Ý</w:t>
            </w:r>
          </w:p>
        </w:tc>
        <w:tc>
          <w:tcPr>
            <w:tcW w:w="297" w:type="pct"/>
          </w:tcPr>
          <w:p w14:paraId="519A17DB" w14:textId="60CDEE3A" w:rsidR="0007612C" w:rsidRPr="0007612C" w:rsidRDefault="0007612C" w:rsidP="0007612C">
            <w:pPr>
              <w:rPr>
                <w:lang w:val="en-GB"/>
              </w:rPr>
            </w:pPr>
            <w:r w:rsidRPr="0007612C">
              <w:rPr>
                <w:lang w:val="en-GB"/>
              </w:rPr>
              <w:t>61%</w:t>
            </w:r>
            <w:r>
              <w:rPr>
                <w:lang w:val="en-GB"/>
              </w:rPr>
              <w:t xml:space="preserve"> </w:t>
            </w:r>
            <w:r w:rsidRPr="0007612C">
              <w:rPr>
                <w:rFonts w:ascii="Wingdings" w:eastAsia="Wingdings" w:hAnsi="Wingdings" w:cs="Calibri"/>
                <w:color w:val="FF0000"/>
                <w:szCs w:val="24"/>
                <w:lang w:val="en-GB" w:eastAsia="en-NZ"/>
              </w:rPr>
              <w:t>Þ</w:t>
            </w:r>
          </w:p>
        </w:tc>
        <w:tc>
          <w:tcPr>
            <w:tcW w:w="362" w:type="pct"/>
          </w:tcPr>
          <w:p w14:paraId="1F9205BA" w14:textId="58316C5E" w:rsidR="0007612C" w:rsidRPr="0007612C" w:rsidRDefault="0007612C" w:rsidP="0007612C">
            <w:pPr>
              <w:rPr>
                <w:lang w:val="en-GB"/>
              </w:rPr>
            </w:pPr>
            <w:r w:rsidRPr="0007612C">
              <w:rPr>
                <w:lang w:val="en-GB"/>
              </w:rPr>
              <w:t>68%</w:t>
            </w:r>
            <w:r>
              <w:t xml:space="preserve"> </w:t>
            </w:r>
            <w:r w:rsidRPr="0007612C">
              <w:rPr>
                <w:rFonts w:ascii="Wingdings" w:eastAsia="Wingdings" w:hAnsi="Wingdings" w:cs="Wingdings"/>
                <w:color w:val="00B050"/>
                <w:szCs w:val="24"/>
              </w:rPr>
              <w:t>Ý</w:t>
            </w:r>
          </w:p>
        </w:tc>
        <w:tc>
          <w:tcPr>
            <w:tcW w:w="1775" w:type="pct"/>
            <w:vMerge/>
            <w:shd w:val="clear" w:color="auto" w:fill="auto"/>
          </w:tcPr>
          <w:p w14:paraId="3FF269E4" w14:textId="77777777" w:rsidR="0007612C" w:rsidRPr="0007612C" w:rsidRDefault="0007612C" w:rsidP="0007612C">
            <w:pPr>
              <w:rPr>
                <w:lang w:val="en-GB"/>
              </w:rPr>
            </w:pPr>
          </w:p>
        </w:tc>
      </w:tr>
      <w:tr w:rsidR="00D50B7E" w:rsidRPr="0007612C" w14:paraId="575A9974" w14:textId="77777777" w:rsidTr="00D33BCA">
        <w:trPr>
          <w:trHeight w:val="472"/>
        </w:trPr>
        <w:tc>
          <w:tcPr>
            <w:tcW w:w="1151" w:type="pct"/>
            <w:vMerge/>
          </w:tcPr>
          <w:p w14:paraId="796A39C4" w14:textId="77777777" w:rsidR="0007612C" w:rsidRPr="0007612C" w:rsidRDefault="0007612C" w:rsidP="0007612C">
            <w:pPr>
              <w:rPr>
                <w:lang w:val="en-GB"/>
              </w:rPr>
            </w:pPr>
          </w:p>
        </w:tc>
        <w:tc>
          <w:tcPr>
            <w:tcW w:w="494" w:type="pct"/>
          </w:tcPr>
          <w:p w14:paraId="7B36FFA6" w14:textId="77777777" w:rsidR="0007612C" w:rsidRPr="0007612C" w:rsidRDefault="0007612C" w:rsidP="0007612C">
            <w:pPr>
              <w:rPr>
                <w:lang w:val="en-GB"/>
              </w:rPr>
            </w:pPr>
            <w:r w:rsidRPr="0007612C">
              <w:rPr>
                <w:lang w:val="en-GB"/>
              </w:rPr>
              <w:t>Asian</w:t>
            </w:r>
          </w:p>
        </w:tc>
        <w:tc>
          <w:tcPr>
            <w:tcW w:w="296" w:type="pct"/>
          </w:tcPr>
          <w:p w14:paraId="07FA6F6E" w14:textId="77777777" w:rsidR="0007612C" w:rsidRPr="0007612C" w:rsidRDefault="0007612C" w:rsidP="0007612C">
            <w:pPr>
              <w:rPr>
                <w:lang w:val="en-GB"/>
              </w:rPr>
            </w:pPr>
            <w:r w:rsidRPr="0007612C">
              <w:rPr>
                <w:lang w:val="en-GB"/>
              </w:rPr>
              <w:t>70%</w:t>
            </w:r>
          </w:p>
        </w:tc>
        <w:tc>
          <w:tcPr>
            <w:tcW w:w="329" w:type="pct"/>
          </w:tcPr>
          <w:p w14:paraId="2D9186A2" w14:textId="7B7F0081" w:rsidR="0007612C" w:rsidRPr="0007612C" w:rsidRDefault="0007612C" w:rsidP="0007612C">
            <w:pPr>
              <w:rPr>
                <w:lang w:val="en-GB"/>
              </w:rPr>
            </w:pPr>
            <w:r w:rsidRPr="0007612C">
              <w:rPr>
                <w:lang w:val="en-GB"/>
              </w:rPr>
              <w:t>69%</w:t>
            </w:r>
            <w:r>
              <w:rPr>
                <w:lang w:val="en-GB"/>
              </w:rPr>
              <w:t xml:space="preserve"> </w:t>
            </w:r>
            <w:r w:rsidRPr="0007612C">
              <w:rPr>
                <w:rFonts w:ascii="Wingdings" w:eastAsia="Wingdings" w:hAnsi="Wingdings" w:cs="Calibri"/>
                <w:color w:val="FF0000"/>
                <w:szCs w:val="24"/>
                <w:lang w:val="en-GB" w:eastAsia="en-NZ"/>
              </w:rPr>
              <w:t>Þ</w:t>
            </w:r>
          </w:p>
        </w:tc>
        <w:tc>
          <w:tcPr>
            <w:tcW w:w="296" w:type="pct"/>
          </w:tcPr>
          <w:p w14:paraId="42E6CD1E" w14:textId="508D0EA3" w:rsidR="0007612C" w:rsidRPr="0007612C" w:rsidRDefault="0007612C" w:rsidP="0007612C">
            <w:pPr>
              <w:rPr>
                <w:lang w:val="en-GB"/>
              </w:rPr>
            </w:pPr>
            <w:r w:rsidRPr="0007612C">
              <w:rPr>
                <w:lang w:val="en-GB"/>
              </w:rPr>
              <w:t>72%</w:t>
            </w:r>
            <w:r>
              <w:t xml:space="preserve"> </w:t>
            </w:r>
            <w:r w:rsidRPr="0007612C">
              <w:rPr>
                <w:rFonts w:ascii="Wingdings" w:eastAsia="Wingdings" w:hAnsi="Wingdings" w:cs="Wingdings"/>
                <w:color w:val="00B050"/>
                <w:szCs w:val="24"/>
              </w:rPr>
              <w:t>Ý</w:t>
            </w:r>
          </w:p>
        </w:tc>
        <w:tc>
          <w:tcPr>
            <w:tcW w:w="297" w:type="pct"/>
          </w:tcPr>
          <w:p w14:paraId="2B57D0B1" w14:textId="2DF4A0F0" w:rsidR="0007612C" w:rsidRPr="0007612C" w:rsidRDefault="0007612C" w:rsidP="0007612C">
            <w:pPr>
              <w:rPr>
                <w:lang w:val="en-GB"/>
              </w:rPr>
            </w:pPr>
            <w:r w:rsidRPr="0007612C">
              <w:rPr>
                <w:lang w:val="en-GB"/>
              </w:rPr>
              <w:t>69%</w:t>
            </w:r>
            <w:r>
              <w:rPr>
                <w:lang w:val="en-GB"/>
              </w:rPr>
              <w:t xml:space="preserve"> </w:t>
            </w:r>
            <w:r w:rsidRPr="0007612C">
              <w:rPr>
                <w:rFonts w:ascii="Wingdings" w:eastAsia="Wingdings" w:hAnsi="Wingdings" w:cs="Calibri"/>
                <w:color w:val="FF0000"/>
                <w:szCs w:val="24"/>
                <w:lang w:val="en-GB" w:eastAsia="en-NZ"/>
              </w:rPr>
              <w:t>Þ</w:t>
            </w:r>
          </w:p>
        </w:tc>
        <w:tc>
          <w:tcPr>
            <w:tcW w:w="362" w:type="pct"/>
          </w:tcPr>
          <w:p w14:paraId="62EDD324" w14:textId="63F70F33" w:rsidR="0007612C" w:rsidRPr="0007612C" w:rsidRDefault="0007612C" w:rsidP="0007612C">
            <w:pPr>
              <w:rPr>
                <w:lang w:val="en-GB"/>
              </w:rPr>
            </w:pPr>
            <w:r w:rsidRPr="0007612C">
              <w:rPr>
                <w:lang w:val="en-GB"/>
              </w:rPr>
              <w:t>71%</w:t>
            </w:r>
            <w:r>
              <w:t xml:space="preserve"> </w:t>
            </w:r>
            <w:r w:rsidRPr="0007612C">
              <w:rPr>
                <w:rFonts w:ascii="Wingdings" w:eastAsia="Wingdings" w:hAnsi="Wingdings" w:cs="Wingdings"/>
                <w:color w:val="00B050"/>
                <w:szCs w:val="24"/>
              </w:rPr>
              <w:t>Ý</w:t>
            </w:r>
          </w:p>
        </w:tc>
        <w:tc>
          <w:tcPr>
            <w:tcW w:w="1775" w:type="pct"/>
            <w:vMerge/>
            <w:shd w:val="clear" w:color="auto" w:fill="auto"/>
          </w:tcPr>
          <w:p w14:paraId="58C9F8CC" w14:textId="77777777" w:rsidR="0007612C" w:rsidRPr="0007612C" w:rsidRDefault="0007612C" w:rsidP="0007612C">
            <w:pPr>
              <w:rPr>
                <w:lang w:val="en-GB"/>
              </w:rPr>
            </w:pPr>
          </w:p>
        </w:tc>
      </w:tr>
      <w:tr w:rsidR="00D50B7E" w:rsidRPr="0007612C" w14:paraId="03C726B8" w14:textId="77777777" w:rsidTr="00D33BCA">
        <w:trPr>
          <w:trHeight w:val="409"/>
        </w:trPr>
        <w:tc>
          <w:tcPr>
            <w:tcW w:w="1151" w:type="pct"/>
            <w:vMerge/>
            <w:hideMark/>
          </w:tcPr>
          <w:p w14:paraId="49BDCDD5" w14:textId="77777777" w:rsidR="0007612C" w:rsidRPr="0007612C" w:rsidRDefault="0007612C" w:rsidP="0007612C">
            <w:pPr>
              <w:rPr>
                <w:lang w:val="en-GB"/>
              </w:rPr>
            </w:pPr>
          </w:p>
        </w:tc>
        <w:tc>
          <w:tcPr>
            <w:tcW w:w="494" w:type="pct"/>
            <w:hideMark/>
          </w:tcPr>
          <w:p w14:paraId="118E444A" w14:textId="77777777" w:rsidR="0007612C" w:rsidRPr="0007612C" w:rsidRDefault="0007612C" w:rsidP="0007612C">
            <w:pPr>
              <w:rPr>
                <w:lang w:val="en-GB"/>
              </w:rPr>
            </w:pPr>
            <w:r w:rsidRPr="0007612C">
              <w:rPr>
                <w:lang w:val="en-GB"/>
              </w:rPr>
              <w:t>Total</w:t>
            </w:r>
          </w:p>
        </w:tc>
        <w:tc>
          <w:tcPr>
            <w:tcW w:w="296" w:type="pct"/>
          </w:tcPr>
          <w:p w14:paraId="19DE918B" w14:textId="77777777" w:rsidR="0007612C" w:rsidRPr="0007612C" w:rsidRDefault="0007612C" w:rsidP="0007612C">
            <w:pPr>
              <w:rPr>
                <w:lang w:val="en-GB"/>
              </w:rPr>
            </w:pPr>
            <w:r w:rsidRPr="0007612C">
              <w:rPr>
                <w:lang w:val="en-GB"/>
              </w:rPr>
              <w:t>72%</w:t>
            </w:r>
          </w:p>
        </w:tc>
        <w:tc>
          <w:tcPr>
            <w:tcW w:w="329" w:type="pct"/>
          </w:tcPr>
          <w:p w14:paraId="0A823FFD" w14:textId="18443C3D" w:rsidR="0007612C" w:rsidRPr="0007612C" w:rsidRDefault="0007612C" w:rsidP="0007612C">
            <w:pPr>
              <w:rPr>
                <w:lang w:val="en-GB"/>
              </w:rPr>
            </w:pPr>
            <w:r w:rsidRPr="0007612C">
              <w:rPr>
                <w:lang w:val="en-GB"/>
              </w:rPr>
              <w:t>68%</w:t>
            </w:r>
            <w:r>
              <w:rPr>
                <w:lang w:val="en-GB"/>
              </w:rPr>
              <w:t xml:space="preserve"> </w:t>
            </w:r>
            <w:r w:rsidRPr="0007612C">
              <w:rPr>
                <w:rFonts w:ascii="Wingdings" w:eastAsia="Wingdings" w:hAnsi="Wingdings" w:cs="Calibri"/>
                <w:color w:val="FF0000"/>
                <w:szCs w:val="24"/>
                <w:lang w:val="en-GB" w:eastAsia="en-NZ"/>
              </w:rPr>
              <w:t>Þ</w:t>
            </w:r>
          </w:p>
        </w:tc>
        <w:tc>
          <w:tcPr>
            <w:tcW w:w="296" w:type="pct"/>
          </w:tcPr>
          <w:p w14:paraId="41DD931E" w14:textId="1E72B610" w:rsidR="0007612C" w:rsidRPr="0007612C" w:rsidRDefault="0007612C" w:rsidP="0007612C">
            <w:pPr>
              <w:rPr>
                <w:lang w:val="en-GB"/>
              </w:rPr>
            </w:pPr>
            <w:r w:rsidRPr="0007612C">
              <w:rPr>
                <w:lang w:val="en-GB"/>
              </w:rPr>
              <w:t>70%</w:t>
            </w:r>
            <w:r>
              <w:t xml:space="preserve"> </w:t>
            </w:r>
            <w:r w:rsidRPr="0007612C">
              <w:rPr>
                <w:rFonts w:ascii="Wingdings" w:eastAsia="Wingdings" w:hAnsi="Wingdings" w:cs="Wingdings"/>
                <w:color w:val="00B050"/>
                <w:szCs w:val="24"/>
              </w:rPr>
              <w:t>Ý</w:t>
            </w:r>
          </w:p>
        </w:tc>
        <w:tc>
          <w:tcPr>
            <w:tcW w:w="297" w:type="pct"/>
          </w:tcPr>
          <w:p w14:paraId="6C61C74E" w14:textId="3527F519" w:rsidR="0007612C" w:rsidRPr="0007612C" w:rsidRDefault="0007612C" w:rsidP="0007612C">
            <w:pPr>
              <w:rPr>
                <w:lang w:val="en-GB"/>
              </w:rPr>
            </w:pPr>
            <w:r w:rsidRPr="0007612C">
              <w:rPr>
                <w:lang w:val="en-GB"/>
              </w:rPr>
              <w:t>66%</w:t>
            </w:r>
            <w:r>
              <w:rPr>
                <w:lang w:val="en-GB"/>
              </w:rPr>
              <w:t xml:space="preserve"> </w:t>
            </w:r>
            <w:r w:rsidRPr="0007612C">
              <w:rPr>
                <w:rFonts w:ascii="Wingdings" w:eastAsia="Wingdings" w:hAnsi="Wingdings" w:cs="Calibri"/>
                <w:color w:val="FF0000"/>
                <w:szCs w:val="24"/>
                <w:lang w:val="en-GB" w:eastAsia="en-NZ"/>
              </w:rPr>
              <w:t>Þ</w:t>
            </w:r>
          </w:p>
        </w:tc>
        <w:tc>
          <w:tcPr>
            <w:tcW w:w="362" w:type="pct"/>
          </w:tcPr>
          <w:p w14:paraId="7E27DA44" w14:textId="28824665" w:rsidR="0007612C" w:rsidRPr="0007612C" w:rsidRDefault="0007612C" w:rsidP="0007612C">
            <w:pPr>
              <w:rPr>
                <w:lang w:val="en-GB"/>
              </w:rPr>
            </w:pPr>
            <w:r w:rsidRPr="0007612C">
              <w:rPr>
                <w:lang w:val="en-GB"/>
              </w:rPr>
              <w:t>72%</w:t>
            </w:r>
            <w:r>
              <w:t xml:space="preserve"> </w:t>
            </w:r>
            <w:r w:rsidRPr="0007612C">
              <w:rPr>
                <w:rFonts w:ascii="Wingdings" w:eastAsia="Wingdings" w:hAnsi="Wingdings" w:cs="Wingdings"/>
                <w:color w:val="00B050"/>
                <w:szCs w:val="24"/>
              </w:rPr>
              <w:t>Ý</w:t>
            </w:r>
          </w:p>
        </w:tc>
        <w:tc>
          <w:tcPr>
            <w:tcW w:w="1775" w:type="pct"/>
            <w:vMerge/>
            <w:shd w:val="clear" w:color="auto" w:fill="auto"/>
          </w:tcPr>
          <w:p w14:paraId="59ED684D" w14:textId="77777777" w:rsidR="0007612C" w:rsidRPr="0007612C" w:rsidRDefault="0007612C" w:rsidP="0007612C">
            <w:pPr>
              <w:rPr>
                <w:lang w:val="en-GB"/>
              </w:rPr>
            </w:pPr>
          </w:p>
        </w:tc>
      </w:tr>
      <w:tr w:rsidR="0007612C" w:rsidRPr="0007612C" w14:paraId="7F7648DF" w14:textId="77777777" w:rsidTr="00D33BCA">
        <w:trPr>
          <w:trHeight w:val="300"/>
        </w:trPr>
        <w:tc>
          <w:tcPr>
            <w:tcW w:w="1151" w:type="pct"/>
          </w:tcPr>
          <w:p w14:paraId="0A252508" w14:textId="77777777" w:rsidR="0007612C" w:rsidRPr="0007612C" w:rsidRDefault="0007612C" w:rsidP="0007612C">
            <w:pPr>
              <w:rPr>
                <w:bCs/>
                <w:lang w:val="en-GB"/>
              </w:rPr>
            </w:pPr>
            <w:r w:rsidRPr="0007612C">
              <w:rPr>
                <w:bCs/>
                <w:lang w:val="en-GB"/>
              </w:rPr>
              <w:t>Comments</w:t>
            </w:r>
          </w:p>
        </w:tc>
        <w:tc>
          <w:tcPr>
            <w:tcW w:w="3849" w:type="pct"/>
            <w:gridSpan w:val="7"/>
          </w:tcPr>
          <w:p w14:paraId="4E0A629F" w14:textId="09A169AA" w:rsidR="0007612C" w:rsidRPr="0007612C" w:rsidRDefault="0007612C" w:rsidP="0007612C">
            <w:r w:rsidRPr="0007612C">
              <w:t>The percentage of child and you</w:t>
            </w:r>
            <w:r w:rsidR="009B2B4A">
              <w:t>ng people</w:t>
            </w:r>
            <w:r w:rsidRPr="0007612C">
              <w:t xml:space="preserve"> (under 25) accessing mental health services remained the same in the July to September 2023 quarter compared to the same quarter in the previous year. The availability of mental health services for every ethnic group increased this quarter when compared to last quarter (Q4 2022-23). </w:t>
            </w:r>
          </w:p>
        </w:tc>
      </w:tr>
    </w:tbl>
    <w:p w14:paraId="2C4D9EA6" w14:textId="77777777" w:rsidR="00E92FE9" w:rsidRDefault="00E92FE9" w:rsidP="0007612C">
      <w:pPr>
        <w:pStyle w:val="Heading4"/>
      </w:pPr>
    </w:p>
    <w:p w14:paraId="28D998AB" w14:textId="48B39450" w:rsidR="0007612C" w:rsidRDefault="0007612C" w:rsidP="0007612C">
      <w:pPr>
        <w:pStyle w:val="Heading4"/>
      </w:pPr>
      <w:r w:rsidRPr="0007612C">
        <w:t>Te Pae Tata Priority 4 - Keep people well in their communities</w:t>
      </w:r>
    </w:p>
    <w:tbl>
      <w:tblPr>
        <w:tblStyle w:val="TeWhatuOra"/>
        <w:tblW w:w="4979" w:type="pct"/>
        <w:tblLayout w:type="fixed"/>
        <w:tblLook w:val="0420" w:firstRow="1" w:lastRow="0" w:firstColumn="0" w:lastColumn="0" w:noHBand="0" w:noVBand="1"/>
      </w:tblPr>
      <w:tblGrid>
        <w:gridCol w:w="4983"/>
        <w:gridCol w:w="2101"/>
        <w:gridCol w:w="1274"/>
        <w:gridCol w:w="1415"/>
        <w:gridCol w:w="1278"/>
        <w:gridCol w:w="1179"/>
        <w:gridCol w:w="99"/>
        <w:gridCol w:w="1317"/>
        <w:gridCol w:w="7797"/>
      </w:tblGrid>
      <w:tr w:rsidR="00D33BCA" w:rsidRPr="0007612C" w14:paraId="6BD673C9" w14:textId="77777777" w:rsidTr="005410BD">
        <w:trPr>
          <w:cnfStyle w:val="100000000000" w:firstRow="1" w:lastRow="0" w:firstColumn="0" w:lastColumn="0" w:oddVBand="0" w:evenVBand="0" w:oddHBand="0" w:evenHBand="0" w:firstRowFirstColumn="0" w:firstRowLastColumn="0" w:lastRowFirstColumn="0" w:lastRowLastColumn="0"/>
        </w:trPr>
        <w:tc>
          <w:tcPr>
            <w:tcW w:w="1162" w:type="pct"/>
            <w:hideMark/>
          </w:tcPr>
          <w:p w14:paraId="743353D5" w14:textId="77777777" w:rsidR="0007612C" w:rsidRPr="0007612C" w:rsidRDefault="0007612C" w:rsidP="0007612C">
            <w:pPr>
              <w:rPr>
                <w:lang w:val="en-GB"/>
              </w:rPr>
            </w:pPr>
            <w:r w:rsidRPr="0007612C">
              <w:rPr>
                <w:lang w:val="en-GB"/>
              </w:rPr>
              <w:t>Measure</w:t>
            </w:r>
          </w:p>
        </w:tc>
        <w:tc>
          <w:tcPr>
            <w:tcW w:w="490" w:type="pct"/>
            <w:hideMark/>
          </w:tcPr>
          <w:p w14:paraId="7023F6EE" w14:textId="77777777" w:rsidR="0007612C" w:rsidRPr="0007612C" w:rsidRDefault="0007612C" w:rsidP="0007612C">
            <w:pPr>
              <w:rPr>
                <w:lang w:val="en-GB"/>
              </w:rPr>
            </w:pPr>
            <w:r w:rsidRPr="0007612C">
              <w:rPr>
                <w:lang w:val="en-GB"/>
              </w:rPr>
              <w:t>Ethnic Group </w:t>
            </w:r>
          </w:p>
        </w:tc>
        <w:tc>
          <w:tcPr>
            <w:tcW w:w="297" w:type="pct"/>
          </w:tcPr>
          <w:p w14:paraId="2EC4FFAC" w14:textId="77777777" w:rsidR="0007612C" w:rsidRPr="0007612C" w:rsidRDefault="0007612C" w:rsidP="0007612C">
            <w:pPr>
              <w:rPr>
                <w:lang w:val="en-GB"/>
              </w:rPr>
            </w:pPr>
            <w:r w:rsidRPr="0007612C">
              <w:rPr>
                <w:lang w:val="en-GB"/>
              </w:rPr>
              <w:t xml:space="preserve">Q1 </w:t>
            </w:r>
          </w:p>
          <w:p w14:paraId="56914306" w14:textId="77777777" w:rsidR="0007612C" w:rsidRPr="0007612C" w:rsidRDefault="0007612C" w:rsidP="0007612C">
            <w:pPr>
              <w:rPr>
                <w:lang w:val="en-GB"/>
              </w:rPr>
            </w:pPr>
            <w:r w:rsidRPr="0007612C">
              <w:rPr>
                <w:lang w:val="en-GB"/>
              </w:rPr>
              <w:t>2022-23</w:t>
            </w:r>
          </w:p>
        </w:tc>
        <w:tc>
          <w:tcPr>
            <w:tcW w:w="330" w:type="pct"/>
          </w:tcPr>
          <w:p w14:paraId="1DC51958" w14:textId="77777777" w:rsidR="0007612C" w:rsidRPr="0007612C" w:rsidRDefault="0007612C" w:rsidP="0007612C">
            <w:pPr>
              <w:rPr>
                <w:lang w:val="en-GB"/>
              </w:rPr>
            </w:pPr>
            <w:r w:rsidRPr="0007612C">
              <w:rPr>
                <w:lang w:val="en-GB"/>
              </w:rPr>
              <w:t xml:space="preserve">Q2 </w:t>
            </w:r>
          </w:p>
          <w:p w14:paraId="2D6A087B" w14:textId="77777777" w:rsidR="0007612C" w:rsidRPr="0007612C" w:rsidRDefault="0007612C" w:rsidP="0007612C">
            <w:pPr>
              <w:rPr>
                <w:lang w:val="en-GB"/>
              </w:rPr>
            </w:pPr>
            <w:r w:rsidRPr="0007612C">
              <w:rPr>
                <w:lang w:val="en-GB"/>
              </w:rPr>
              <w:t>2022-23</w:t>
            </w:r>
          </w:p>
        </w:tc>
        <w:tc>
          <w:tcPr>
            <w:tcW w:w="298" w:type="pct"/>
          </w:tcPr>
          <w:p w14:paraId="57D42369" w14:textId="77777777" w:rsidR="0007612C" w:rsidRPr="0007612C" w:rsidRDefault="0007612C" w:rsidP="0007612C">
            <w:pPr>
              <w:rPr>
                <w:lang w:val="en-GB"/>
              </w:rPr>
            </w:pPr>
            <w:r w:rsidRPr="0007612C">
              <w:rPr>
                <w:lang w:val="en-GB"/>
              </w:rPr>
              <w:t xml:space="preserve">Q3 </w:t>
            </w:r>
          </w:p>
          <w:p w14:paraId="005F4CFD" w14:textId="77777777" w:rsidR="0007612C" w:rsidRPr="0007612C" w:rsidRDefault="0007612C" w:rsidP="0007612C">
            <w:pPr>
              <w:rPr>
                <w:lang w:val="en-GB"/>
              </w:rPr>
            </w:pPr>
            <w:r w:rsidRPr="0007612C">
              <w:rPr>
                <w:lang w:val="en-GB"/>
              </w:rPr>
              <w:t>2022-23</w:t>
            </w:r>
          </w:p>
        </w:tc>
        <w:tc>
          <w:tcPr>
            <w:tcW w:w="298" w:type="pct"/>
            <w:gridSpan w:val="2"/>
          </w:tcPr>
          <w:p w14:paraId="63193138" w14:textId="77777777" w:rsidR="0007612C" w:rsidRPr="0007612C" w:rsidRDefault="0007612C" w:rsidP="0007612C">
            <w:pPr>
              <w:rPr>
                <w:lang w:val="en-GB"/>
              </w:rPr>
            </w:pPr>
            <w:r w:rsidRPr="0007612C">
              <w:rPr>
                <w:lang w:val="en-GB"/>
              </w:rPr>
              <w:t xml:space="preserve">Q4 </w:t>
            </w:r>
          </w:p>
          <w:p w14:paraId="58820ABC" w14:textId="77777777" w:rsidR="0007612C" w:rsidRPr="0007612C" w:rsidRDefault="0007612C" w:rsidP="0007612C">
            <w:pPr>
              <w:rPr>
                <w:lang w:val="en-GB"/>
              </w:rPr>
            </w:pPr>
            <w:r w:rsidRPr="0007612C">
              <w:rPr>
                <w:lang w:val="en-GB"/>
              </w:rPr>
              <w:t>2022-23</w:t>
            </w:r>
          </w:p>
        </w:tc>
        <w:tc>
          <w:tcPr>
            <w:tcW w:w="307" w:type="pct"/>
          </w:tcPr>
          <w:p w14:paraId="0FE2AAE9" w14:textId="77777777" w:rsidR="0007612C" w:rsidRPr="0007612C" w:rsidRDefault="0007612C" w:rsidP="0007612C">
            <w:pPr>
              <w:rPr>
                <w:lang w:val="en-GB"/>
              </w:rPr>
            </w:pPr>
            <w:r w:rsidRPr="0007612C">
              <w:rPr>
                <w:lang w:val="en-GB"/>
              </w:rPr>
              <w:t>Q1</w:t>
            </w:r>
          </w:p>
          <w:p w14:paraId="05C3739B" w14:textId="77777777" w:rsidR="0007612C" w:rsidRPr="0007612C" w:rsidRDefault="0007612C" w:rsidP="0007612C">
            <w:pPr>
              <w:rPr>
                <w:lang w:val="en-GB"/>
              </w:rPr>
            </w:pPr>
            <w:r w:rsidRPr="0007612C">
              <w:rPr>
                <w:lang w:val="en-GB"/>
              </w:rPr>
              <w:t>2023-24</w:t>
            </w:r>
          </w:p>
        </w:tc>
        <w:tc>
          <w:tcPr>
            <w:tcW w:w="1818" w:type="pct"/>
            <w:vMerge w:val="restart"/>
            <w:shd w:val="clear" w:color="auto" w:fill="auto"/>
          </w:tcPr>
          <w:p w14:paraId="3636B54F" w14:textId="77777777" w:rsidR="0007612C" w:rsidRPr="0007612C" w:rsidRDefault="0007612C" w:rsidP="0007612C">
            <w:pPr>
              <w:rPr>
                <w:bCs/>
                <w:lang w:val="en-GB"/>
              </w:rPr>
            </w:pPr>
            <w:r w:rsidRPr="0007612C">
              <w:rPr>
                <w:bCs/>
                <w:noProof/>
                <w:lang w:val="en-GB"/>
              </w:rPr>
              <w:drawing>
                <wp:inline distT="0" distB="0" distL="0" distR="0" wp14:anchorId="1DF0E233" wp14:editId="09229B36">
                  <wp:extent cx="4754880" cy="2173688"/>
                  <wp:effectExtent l="0" t="0" r="7620" b="0"/>
                  <wp:docPr id="1825775842" name="Chart 1825775842" descr="Chart showing Percentage of children who have all their age-appropriate schedule vaccinations by the time they are 2 years old."/>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5410BD" w:rsidRPr="0007612C" w14:paraId="68B8E1D0" w14:textId="77777777" w:rsidTr="005410BD">
        <w:trPr>
          <w:trHeight w:val="505"/>
        </w:trPr>
        <w:tc>
          <w:tcPr>
            <w:tcW w:w="1162" w:type="pct"/>
            <w:vMerge w:val="restart"/>
            <w:hideMark/>
          </w:tcPr>
          <w:p w14:paraId="1D24C8ED" w14:textId="77777777" w:rsidR="0007612C" w:rsidRPr="0007612C" w:rsidRDefault="0007612C" w:rsidP="0007612C">
            <w:pPr>
              <w:rPr>
                <w:vertAlign w:val="superscript"/>
              </w:rPr>
            </w:pPr>
            <w:r w:rsidRPr="0007612C">
              <w:t>Percentage of children who have all their age-appropriate schedule vaccinations by the time they are 2 years old</w:t>
            </w:r>
            <w:r w:rsidRPr="0007612C">
              <w:rPr>
                <w:vertAlign w:val="superscript"/>
              </w:rPr>
              <w:t xml:space="preserve"> 9,11,</w:t>
            </w:r>
            <w:r w:rsidRPr="0007612C">
              <w:rPr>
                <w:vertAlign w:val="superscript"/>
              </w:rPr>
              <w:footnoteReference w:id="12"/>
            </w:r>
            <w:r w:rsidRPr="0007612C">
              <w:t>.</w:t>
            </w:r>
          </w:p>
          <w:p w14:paraId="273CFCF2" w14:textId="77777777" w:rsidR="0007612C" w:rsidRPr="0007612C" w:rsidRDefault="0007612C" w:rsidP="0007612C"/>
          <w:p w14:paraId="69C0A960" w14:textId="77777777" w:rsidR="0007612C" w:rsidRPr="0007612C" w:rsidRDefault="0007612C" w:rsidP="0007612C">
            <w:r w:rsidRPr="0007612C">
              <w:t>Target: 90% for all ethnicities, rising to 95% in 2024/25</w:t>
            </w:r>
          </w:p>
        </w:tc>
        <w:tc>
          <w:tcPr>
            <w:tcW w:w="490" w:type="pct"/>
            <w:hideMark/>
          </w:tcPr>
          <w:p w14:paraId="1F2EC36F" w14:textId="77777777" w:rsidR="0007612C" w:rsidRPr="0007612C" w:rsidRDefault="0007612C" w:rsidP="0007612C">
            <w:pPr>
              <w:rPr>
                <w:lang w:val="en-GB"/>
              </w:rPr>
            </w:pPr>
            <w:r w:rsidRPr="0007612C">
              <w:rPr>
                <w:lang w:val="en-GB"/>
              </w:rPr>
              <w:t>Māori</w:t>
            </w:r>
          </w:p>
        </w:tc>
        <w:tc>
          <w:tcPr>
            <w:tcW w:w="297" w:type="pct"/>
          </w:tcPr>
          <w:p w14:paraId="600C40F4" w14:textId="77777777" w:rsidR="0007612C" w:rsidRPr="0007612C" w:rsidRDefault="0007612C" w:rsidP="0007612C">
            <w:pPr>
              <w:rPr>
                <w:lang w:val="en-GB"/>
              </w:rPr>
            </w:pPr>
            <w:r w:rsidRPr="0007612C">
              <w:rPr>
                <w:lang w:val="en-GB"/>
              </w:rPr>
              <w:t>67%</w:t>
            </w:r>
          </w:p>
        </w:tc>
        <w:tc>
          <w:tcPr>
            <w:tcW w:w="330" w:type="pct"/>
          </w:tcPr>
          <w:p w14:paraId="5124C35B" w14:textId="39E8FB89" w:rsidR="0007612C" w:rsidRPr="0007612C" w:rsidRDefault="0007612C" w:rsidP="0007612C">
            <w:pPr>
              <w:rPr>
                <w:lang w:val="en-GB"/>
              </w:rPr>
            </w:pPr>
            <w:r w:rsidRPr="0007612C">
              <w:rPr>
                <w:lang w:val="en-GB"/>
              </w:rPr>
              <w:t>66%</w:t>
            </w:r>
            <w:r>
              <w:rPr>
                <w:lang w:val="en-GB"/>
              </w:rPr>
              <w:t xml:space="preserve"> </w:t>
            </w:r>
            <w:r w:rsidRPr="0007612C">
              <w:rPr>
                <w:rFonts w:ascii="Wingdings" w:eastAsia="Wingdings" w:hAnsi="Wingdings" w:cs="Calibri"/>
                <w:color w:val="FF0000"/>
                <w:szCs w:val="24"/>
                <w:lang w:val="en-GB" w:eastAsia="en-NZ"/>
              </w:rPr>
              <w:t>Þ</w:t>
            </w:r>
          </w:p>
        </w:tc>
        <w:tc>
          <w:tcPr>
            <w:tcW w:w="298" w:type="pct"/>
          </w:tcPr>
          <w:p w14:paraId="0A67576C" w14:textId="4004A6F6" w:rsidR="0007612C" w:rsidRPr="0007612C" w:rsidRDefault="0007612C" w:rsidP="0007612C">
            <w:pPr>
              <w:rPr>
                <w:lang w:val="en-GB"/>
              </w:rPr>
            </w:pPr>
            <w:r w:rsidRPr="0007612C">
              <w:rPr>
                <w:lang w:val="en-GB"/>
              </w:rPr>
              <w:t>69%</w:t>
            </w:r>
            <w:r>
              <w:t xml:space="preserve"> </w:t>
            </w:r>
            <w:r w:rsidRPr="0007612C">
              <w:rPr>
                <w:rFonts w:ascii="Wingdings" w:eastAsia="Wingdings" w:hAnsi="Wingdings" w:cs="Wingdings"/>
                <w:color w:val="00B050"/>
                <w:szCs w:val="24"/>
              </w:rPr>
              <w:t>Ý</w:t>
            </w:r>
          </w:p>
        </w:tc>
        <w:tc>
          <w:tcPr>
            <w:tcW w:w="275" w:type="pct"/>
          </w:tcPr>
          <w:p w14:paraId="39918A26" w14:textId="2FA9499C" w:rsidR="0007612C" w:rsidRPr="0007612C" w:rsidRDefault="0007612C" w:rsidP="0007612C">
            <w:pPr>
              <w:rPr>
                <w:lang w:val="en-GB"/>
              </w:rPr>
            </w:pPr>
            <w:r w:rsidRPr="0007612C">
              <w:rPr>
                <w:lang w:val="en-GB"/>
              </w:rPr>
              <w:t>70%</w:t>
            </w:r>
            <w:r>
              <w:t xml:space="preserve"> </w:t>
            </w:r>
            <w:r w:rsidRPr="0007612C">
              <w:rPr>
                <w:rFonts w:ascii="Wingdings" w:eastAsia="Wingdings" w:hAnsi="Wingdings" w:cs="Wingdings"/>
                <w:color w:val="00B050"/>
                <w:szCs w:val="24"/>
              </w:rPr>
              <w:t>Ý</w:t>
            </w:r>
          </w:p>
        </w:tc>
        <w:tc>
          <w:tcPr>
            <w:tcW w:w="330" w:type="pct"/>
            <w:gridSpan w:val="2"/>
          </w:tcPr>
          <w:p w14:paraId="1F6DAB53" w14:textId="20964BD5" w:rsidR="0007612C" w:rsidRPr="0007612C" w:rsidRDefault="0007612C" w:rsidP="0007612C">
            <w:pPr>
              <w:rPr>
                <w:lang w:val="en-GB"/>
              </w:rPr>
            </w:pPr>
            <w:r w:rsidRPr="0007612C">
              <w:t xml:space="preserve">70% </w:t>
            </w:r>
            <w:r w:rsidRPr="00CE0F64">
              <w:rPr>
                <w:rFonts w:ascii="Wingdings" w:eastAsia="Wingdings" w:hAnsi="Wingdings" w:cs="Calibri"/>
                <w:b/>
                <w:color w:val="FFC000"/>
                <w:szCs w:val="24"/>
                <w:lang w:val="en-GB" w:eastAsia="en-NZ"/>
              </w:rPr>
              <w:t>Ü</w:t>
            </w:r>
          </w:p>
        </w:tc>
        <w:tc>
          <w:tcPr>
            <w:tcW w:w="1818" w:type="pct"/>
            <w:vMerge/>
            <w:shd w:val="clear" w:color="auto" w:fill="auto"/>
          </w:tcPr>
          <w:p w14:paraId="4D52489F" w14:textId="77777777" w:rsidR="0007612C" w:rsidRPr="0007612C" w:rsidRDefault="0007612C" w:rsidP="0007612C">
            <w:pPr>
              <w:rPr>
                <w:lang w:val="en-GB"/>
              </w:rPr>
            </w:pPr>
          </w:p>
        </w:tc>
      </w:tr>
      <w:tr w:rsidR="005410BD" w:rsidRPr="0007612C" w14:paraId="0F43425E" w14:textId="77777777" w:rsidTr="005410BD">
        <w:trPr>
          <w:trHeight w:val="505"/>
        </w:trPr>
        <w:tc>
          <w:tcPr>
            <w:tcW w:w="1162" w:type="pct"/>
            <w:vMerge/>
            <w:hideMark/>
          </w:tcPr>
          <w:p w14:paraId="17BBD18A" w14:textId="77777777" w:rsidR="0007612C" w:rsidRPr="0007612C" w:rsidRDefault="0007612C" w:rsidP="0007612C">
            <w:pPr>
              <w:rPr>
                <w:lang w:val="en-GB"/>
              </w:rPr>
            </w:pPr>
          </w:p>
        </w:tc>
        <w:tc>
          <w:tcPr>
            <w:tcW w:w="490" w:type="pct"/>
            <w:hideMark/>
          </w:tcPr>
          <w:p w14:paraId="1B6260F8" w14:textId="77777777" w:rsidR="0007612C" w:rsidRPr="0007612C" w:rsidRDefault="0007612C" w:rsidP="0007612C">
            <w:pPr>
              <w:rPr>
                <w:lang w:val="en-GB"/>
              </w:rPr>
            </w:pPr>
            <w:r w:rsidRPr="0007612C">
              <w:rPr>
                <w:lang w:val="en-GB"/>
              </w:rPr>
              <w:t>Pacific</w:t>
            </w:r>
          </w:p>
        </w:tc>
        <w:tc>
          <w:tcPr>
            <w:tcW w:w="297" w:type="pct"/>
          </w:tcPr>
          <w:p w14:paraId="282EC8A9" w14:textId="77777777" w:rsidR="0007612C" w:rsidRPr="0007612C" w:rsidRDefault="0007612C" w:rsidP="0007612C">
            <w:pPr>
              <w:rPr>
                <w:lang w:val="en-GB"/>
              </w:rPr>
            </w:pPr>
            <w:r w:rsidRPr="0007612C">
              <w:rPr>
                <w:lang w:val="en-GB"/>
              </w:rPr>
              <w:t>81%</w:t>
            </w:r>
          </w:p>
        </w:tc>
        <w:tc>
          <w:tcPr>
            <w:tcW w:w="330" w:type="pct"/>
          </w:tcPr>
          <w:p w14:paraId="25D4C893" w14:textId="409E199E" w:rsidR="0007612C" w:rsidRPr="0007612C" w:rsidRDefault="0007612C" w:rsidP="0007612C">
            <w:pPr>
              <w:rPr>
                <w:lang w:val="en-GB"/>
              </w:rPr>
            </w:pPr>
            <w:r w:rsidRPr="0007612C">
              <w:rPr>
                <w:lang w:val="en-GB"/>
              </w:rPr>
              <w:t>82%</w:t>
            </w:r>
            <w:r>
              <w:t xml:space="preserve"> </w:t>
            </w:r>
            <w:r w:rsidRPr="0007612C">
              <w:rPr>
                <w:rFonts w:ascii="Wingdings" w:eastAsia="Wingdings" w:hAnsi="Wingdings" w:cs="Wingdings"/>
                <w:color w:val="00B050"/>
                <w:szCs w:val="24"/>
              </w:rPr>
              <w:t>Ý</w:t>
            </w:r>
          </w:p>
        </w:tc>
        <w:tc>
          <w:tcPr>
            <w:tcW w:w="298" w:type="pct"/>
          </w:tcPr>
          <w:p w14:paraId="6F1F6652" w14:textId="42B0650F" w:rsidR="0007612C" w:rsidRPr="0007612C" w:rsidRDefault="0007612C" w:rsidP="0007612C">
            <w:pPr>
              <w:rPr>
                <w:lang w:val="en-GB"/>
              </w:rPr>
            </w:pPr>
            <w:r w:rsidRPr="0007612C">
              <w:rPr>
                <w:lang w:val="en-GB"/>
              </w:rPr>
              <w:t>81%</w:t>
            </w:r>
            <w:r>
              <w:rPr>
                <w:lang w:val="en-GB"/>
              </w:rPr>
              <w:t xml:space="preserve"> </w:t>
            </w:r>
            <w:r w:rsidRPr="0007612C">
              <w:rPr>
                <w:rFonts w:ascii="Wingdings" w:eastAsia="Wingdings" w:hAnsi="Wingdings" w:cs="Calibri"/>
                <w:color w:val="FF0000"/>
                <w:szCs w:val="24"/>
                <w:lang w:val="en-GB" w:eastAsia="en-NZ"/>
              </w:rPr>
              <w:t>Þ</w:t>
            </w:r>
          </w:p>
        </w:tc>
        <w:tc>
          <w:tcPr>
            <w:tcW w:w="275" w:type="pct"/>
          </w:tcPr>
          <w:p w14:paraId="22A55D77" w14:textId="271B8608" w:rsidR="0007612C" w:rsidRPr="0007612C" w:rsidRDefault="0007612C" w:rsidP="0007612C">
            <w:pPr>
              <w:rPr>
                <w:lang w:val="en-GB"/>
              </w:rPr>
            </w:pPr>
            <w:r w:rsidRPr="0007612C">
              <w:rPr>
                <w:lang w:val="en-GB"/>
              </w:rPr>
              <w:t xml:space="preserve">81% </w:t>
            </w:r>
            <w:r w:rsidRPr="00CE0F64">
              <w:rPr>
                <w:rFonts w:ascii="Wingdings" w:eastAsia="Wingdings" w:hAnsi="Wingdings" w:cs="Calibri"/>
                <w:b/>
                <w:color w:val="FFC000"/>
                <w:szCs w:val="24"/>
                <w:lang w:val="en-GB" w:eastAsia="en-NZ"/>
              </w:rPr>
              <w:t>Ü</w:t>
            </w:r>
          </w:p>
        </w:tc>
        <w:tc>
          <w:tcPr>
            <w:tcW w:w="330" w:type="pct"/>
            <w:gridSpan w:val="2"/>
          </w:tcPr>
          <w:p w14:paraId="3CFF5381" w14:textId="02B6242C" w:rsidR="0007612C" w:rsidRPr="0007612C" w:rsidRDefault="0007612C" w:rsidP="0007612C">
            <w:pPr>
              <w:rPr>
                <w:lang w:val="en-GB"/>
              </w:rPr>
            </w:pPr>
            <w:r w:rsidRPr="0007612C">
              <w:t>81%</w:t>
            </w:r>
            <w:r>
              <w:rPr>
                <w:lang w:val="en-GB"/>
              </w:rPr>
              <w:t xml:space="preserve"> </w:t>
            </w:r>
            <w:r w:rsidRPr="00CE0F64">
              <w:rPr>
                <w:rFonts w:ascii="Wingdings" w:eastAsia="Wingdings" w:hAnsi="Wingdings" w:cs="Calibri"/>
                <w:b/>
                <w:color w:val="FFC000"/>
                <w:szCs w:val="24"/>
                <w:lang w:val="en-GB" w:eastAsia="en-NZ"/>
              </w:rPr>
              <w:t>Ü</w:t>
            </w:r>
          </w:p>
        </w:tc>
        <w:tc>
          <w:tcPr>
            <w:tcW w:w="1818" w:type="pct"/>
            <w:vMerge/>
            <w:shd w:val="clear" w:color="auto" w:fill="auto"/>
          </w:tcPr>
          <w:p w14:paraId="2A335B53" w14:textId="77777777" w:rsidR="0007612C" w:rsidRPr="0007612C" w:rsidRDefault="0007612C" w:rsidP="0007612C">
            <w:pPr>
              <w:rPr>
                <w:lang w:val="en-GB"/>
              </w:rPr>
            </w:pPr>
          </w:p>
        </w:tc>
      </w:tr>
      <w:tr w:rsidR="005410BD" w:rsidRPr="0007612C" w14:paraId="70F6611F" w14:textId="77777777" w:rsidTr="005410BD">
        <w:trPr>
          <w:trHeight w:val="505"/>
        </w:trPr>
        <w:tc>
          <w:tcPr>
            <w:tcW w:w="1162" w:type="pct"/>
            <w:vMerge/>
          </w:tcPr>
          <w:p w14:paraId="2255C101" w14:textId="77777777" w:rsidR="0007612C" w:rsidRPr="0007612C" w:rsidRDefault="0007612C" w:rsidP="0007612C">
            <w:pPr>
              <w:rPr>
                <w:lang w:val="en-GB"/>
              </w:rPr>
            </w:pPr>
          </w:p>
        </w:tc>
        <w:tc>
          <w:tcPr>
            <w:tcW w:w="490" w:type="pct"/>
          </w:tcPr>
          <w:p w14:paraId="4EDA0753" w14:textId="02AF2168" w:rsidR="0007612C" w:rsidRPr="0007612C" w:rsidRDefault="0007612C" w:rsidP="0007612C">
            <w:pPr>
              <w:rPr>
                <w:lang w:val="en-GB"/>
              </w:rPr>
            </w:pPr>
            <w:r w:rsidRPr="0007612C">
              <w:rPr>
                <w:lang w:val="en-GB"/>
              </w:rPr>
              <w:t xml:space="preserve">European and </w:t>
            </w:r>
            <w:r w:rsidR="001B6AB4">
              <w:rPr>
                <w:lang w:val="en-GB"/>
              </w:rPr>
              <w:t>a</w:t>
            </w:r>
            <w:r w:rsidRPr="0007612C">
              <w:rPr>
                <w:lang w:val="en-GB"/>
              </w:rPr>
              <w:t>ll other ethnicities</w:t>
            </w:r>
          </w:p>
        </w:tc>
        <w:tc>
          <w:tcPr>
            <w:tcW w:w="297" w:type="pct"/>
          </w:tcPr>
          <w:p w14:paraId="1D57CB54" w14:textId="77777777" w:rsidR="0007612C" w:rsidRPr="0007612C" w:rsidRDefault="0007612C" w:rsidP="0007612C">
            <w:pPr>
              <w:rPr>
                <w:lang w:val="en-GB"/>
              </w:rPr>
            </w:pPr>
            <w:r w:rsidRPr="0007612C">
              <w:rPr>
                <w:lang w:val="en-GB"/>
              </w:rPr>
              <w:t>86%</w:t>
            </w:r>
          </w:p>
        </w:tc>
        <w:tc>
          <w:tcPr>
            <w:tcW w:w="330" w:type="pct"/>
          </w:tcPr>
          <w:p w14:paraId="4C2016A1" w14:textId="1F05D443" w:rsidR="0007612C" w:rsidRPr="0007612C" w:rsidRDefault="0007612C" w:rsidP="0007612C">
            <w:pPr>
              <w:rPr>
                <w:lang w:val="en-GB"/>
              </w:rPr>
            </w:pPr>
            <w:r w:rsidRPr="0007612C">
              <w:rPr>
                <w:lang w:val="en-GB"/>
              </w:rPr>
              <w:t xml:space="preserve">86% </w:t>
            </w:r>
            <w:r w:rsidRPr="00CE0F64">
              <w:rPr>
                <w:rFonts w:ascii="Wingdings" w:eastAsia="Wingdings" w:hAnsi="Wingdings" w:cs="Calibri"/>
                <w:b/>
                <w:color w:val="FFC000"/>
                <w:szCs w:val="24"/>
                <w:lang w:val="en-GB" w:eastAsia="en-NZ"/>
              </w:rPr>
              <w:t>Ü</w:t>
            </w:r>
          </w:p>
        </w:tc>
        <w:tc>
          <w:tcPr>
            <w:tcW w:w="298" w:type="pct"/>
          </w:tcPr>
          <w:p w14:paraId="0610F269" w14:textId="3DACBEAB" w:rsidR="0007612C" w:rsidRPr="0007612C" w:rsidRDefault="0007612C" w:rsidP="0007612C">
            <w:pPr>
              <w:rPr>
                <w:lang w:val="en-GB"/>
              </w:rPr>
            </w:pPr>
            <w:r w:rsidRPr="0007612C">
              <w:rPr>
                <w:lang w:val="en-GB"/>
              </w:rPr>
              <w:t xml:space="preserve">86% </w:t>
            </w:r>
            <w:r w:rsidRPr="00CE0F64">
              <w:rPr>
                <w:rFonts w:ascii="Wingdings" w:eastAsia="Wingdings" w:hAnsi="Wingdings" w:cs="Calibri"/>
                <w:b/>
                <w:color w:val="FFC000"/>
                <w:szCs w:val="24"/>
                <w:lang w:val="en-GB" w:eastAsia="en-NZ"/>
              </w:rPr>
              <w:t>Ü</w:t>
            </w:r>
          </w:p>
        </w:tc>
        <w:tc>
          <w:tcPr>
            <w:tcW w:w="275" w:type="pct"/>
          </w:tcPr>
          <w:p w14:paraId="53306A67" w14:textId="65F1A790" w:rsidR="0007612C" w:rsidRPr="0007612C" w:rsidRDefault="0007612C" w:rsidP="0007612C">
            <w:pPr>
              <w:rPr>
                <w:lang w:val="en-GB"/>
              </w:rPr>
            </w:pPr>
            <w:r w:rsidRPr="0007612C">
              <w:rPr>
                <w:lang w:val="en-GB"/>
              </w:rPr>
              <w:t xml:space="preserve">86% </w:t>
            </w:r>
            <w:r w:rsidRPr="00CE0F64">
              <w:rPr>
                <w:rFonts w:ascii="Wingdings" w:eastAsia="Wingdings" w:hAnsi="Wingdings" w:cs="Calibri"/>
                <w:b/>
                <w:color w:val="FFC000"/>
                <w:szCs w:val="24"/>
                <w:lang w:val="en-GB" w:eastAsia="en-NZ"/>
              </w:rPr>
              <w:t>Ü</w:t>
            </w:r>
          </w:p>
        </w:tc>
        <w:tc>
          <w:tcPr>
            <w:tcW w:w="330" w:type="pct"/>
            <w:gridSpan w:val="2"/>
          </w:tcPr>
          <w:p w14:paraId="036EDD78" w14:textId="5605442A" w:rsidR="0007612C" w:rsidRPr="0007612C" w:rsidRDefault="0007612C" w:rsidP="0007612C">
            <w:pPr>
              <w:rPr>
                <w:lang w:val="en-GB"/>
              </w:rPr>
            </w:pPr>
            <w:r w:rsidRPr="0007612C">
              <w:t>87%</w:t>
            </w:r>
            <w:r>
              <w:t xml:space="preserve"> </w:t>
            </w:r>
            <w:r w:rsidRPr="0007612C">
              <w:rPr>
                <w:rFonts w:ascii="Wingdings" w:eastAsia="Wingdings" w:hAnsi="Wingdings" w:cs="Wingdings"/>
                <w:color w:val="00B050"/>
                <w:szCs w:val="24"/>
              </w:rPr>
              <w:t>Ý</w:t>
            </w:r>
          </w:p>
        </w:tc>
        <w:tc>
          <w:tcPr>
            <w:tcW w:w="1818" w:type="pct"/>
            <w:vMerge/>
            <w:shd w:val="clear" w:color="auto" w:fill="auto"/>
          </w:tcPr>
          <w:p w14:paraId="4F32F539" w14:textId="77777777" w:rsidR="0007612C" w:rsidRPr="0007612C" w:rsidRDefault="0007612C" w:rsidP="0007612C">
            <w:pPr>
              <w:rPr>
                <w:lang w:val="en-GB"/>
              </w:rPr>
            </w:pPr>
          </w:p>
        </w:tc>
      </w:tr>
      <w:tr w:rsidR="005410BD" w:rsidRPr="0007612C" w14:paraId="5C2496E8" w14:textId="77777777" w:rsidTr="005410BD">
        <w:trPr>
          <w:trHeight w:val="505"/>
        </w:trPr>
        <w:tc>
          <w:tcPr>
            <w:tcW w:w="1162" w:type="pct"/>
            <w:vMerge/>
          </w:tcPr>
          <w:p w14:paraId="36F8E52A" w14:textId="77777777" w:rsidR="0007612C" w:rsidRPr="0007612C" w:rsidRDefault="0007612C" w:rsidP="0007612C">
            <w:pPr>
              <w:rPr>
                <w:lang w:val="en-GB"/>
              </w:rPr>
            </w:pPr>
          </w:p>
        </w:tc>
        <w:tc>
          <w:tcPr>
            <w:tcW w:w="490" w:type="pct"/>
          </w:tcPr>
          <w:p w14:paraId="057C3C53" w14:textId="77777777" w:rsidR="0007612C" w:rsidRPr="0007612C" w:rsidRDefault="0007612C" w:rsidP="0007612C">
            <w:pPr>
              <w:rPr>
                <w:lang w:val="en-GB"/>
              </w:rPr>
            </w:pPr>
            <w:r w:rsidRPr="0007612C">
              <w:rPr>
                <w:lang w:val="en-GB"/>
              </w:rPr>
              <w:t>Asian</w:t>
            </w:r>
          </w:p>
        </w:tc>
        <w:tc>
          <w:tcPr>
            <w:tcW w:w="297" w:type="pct"/>
          </w:tcPr>
          <w:p w14:paraId="0A22FB3F" w14:textId="77777777" w:rsidR="0007612C" w:rsidRPr="0007612C" w:rsidRDefault="0007612C" w:rsidP="0007612C">
            <w:pPr>
              <w:rPr>
                <w:lang w:val="en-GB"/>
              </w:rPr>
            </w:pPr>
            <w:r w:rsidRPr="0007612C">
              <w:rPr>
                <w:lang w:val="en-GB"/>
              </w:rPr>
              <w:t>94%</w:t>
            </w:r>
          </w:p>
        </w:tc>
        <w:tc>
          <w:tcPr>
            <w:tcW w:w="330" w:type="pct"/>
          </w:tcPr>
          <w:p w14:paraId="7B0D511D" w14:textId="1E2A5DE5" w:rsidR="0007612C" w:rsidRPr="0007612C" w:rsidRDefault="0007612C" w:rsidP="0007612C">
            <w:pPr>
              <w:rPr>
                <w:lang w:val="en-GB"/>
              </w:rPr>
            </w:pPr>
            <w:r w:rsidRPr="0007612C">
              <w:rPr>
                <w:lang w:val="en-GB"/>
              </w:rPr>
              <w:t>94%</w:t>
            </w:r>
            <w:r>
              <w:rPr>
                <w:lang w:val="en-GB"/>
              </w:rPr>
              <w:t xml:space="preserve"> </w:t>
            </w:r>
            <w:r w:rsidRPr="00CE0F64">
              <w:rPr>
                <w:rFonts w:ascii="Wingdings" w:eastAsia="Wingdings" w:hAnsi="Wingdings" w:cs="Calibri"/>
                <w:b/>
                <w:color w:val="FFC000"/>
                <w:szCs w:val="24"/>
                <w:lang w:val="en-GB" w:eastAsia="en-NZ"/>
              </w:rPr>
              <w:t>Ü</w:t>
            </w:r>
          </w:p>
        </w:tc>
        <w:tc>
          <w:tcPr>
            <w:tcW w:w="298" w:type="pct"/>
          </w:tcPr>
          <w:p w14:paraId="48EDAC56" w14:textId="440CDB1F" w:rsidR="0007612C" w:rsidRPr="0007612C" w:rsidRDefault="0007612C" w:rsidP="0007612C">
            <w:pPr>
              <w:rPr>
                <w:lang w:val="en-GB"/>
              </w:rPr>
            </w:pPr>
            <w:r w:rsidRPr="0007612C">
              <w:rPr>
                <w:lang w:val="en-GB"/>
              </w:rPr>
              <w:t>100%</w:t>
            </w:r>
            <w:r>
              <w:t xml:space="preserve"> </w:t>
            </w:r>
            <w:r w:rsidRPr="0007612C">
              <w:rPr>
                <w:rFonts w:ascii="Wingdings" w:eastAsia="Wingdings" w:hAnsi="Wingdings" w:cs="Wingdings"/>
                <w:color w:val="00B050"/>
                <w:szCs w:val="24"/>
              </w:rPr>
              <w:t>Ý</w:t>
            </w:r>
          </w:p>
        </w:tc>
        <w:tc>
          <w:tcPr>
            <w:tcW w:w="275" w:type="pct"/>
          </w:tcPr>
          <w:p w14:paraId="60F9412C" w14:textId="0C1C714A" w:rsidR="0007612C" w:rsidRPr="0007612C" w:rsidRDefault="0007612C" w:rsidP="0007612C">
            <w:pPr>
              <w:rPr>
                <w:lang w:val="en-GB"/>
              </w:rPr>
            </w:pPr>
            <w:r w:rsidRPr="0007612C">
              <w:rPr>
                <w:lang w:val="en-GB"/>
              </w:rPr>
              <w:t>95%</w:t>
            </w:r>
            <w:r>
              <w:rPr>
                <w:lang w:val="en-GB"/>
              </w:rPr>
              <w:t xml:space="preserve"> </w:t>
            </w:r>
            <w:r w:rsidRPr="0007612C">
              <w:rPr>
                <w:rFonts w:ascii="Wingdings" w:eastAsia="Wingdings" w:hAnsi="Wingdings" w:cs="Calibri"/>
                <w:color w:val="FF0000"/>
                <w:szCs w:val="24"/>
                <w:lang w:val="en-GB" w:eastAsia="en-NZ"/>
              </w:rPr>
              <w:t>Þ</w:t>
            </w:r>
          </w:p>
        </w:tc>
        <w:tc>
          <w:tcPr>
            <w:tcW w:w="330" w:type="pct"/>
            <w:gridSpan w:val="2"/>
          </w:tcPr>
          <w:p w14:paraId="55461E55" w14:textId="7E7CC34B" w:rsidR="0007612C" w:rsidRPr="0007612C" w:rsidRDefault="0007612C" w:rsidP="0007612C">
            <w:pPr>
              <w:rPr>
                <w:lang w:val="en-GB"/>
              </w:rPr>
            </w:pPr>
            <w:r w:rsidRPr="0007612C">
              <w:t>93%</w:t>
            </w:r>
            <w:r>
              <w:rPr>
                <w:lang w:val="en-GB"/>
              </w:rPr>
              <w:t xml:space="preserve"> </w:t>
            </w:r>
            <w:r w:rsidRPr="0007612C">
              <w:rPr>
                <w:rFonts w:ascii="Wingdings" w:eastAsia="Wingdings" w:hAnsi="Wingdings" w:cs="Calibri"/>
                <w:color w:val="FF0000"/>
                <w:szCs w:val="24"/>
                <w:lang w:val="en-GB" w:eastAsia="en-NZ"/>
              </w:rPr>
              <w:t>Þ</w:t>
            </w:r>
          </w:p>
        </w:tc>
        <w:tc>
          <w:tcPr>
            <w:tcW w:w="1818" w:type="pct"/>
            <w:vMerge/>
            <w:shd w:val="clear" w:color="auto" w:fill="auto"/>
          </w:tcPr>
          <w:p w14:paraId="7E068B8D" w14:textId="77777777" w:rsidR="0007612C" w:rsidRPr="0007612C" w:rsidRDefault="0007612C" w:rsidP="0007612C">
            <w:pPr>
              <w:rPr>
                <w:lang w:val="en-GB"/>
              </w:rPr>
            </w:pPr>
          </w:p>
        </w:tc>
      </w:tr>
      <w:tr w:rsidR="005410BD" w:rsidRPr="0007612C" w14:paraId="75E9052A" w14:textId="77777777" w:rsidTr="005410BD">
        <w:trPr>
          <w:trHeight w:val="505"/>
        </w:trPr>
        <w:tc>
          <w:tcPr>
            <w:tcW w:w="1162" w:type="pct"/>
            <w:vMerge/>
            <w:hideMark/>
          </w:tcPr>
          <w:p w14:paraId="02BE37B3" w14:textId="77777777" w:rsidR="0007612C" w:rsidRPr="0007612C" w:rsidRDefault="0007612C" w:rsidP="0007612C">
            <w:pPr>
              <w:rPr>
                <w:lang w:val="en-GB"/>
              </w:rPr>
            </w:pPr>
          </w:p>
        </w:tc>
        <w:tc>
          <w:tcPr>
            <w:tcW w:w="490" w:type="pct"/>
            <w:hideMark/>
          </w:tcPr>
          <w:p w14:paraId="566B7357" w14:textId="77777777" w:rsidR="0007612C" w:rsidRPr="0007612C" w:rsidRDefault="0007612C" w:rsidP="0007612C">
            <w:pPr>
              <w:rPr>
                <w:lang w:val="en-GB"/>
              </w:rPr>
            </w:pPr>
            <w:r w:rsidRPr="0007612C">
              <w:rPr>
                <w:lang w:val="en-GB"/>
              </w:rPr>
              <w:t>Total</w:t>
            </w:r>
          </w:p>
        </w:tc>
        <w:tc>
          <w:tcPr>
            <w:tcW w:w="297" w:type="pct"/>
          </w:tcPr>
          <w:p w14:paraId="7334BBFA" w14:textId="77777777" w:rsidR="0007612C" w:rsidRPr="0007612C" w:rsidRDefault="0007612C" w:rsidP="0007612C">
            <w:pPr>
              <w:rPr>
                <w:lang w:val="en-GB"/>
              </w:rPr>
            </w:pPr>
            <w:r w:rsidRPr="0007612C">
              <w:rPr>
                <w:lang w:val="en-GB"/>
              </w:rPr>
              <w:t>82%</w:t>
            </w:r>
          </w:p>
        </w:tc>
        <w:tc>
          <w:tcPr>
            <w:tcW w:w="330" w:type="pct"/>
          </w:tcPr>
          <w:p w14:paraId="491C61D4" w14:textId="3B507CF8" w:rsidR="0007612C" w:rsidRPr="0007612C" w:rsidRDefault="0007612C" w:rsidP="0007612C">
            <w:pPr>
              <w:rPr>
                <w:lang w:val="en-GB"/>
              </w:rPr>
            </w:pPr>
            <w:r w:rsidRPr="0007612C">
              <w:rPr>
                <w:lang w:val="en-GB"/>
              </w:rPr>
              <w:t>82%</w:t>
            </w:r>
            <w:r>
              <w:rPr>
                <w:lang w:val="en-GB"/>
              </w:rPr>
              <w:t xml:space="preserve"> </w:t>
            </w:r>
            <w:r w:rsidRPr="00CE0F64">
              <w:rPr>
                <w:rFonts w:ascii="Wingdings" w:eastAsia="Wingdings" w:hAnsi="Wingdings" w:cs="Calibri"/>
                <w:b/>
                <w:color w:val="FFC000"/>
                <w:szCs w:val="24"/>
                <w:lang w:val="en-GB" w:eastAsia="en-NZ"/>
              </w:rPr>
              <w:t>Ü</w:t>
            </w:r>
          </w:p>
        </w:tc>
        <w:tc>
          <w:tcPr>
            <w:tcW w:w="298" w:type="pct"/>
          </w:tcPr>
          <w:p w14:paraId="60E1CD2B" w14:textId="053D4A59" w:rsidR="0007612C" w:rsidRPr="0007612C" w:rsidRDefault="0007612C" w:rsidP="0007612C">
            <w:pPr>
              <w:rPr>
                <w:lang w:val="en-GB"/>
              </w:rPr>
            </w:pPr>
            <w:r w:rsidRPr="0007612C">
              <w:rPr>
                <w:lang w:val="en-GB"/>
              </w:rPr>
              <w:t>84%</w:t>
            </w:r>
            <w:r>
              <w:t xml:space="preserve"> </w:t>
            </w:r>
            <w:r w:rsidRPr="0007612C">
              <w:rPr>
                <w:rFonts w:ascii="Wingdings" w:eastAsia="Wingdings" w:hAnsi="Wingdings" w:cs="Wingdings"/>
                <w:color w:val="00B050"/>
                <w:szCs w:val="24"/>
              </w:rPr>
              <w:t>Ý</w:t>
            </w:r>
          </w:p>
        </w:tc>
        <w:tc>
          <w:tcPr>
            <w:tcW w:w="275" w:type="pct"/>
          </w:tcPr>
          <w:p w14:paraId="5188CB94" w14:textId="7F08848A" w:rsidR="0007612C" w:rsidRPr="0007612C" w:rsidRDefault="0007612C" w:rsidP="0007612C">
            <w:pPr>
              <w:rPr>
                <w:lang w:val="en-GB"/>
              </w:rPr>
            </w:pPr>
            <w:r w:rsidRPr="0007612C">
              <w:rPr>
                <w:lang w:val="en-GB"/>
              </w:rPr>
              <w:t>83%</w:t>
            </w:r>
            <w:r>
              <w:rPr>
                <w:lang w:val="en-GB"/>
              </w:rPr>
              <w:t xml:space="preserve"> </w:t>
            </w:r>
            <w:r w:rsidRPr="0007612C">
              <w:rPr>
                <w:rFonts w:ascii="Wingdings" w:eastAsia="Wingdings" w:hAnsi="Wingdings" w:cs="Calibri"/>
                <w:color w:val="FF0000"/>
                <w:szCs w:val="24"/>
                <w:lang w:val="en-GB" w:eastAsia="en-NZ"/>
              </w:rPr>
              <w:t>Þ</w:t>
            </w:r>
          </w:p>
        </w:tc>
        <w:tc>
          <w:tcPr>
            <w:tcW w:w="330" w:type="pct"/>
            <w:gridSpan w:val="2"/>
          </w:tcPr>
          <w:p w14:paraId="07F6C842" w14:textId="304A8A4C" w:rsidR="0007612C" w:rsidRPr="0007612C" w:rsidRDefault="0007612C" w:rsidP="0007612C">
            <w:pPr>
              <w:rPr>
                <w:lang w:val="en-GB"/>
              </w:rPr>
            </w:pPr>
            <w:r w:rsidRPr="0007612C">
              <w:t>83%</w:t>
            </w:r>
            <w:r>
              <w:rPr>
                <w:lang w:val="en-GB"/>
              </w:rPr>
              <w:t xml:space="preserve"> </w:t>
            </w:r>
            <w:r w:rsidRPr="00CE0F64">
              <w:rPr>
                <w:rFonts w:ascii="Wingdings" w:eastAsia="Wingdings" w:hAnsi="Wingdings" w:cs="Calibri"/>
                <w:b/>
                <w:color w:val="FFC000"/>
                <w:szCs w:val="24"/>
                <w:lang w:val="en-GB" w:eastAsia="en-NZ"/>
              </w:rPr>
              <w:t>Ü</w:t>
            </w:r>
          </w:p>
        </w:tc>
        <w:tc>
          <w:tcPr>
            <w:tcW w:w="1818" w:type="pct"/>
            <w:vMerge/>
            <w:shd w:val="clear" w:color="auto" w:fill="auto"/>
          </w:tcPr>
          <w:p w14:paraId="216D3723" w14:textId="77777777" w:rsidR="0007612C" w:rsidRPr="0007612C" w:rsidRDefault="0007612C" w:rsidP="0007612C">
            <w:pPr>
              <w:rPr>
                <w:lang w:val="en-GB"/>
              </w:rPr>
            </w:pPr>
          </w:p>
        </w:tc>
      </w:tr>
      <w:tr w:rsidR="0007612C" w:rsidRPr="0007612C" w14:paraId="42E9C9D6" w14:textId="77777777" w:rsidTr="005410BD">
        <w:trPr>
          <w:trHeight w:val="300"/>
        </w:trPr>
        <w:tc>
          <w:tcPr>
            <w:tcW w:w="1162" w:type="pct"/>
          </w:tcPr>
          <w:p w14:paraId="07781918" w14:textId="77777777" w:rsidR="0007612C" w:rsidRPr="0007612C" w:rsidRDefault="0007612C" w:rsidP="0007612C">
            <w:pPr>
              <w:rPr>
                <w:lang w:val="en-GB"/>
              </w:rPr>
            </w:pPr>
            <w:r w:rsidRPr="0007612C">
              <w:rPr>
                <w:bCs/>
                <w:lang w:val="en-GB"/>
              </w:rPr>
              <w:t>Comments</w:t>
            </w:r>
          </w:p>
        </w:tc>
        <w:tc>
          <w:tcPr>
            <w:tcW w:w="3838" w:type="pct"/>
            <w:gridSpan w:val="8"/>
          </w:tcPr>
          <w:p w14:paraId="1726B491" w14:textId="146BE1F0" w:rsidR="0007612C" w:rsidRPr="009D4959" w:rsidRDefault="0007612C" w:rsidP="0007612C">
            <w:pPr>
              <w:rPr>
                <w:bCs/>
                <w:lang w:val="en-GB"/>
              </w:rPr>
            </w:pPr>
            <w:r w:rsidRPr="0007612C">
              <w:rPr>
                <w:lang w:val="en-GB"/>
              </w:rPr>
              <w:t xml:space="preserve">Childhood </w:t>
            </w:r>
            <w:r w:rsidRPr="0007612C">
              <w:rPr>
                <w:bCs/>
                <w:lang w:val="en-GB"/>
              </w:rPr>
              <w:t>immunisation</w:t>
            </w:r>
            <w:r w:rsidRPr="0007612C">
              <w:rPr>
                <w:lang w:val="en-GB"/>
              </w:rPr>
              <w:t xml:space="preserve"> rates in Aotearoa New Zealand for children at 24 months have </w:t>
            </w:r>
            <w:r w:rsidRPr="0007612C">
              <w:rPr>
                <w:bCs/>
                <w:lang w:val="en-GB"/>
              </w:rPr>
              <w:t>shown a small improvement</w:t>
            </w:r>
            <w:r w:rsidRPr="0007612C">
              <w:rPr>
                <w:lang w:val="en-GB"/>
              </w:rPr>
              <w:t xml:space="preserve"> in the July to September 2023 quarter compared to the same quarter in 2022</w:t>
            </w:r>
            <w:r w:rsidRPr="0007612C">
              <w:rPr>
                <w:bCs/>
                <w:lang w:val="en-GB"/>
              </w:rPr>
              <w:t xml:space="preserve"> (83.0% versus 82.2%), including a 2.9% increase for Māori. Rates for the Asian population decreased slightly over the same period. The National Public Health Service (NPHS) has sent letters to all primary health organisations (PHOs) following a meeting with them to discuss childhood immunisation rates. The letter requests that PHOs support their practices to prioritise immunisation by actively recalling all tamariki under 5 years, particularly for tamariki Māori and Pacific children and to commence meningococcal B catchup vaccinations. In order to lift immunisation rates, Te Whatu Ora is focused on enabling system design and the implementation of the Immunisation Taskforce recommendations. </w:t>
            </w:r>
          </w:p>
        </w:tc>
      </w:tr>
    </w:tbl>
    <w:p w14:paraId="12C07531" w14:textId="647439A2" w:rsidR="00846E1E" w:rsidRDefault="00846E1E" w:rsidP="00E92FE9">
      <w:pPr>
        <w:pStyle w:val="TableText"/>
      </w:pPr>
    </w:p>
    <w:tbl>
      <w:tblPr>
        <w:tblStyle w:val="TeWhatuOra"/>
        <w:tblW w:w="5000" w:type="pct"/>
        <w:tblLook w:val="0420" w:firstRow="1" w:lastRow="0" w:firstColumn="0" w:lastColumn="0" w:noHBand="0" w:noVBand="1"/>
      </w:tblPr>
      <w:tblGrid>
        <w:gridCol w:w="4987"/>
        <w:gridCol w:w="2093"/>
        <w:gridCol w:w="2696"/>
        <w:gridCol w:w="3966"/>
        <w:gridCol w:w="7791"/>
      </w:tblGrid>
      <w:tr w:rsidR="0007612C" w:rsidRPr="0007612C" w14:paraId="242B072E" w14:textId="77777777" w:rsidTr="00D33BCA">
        <w:trPr>
          <w:cnfStyle w:val="100000000000" w:firstRow="1" w:lastRow="0" w:firstColumn="0" w:lastColumn="0" w:oddVBand="0" w:evenVBand="0" w:oddHBand="0" w:evenHBand="0" w:firstRowFirstColumn="0" w:firstRowLastColumn="0" w:lastRowFirstColumn="0" w:lastRowLastColumn="0"/>
          <w:trHeight w:val="635"/>
        </w:trPr>
        <w:tc>
          <w:tcPr>
            <w:tcW w:w="1158" w:type="pct"/>
          </w:tcPr>
          <w:p w14:paraId="572A2220" w14:textId="1D4FA3FD" w:rsidR="0007612C" w:rsidRPr="0007612C" w:rsidRDefault="00846E1E" w:rsidP="0007612C">
            <w:pPr>
              <w:rPr>
                <w:lang w:val="en-GB"/>
              </w:rPr>
            </w:pPr>
            <w:r>
              <w:br w:type="page"/>
            </w:r>
            <w:r w:rsidR="0007612C" w:rsidRPr="0007612C">
              <w:rPr>
                <w:lang w:val="en-GB"/>
              </w:rPr>
              <w:t>Measure</w:t>
            </w:r>
          </w:p>
        </w:tc>
        <w:tc>
          <w:tcPr>
            <w:tcW w:w="486" w:type="pct"/>
          </w:tcPr>
          <w:p w14:paraId="066BFD72" w14:textId="77777777" w:rsidR="0007612C" w:rsidRPr="0007612C" w:rsidRDefault="0007612C" w:rsidP="0007612C">
            <w:pPr>
              <w:rPr>
                <w:lang w:val="en-GB"/>
              </w:rPr>
            </w:pPr>
            <w:r w:rsidRPr="0007612C">
              <w:rPr>
                <w:lang w:val="en-GB"/>
              </w:rPr>
              <w:t>Ethnic Group </w:t>
            </w:r>
          </w:p>
        </w:tc>
        <w:tc>
          <w:tcPr>
            <w:tcW w:w="626" w:type="pct"/>
          </w:tcPr>
          <w:p w14:paraId="77E6AD64" w14:textId="77777777" w:rsidR="0007612C" w:rsidRPr="0007612C" w:rsidRDefault="0007612C" w:rsidP="0007612C">
            <w:pPr>
              <w:rPr>
                <w:lang w:val="en-GB"/>
              </w:rPr>
            </w:pPr>
            <w:r w:rsidRPr="0007612C">
              <w:rPr>
                <w:lang w:val="en-GB"/>
              </w:rPr>
              <w:t xml:space="preserve">Q1 </w:t>
            </w:r>
          </w:p>
          <w:p w14:paraId="6796D142" w14:textId="77777777" w:rsidR="0007612C" w:rsidRPr="0007612C" w:rsidRDefault="0007612C" w:rsidP="0007612C">
            <w:pPr>
              <w:rPr>
                <w:lang w:val="en-GB"/>
              </w:rPr>
            </w:pPr>
            <w:r w:rsidRPr="0007612C">
              <w:rPr>
                <w:lang w:val="en-GB"/>
              </w:rPr>
              <w:t>2022-23</w:t>
            </w:r>
          </w:p>
        </w:tc>
        <w:tc>
          <w:tcPr>
            <w:tcW w:w="921" w:type="pct"/>
          </w:tcPr>
          <w:p w14:paraId="1FE6BB9A" w14:textId="77777777" w:rsidR="0007612C" w:rsidRPr="0007612C" w:rsidRDefault="0007612C" w:rsidP="0007612C">
            <w:pPr>
              <w:rPr>
                <w:lang w:val="en-GB"/>
              </w:rPr>
            </w:pPr>
            <w:r w:rsidRPr="0007612C">
              <w:rPr>
                <w:lang w:val="en-GB"/>
              </w:rPr>
              <w:t>Q1</w:t>
            </w:r>
          </w:p>
          <w:p w14:paraId="71B7C8A0" w14:textId="77777777" w:rsidR="0007612C" w:rsidRPr="0007612C" w:rsidRDefault="0007612C" w:rsidP="0007612C">
            <w:pPr>
              <w:rPr>
                <w:lang w:val="en-GB"/>
              </w:rPr>
            </w:pPr>
            <w:r w:rsidRPr="0007612C">
              <w:rPr>
                <w:lang w:val="en-GB"/>
              </w:rPr>
              <w:t>2023-24</w:t>
            </w:r>
          </w:p>
        </w:tc>
        <w:tc>
          <w:tcPr>
            <w:tcW w:w="1809" w:type="pct"/>
            <w:vMerge w:val="restart"/>
            <w:shd w:val="clear" w:color="auto" w:fill="auto"/>
          </w:tcPr>
          <w:p w14:paraId="32989F7B" w14:textId="77777777" w:rsidR="0007612C" w:rsidRPr="0007612C" w:rsidRDefault="0007612C" w:rsidP="0007612C">
            <w:pPr>
              <w:rPr>
                <w:lang w:val="en-GB"/>
              </w:rPr>
            </w:pPr>
            <w:r w:rsidRPr="0007612C">
              <w:rPr>
                <w:noProof/>
                <w:lang w:val="en-GB"/>
              </w:rPr>
              <w:drawing>
                <wp:inline distT="0" distB="0" distL="0" distR="0" wp14:anchorId="6D509449" wp14:editId="0FA92376">
                  <wp:extent cx="4754880" cy="2495412"/>
                  <wp:effectExtent l="0" t="0" r="7620" b="635"/>
                  <wp:docPr id="25" name="Chart 25" descr="Chart showing Uptake of influenza immunisations for people aged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07612C" w:rsidRPr="0007612C" w14:paraId="3560036D" w14:textId="77777777" w:rsidTr="00D33BCA">
        <w:trPr>
          <w:trHeight w:val="635"/>
        </w:trPr>
        <w:tc>
          <w:tcPr>
            <w:tcW w:w="1158" w:type="pct"/>
            <w:vMerge w:val="restart"/>
            <w:hideMark/>
          </w:tcPr>
          <w:p w14:paraId="21BF2CDB" w14:textId="77777777" w:rsidR="0007612C" w:rsidRPr="0007612C" w:rsidRDefault="0007612C" w:rsidP="0007612C">
            <w:pPr>
              <w:rPr>
                <w:vertAlign w:val="superscript"/>
              </w:rPr>
            </w:pPr>
            <w:r w:rsidRPr="0007612C">
              <w:t xml:space="preserve">Uptake of influenza immunisations for people aged 65+ </w:t>
            </w:r>
            <w:r w:rsidRPr="0007612C">
              <w:rPr>
                <w:vertAlign w:val="superscript"/>
              </w:rPr>
              <w:t>9,12,</w:t>
            </w:r>
            <w:r w:rsidRPr="0007612C">
              <w:rPr>
                <w:vertAlign w:val="superscript"/>
              </w:rPr>
              <w:footnoteReference w:id="13"/>
            </w:r>
            <w:r w:rsidRPr="0007612C">
              <w:t>.</w:t>
            </w:r>
          </w:p>
          <w:p w14:paraId="3E28896D" w14:textId="77777777" w:rsidR="0007612C" w:rsidRPr="0007612C" w:rsidRDefault="0007612C" w:rsidP="0007612C"/>
          <w:p w14:paraId="342CF975" w14:textId="77777777" w:rsidR="0007612C" w:rsidRPr="0007612C" w:rsidRDefault="0007612C" w:rsidP="0007612C">
            <w:r w:rsidRPr="0007612C">
              <w:t>Target: 70% for all ethnicities, rising to 75% in 2024/25</w:t>
            </w:r>
          </w:p>
        </w:tc>
        <w:tc>
          <w:tcPr>
            <w:tcW w:w="486" w:type="pct"/>
            <w:hideMark/>
          </w:tcPr>
          <w:p w14:paraId="3C6AD5B2" w14:textId="77777777" w:rsidR="0007612C" w:rsidRPr="0007612C" w:rsidRDefault="0007612C" w:rsidP="0007612C">
            <w:pPr>
              <w:rPr>
                <w:lang w:val="en-GB"/>
              </w:rPr>
            </w:pPr>
            <w:r w:rsidRPr="0007612C">
              <w:rPr>
                <w:lang w:val="en-GB"/>
              </w:rPr>
              <w:t>Māori</w:t>
            </w:r>
          </w:p>
        </w:tc>
        <w:tc>
          <w:tcPr>
            <w:tcW w:w="626" w:type="pct"/>
          </w:tcPr>
          <w:p w14:paraId="6994DF7C" w14:textId="77777777" w:rsidR="0007612C" w:rsidRPr="0007612C" w:rsidRDefault="0007612C" w:rsidP="0007612C">
            <w:r w:rsidRPr="0007612C">
              <w:t>61%</w:t>
            </w:r>
          </w:p>
        </w:tc>
        <w:tc>
          <w:tcPr>
            <w:tcW w:w="921" w:type="pct"/>
          </w:tcPr>
          <w:p w14:paraId="0F4E7F60" w14:textId="67EEC753" w:rsidR="0007612C" w:rsidRPr="0007612C" w:rsidRDefault="0007612C" w:rsidP="0007612C">
            <w:r w:rsidRPr="0007612C">
              <w:t>58%</w:t>
            </w:r>
            <w:r>
              <w:t xml:space="preserve"> </w:t>
            </w:r>
            <w:r w:rsidRPr="0007612C">
              <w:rPr>
                <w:rFonts w:ascii="Wingdings" w:eastAsia="Wingdings" w:hAnsi="Wingdings" w:cs="Calibri"/>
                <w:color w:val="FF0000"/>
                <w:szCs w:val="24"/>
                <w:lang w:val="en-GB" w:eastAsia="en-NZ"/>
              </w:rPr>
              <w:t>Þ</w:t>
            </w:r>
          </w:p>
        </w:tc>
        <w:tc>
          <w:tcPr>
            <w:tcW w:w="1809" w:type="pct"/>
            <w:vMerge/>
            <w:shd w:val="clear" w:color="auto" w:fill="auto"/>
          </w:tcPr>
          <w:p w14:paraId="51794BDB" w14:textId="77777777" w:rsidR="0007612C" w:rsidRPr="0007612C" w:rsidRDefault="0007612C" w:rsidP="0007612C">
            <w:pPr>
              <w:rPr>
                <w:lang w:val="en-GB"/>
              </w:rPr>
            </w:pPr>
          </w:p>
        </w:tc>
      </w:tr>
      <w:tr w:rsidR="0007612C" w:rsidRPr="0007612C" w14:paraId="74B47FCB" w14:textId="77777777" w:rsidTr="00D33BCA">
        <w:trPr>
          <w:trHeight w:val="635"/>
        </w:trPr>
        <w:tc>
          <w:tcPr>
            <w:tcW w:w="1158" w:type="pct"/>
            <w:vMerge/>
          </w:tcPr>
          <w:p w14:paraId="3F703188" w14:textId="77777777" w:rsidR="0007612C" w:rsidRPr="0007612C" w:rsidRDefault="0007612C" w:rsidP="0007612C">
            <w:pPr>
              <w:rPr>
                <w:lang w:val="en-GB"/>
              </w:rPr>
            </w:pPr>
          </w:p>
        </w:tc>
        <w:tc>
          <w:tcPr>
            <w:tcW w:w="486" w:type="pct"/>
          </w:tcPr>
          <w:p w14:paraId="4E290C71" w14:textId="77777777" w:rsidR="0007612C" w:rsidRPr="0007612C" w:rsidRDefault="0007612C" w:rsidP="0007612C">
            <w:pPr>
              <w:rPr>
                <w:lang w:val="en-GB"/>
              </w:rPr>
            </w:pPr>
            <w:r w:rsidRPr="0007612C">
              <w:rPr>
                <w:lang w:val="en-GB"/>
              </w:rPr>
              <w:t>Pacific</w:t>
            </w:r>
          </w:p>
        </w:tc>
        <w:tc>
          <w:tcPr>
            <w:tcW w:w="626" w:type="pct"/>
          </w:tcPr>
          <w:p w14:paraId="17CF2352" w14:textId="77777777" w:rsidR="0007612C" w:rsidRPr="0007612C" w:rsidRDefault="0007612C" w:rsidP="0007612C">
            <w:r w:rsidRPr="0007612C">
              <w:t>59%</w:t>
            </w:r>
          </w:p>
        </w:tc>
        <w:tc>
          <w:tcPr>
            <w:tcW w:w="921" w:type="pct"/>
          </w:tcPr>
          <w:p w14:paraId="008AB338" w14:textId="00B6EB59" w:rsidR="0007612C" w:rsidRPr="0007612C" w:rsidRDefault="0007612C" w:rsidP="0007612C">
            <w:r w:rsidRPr="0007612C">
              <w:t>58%</w:t>
            </w:r>
            <w:r>
              <w:rPr>
                <w:lang w:val="en-GB"/>
              </w:rPr>
              <w:t xml:space="preserve"> </w:t>
            </w:r>
            <w:r w:rsidRPr="0007612C">
              <w:rPr>
                <w:rFonts w:ascii="Wingdings" w:eastAsia="Wingdings" w:hAnsi="Wingdings" w:cs="Calibri"/>
                <w:color w:val="FF0000"/>
                <w:szCs w:val="24"/>
                <w:lang w:val="en-GB" w:eastAsia="en-NZ"/>
              </w:rPr>
              <w:t>Þ</w:t>
            </w:r>
          </w:p>
        </w:tc>
        <w:tc>
          <w:tcPr>
            <w:tcW w:w="1809" w:type="pct"/>
            <w:vMerge/>
            <w:shd w:val="clear" w:color="auto" w:fill="auto"/>
          </w:tcPr>
          <w:p w14:paraId="640A282F" w14:textId="77777777" w:rsidR="0007612C" w:rsidRPr="0007612C" w:rsidRDefault="0007612C" w:rsidP="0007612C">
            <w:pPr>
              <w:rPr>
                <w:lang w:val="en-GB"/>
              </w:rPr>
            </w:pPr>
          </w:p>
        </w:tc>
      </w:tr>
      <w:tr w:rsidR="0007612C" w:rsidRPr="0007612C" w14:paraId="2BB0A606" w14:textId="77777777" w:rsidTr="00D33BCA">
        <w:trPr>
          <w:trHeight w:val="635"/>
        </w:trPr>
        <w:tc>
          <w:tcPr>
            <w:tcW w:w="1158" w:type="pct"/>
            <w:vMerge/>
          </w:tcPr>
          <w:p w14:paraId="4B97898E" w14:textId="77777777" w:rsidR="0007612C" w:rsidRPr="0007612C" w:rsidRDefault="0007612C" w:rsidP="0007612C">
            <w:pPr>
              <w:rPr>
                <w:lang w:val="en-GB"/>
              </w:rPr>
            </w:pPr>
          </w:p>
        </w:tc>
        <w:tc>
          <w:tcPr>
            <w:tcW w:w="486" w:type="pct"/>
          </w:tcPr>
          <w:p w14:paraId="0F84DB57" w14:textId="6C2021D2" w:rsidR="0007612C" w:rsidRPr="0007612C" w:rsidRDefault="0007612C" w:rsidP="0007612C">
            <w:pPr>
              <w:rPr>
                <w:lang w:val="en-GB"/>
              </w:rPr>
            </w:pPr>
            <w:r w:rsidRPr="0007612C">
              <w:rPr>
                <w:lang w:val="en-GB"/>
              </w:rPr>
              <w:t xml:space="preserve">European and </w:t>
            </w:r>
            <w:r w:rsidR="00773F36">
              <w:rPr>
                <w:lang w:val="en-GB"/>
              </w:rPr>
              <w:t>a</w:t>
            </w:r>
            <w:r w:rsidRPr="0007612C">
              <w:rPr>
                <w:lang w:val="en-GB"/>
              </w:rPr>
              <w:t>ll other ethnicities</w:t>
            </w:r>
          </w:p>
        </w:tc>
        <w:tc>
          <w:tcPr>
            <w:tcW w:w="626" w:type="pct"/>
          </w:tcPr>
          <w:p w14:paraId="76DF4868" w14:textId="77777777" w:rsidR="0007612C" w:rsidRPr="0007612C" w:rsidRDefault="0007612C" w:rsidP="0007612C">
            <w:pPr>
              <w:rPr>
                <w:lang w:val="en-GB"/>
              </w:rPr>
            </w:pPr>
            <w:r w:rsidRPr="0007612C">
              <w:rPr>
                <w:lang w:val="en-GB"/>
              </w:rPr>
              <w:t>66%</w:t>
            </w:r>
          </w:p>
        </w:tc>
        <w:tc>
          <w:tcPr>
            <w:tcW w:w="921" w:type="pct"/>
          </w:tcPr>
          <w:p w14:paraId="6EE9B9A3" w14:textId="3D1C9FA7" w:rsidR="0007612C" w:rsidRPr="0007612C" w:rsidRDefault="0007612C" w:rsidP="0007612C">
            <w:pPr>
              <w:rPr>
                <w:lang w:val="en-GB"/>
              </w:rPr>
            </w:pPr>
            <w:r w:rsidRPr="0007612C">
              <w:rPr>
                <w:lang w:val="en-GB"/>
              </w:rPr>
              <w:t>67%</w:t>
            </w:r>
            <w:r>
              <w:t xml:space="preserve"> </w:t>
            </w:r>
            <w:r w:rsidRPr="0007612C">
              <w:rPr>
                <w:rFonts w:ascii="Wingdings" w:eastAsia="Wingdings" w:hAnsi="Wingdings" w:cs="Wingdings"/>
                <w:color w:val="00B050"/>
                <w:szCs w:val="24"/>
              </w:rPr>
              <w:t>Ý</w:t>
            </w:r>
          </w:p>
        </w:tc>
        <w:tc>
          <w:tcPr>
            <w:tcW w:w="1809" w:type="pct"/>
            <w:vMerge/>
            <w:shd w:val="clear" w:color="auto" w:fill="auto"/>
          </w:tcPr>
          <w:p w14:paraId="178385CC" w14:textId="77777777" w:rsidR="0007612C" w:rsidRPr="0007612C" w:rsidRDefault="0007612C" w:rsidP="0007612C">
            <w:pPr>
              <w:rPr>
                <w:lang w:val="en-GB"/>
              </w:rPr>
            </w:pPr>
          </w:p>
        </w:tc>
      </w:tr>
      <w:tr w:rsidR="0007612C" w:rsidRPr="0007612C" w14:paraId="390F1C95" w14:textId="77777777" w:rsidTr="00D33BCA">
        <w:trPr>
          <w:trHeight w:val="635"/>
        </w:trPr>
        <w:tc>
          <w:tcPr>
            <w:tcW w:w="1158" w:type="pct"/>
            <w:vMerge/>
            <w:hideMark/>
          </w:tcPr>
          <w:p w14:paraId="32DDEF86" w14:textId="77777777" w:rsidR="0007612C" w:rsidRPr="0007612C" w:rsidRDefault="0007612C" w:rsidP="0007612C">
            <w:pPr>
              <w:rPr>
                <w:lang w:val="en-GB"/>
              </w:rPr>
            </w:pPr>
          </w:p>
        </w:tc>
        <w:tc>
          <w:tcPr>
            <w:tcW w:w="486" w:type="pct"/>
            <w:hideMark/>
          </w:tcPr>
          <w:p w14:paraId="073ABC21" w14:textId="77777777" w:rsidR="0007612C" w:rsidRPr="0007612C" w:rsidRDefault="0007612C" w:rsidP="0007612C">
            <w:pPr>
              <w:rPr>
                <w:lang w:val="en-GB"/>
              </w:rPr>
            </w:pPr>
            <w:r w:rsidRPr="0007612C">
              <w:rPr>
                <w:lang w:val="en-GB"/>
              </w:rPr>
              <w:t>Asian</w:t>
            </w:r>
          </w:p>
        </w:tc>
        <w:tc>
          <w:tcPr>
            <w:tcW w:w="626" w:type="pct"/>
          </w:tcPr>
          <w:p w14:paraId="734FE64C" w14:textId="77777777" w:rsidR="0007612C" w:rsidRPr="0007612C" w:rsidRDefault="0007612C" w:rsidP="0007612C">
            <w:r w:rsidRPr="0007612C">
              <w:t>55%</w:t>
            </w:r>
          </w:p>
        </w:tc>
        <w:tc>
          <w:tcPr>
            <w:tcW w:w="921" w:type="pct"/>
          </w:tcPr>
          <w:p w14:paraId="5B42E72C" w14:textId="5AE28191" w:rsidR="0007612C" w:rsidRPr="0007612C" w:rsidRDefault="0007612C" w:rsidP="0007612C">
            <w:r w:rsidRPr="0007612C">
              <w:t>59%</w:t>
            </w:r>
            <w:r>
              <w:t xml:space="preserve"> </w:t>
            </w:r>
            <w:r w:rsidRPr="0007612C">
              <w:rPr>
                <w:rFonts w:ascii="Wingdings" w:eastAsia="Wingdings" w:hAnsi="Wingdings" w:cs="Wingdings"/>
                <w:color w:val="00B050"/>
                <w:szCs w:val="24"/>
              </w:rPr>
              <w:t>Ý</w:t>
            </w:r>
          </w:p>
        </w:tc>
        <w:tc>
          <w:tcPr>
            <w:tcW w:w="1809" w:type="pct"/>
            <w:vMerge/>
            <w:shd w:val="clear" w:color="auto" w:fill="auto"/>
          </w:tcPr>
          <w:p w14:paraId="30AB5CAD" w14:textId="77777777" w:rsidR="0007612C" w:rsidRPr="0007612C" w:rsidRDefault="0007612C" w:rsidP="0007612C">
            <w:pPr>
              <w:rPr>
                <w:lang w:val="en-GB"/>
              </w:rPr>
            </w:pPr>
          </w:p>
        </w:tc>
      </w:tr>
      <w:tr w:rsidR="0007612C" w:rsidRPr="0007612C" w14:paraId="58048DDE" w14:textId="77777777" w:rsidTr="00D33BCA">
        <w:trPr>
          <w:trHeight w:val="635"/>
        </w:trPr>
        <w:tc>
          <w:tcPr>
            <w:tcW w:w="1158" w:type="pct"/>
            <w:vMerge/>
            <w:hideMark/>
          </w:tcPr>
          <w:p w14:paraId="13C861C3" w14:textId="77777777" w:rsidR="0007612C" w:rsidRPr="0007612C" w:rsidRDefault="0007612C" w:rsidP="0007612C">
            <w:pPr>
              <w:rPr>
                <w:lang w:val="en-GB"/>
              </w:rPr>
            </w:pPr>
          </w:p>
        </w:tc>
        <w:tc>
          <w:tcPr>
            <w:tcW w:w="486" w:type="pct"/>
            <w:hideMark/>
          </w:tcPr>
          <w:p w14:paraId="095B4352" w14:textId="77777777" w:rsidR="0007612C" w:rsidRPr="0007612C" w:rsidRDefault="0007612C" w:rsidP="0007612C">
            <w:pPr>
              <w:rPr>
                <w:lang w:val="en-GB"/>
              </w:rPr>
            </w:pPr>
            <w:r w:rsidRPr="0007612C">
              <w:rPr>
                <w:lang w:val="en-GB"/>
              </w:rPr>
              <w:t>Total</w:t>
            </w:r>
          </w:p>
        </w:tc>
        <w:tc>
          <w:tcPr>
            <w:tcW w:w="626" w:type="pct"/>
          </w:tcPr>
          <w:p w14:paraId="0D324D3A" w14:textId="77777777" w:rsidR="0007612C" w:rsidRPr="0007612C" w:rsidRDefault="0007612C" w:rsidP="0007612C">
            <w:r w:rsidRPr="0007612C">
              <w:t>65%</w:t>
            </w:r>
          </w:p>
        </w:tc>
        <w:tc>
          <w:tcPr>
            <w:tcW w:w="921" w:type="pct"/>
          </w:tcPr>
          <w:p w14:paraId="5DC95288" w14:textId="661E0393" w:rsidR="0007612C" w:rsidRPr="0007612C" w:rsidRDefault="0007612C" w:rsidP="0007612C">
            <w:r w:rsidRPr="0007612C">
              <w:t>65%</w:t>
            </w:r>
            <w:r>
              <w:rPr>
                <w:lang w:val="en-GB"/>
              </w:rPr>
              <w:t xml:space="preserve"> </w:t>
            </w:r>
            <w:r w:rsidRPr="00CE0F64">
              <w:rPr>
                <w:rFonts w:ascii="Wingdings" w:eastAsia="Wingdings" w:hAnsi="Wingdings" w:cs="Calibri"/>
                <w:b/>
                <w:color w:val="FFC000"/>
                <w:szCs w:val="24"/>
                <w:lang w:val="en-GB" w:eastAsia="en-NZ"/>
              </w:rPr>
              <w:t>Ü</w:t>
            </w:r>
          </w:p>
        </w:tc>
        <w:tc>
          <w:tcPr>
            <w:tcW w:w="1809" w:type="pct"/>
            <w:vMerge/>
            <w:shd w:val="clear" w:color="auto" w:fill="auto"/>
          </w:tcPr>
          <w:p w14:paraId="0F70088C" w14:textId="77777777" w:rsidR="0007612C" w:rsidRPr="0007612C" w:rsidRDefault="0007612C" w:rsidP="0007612C">
            <w:pPr>
              <w:rPr>
                <w:lang w:val="en-GB"/>
              </w:rPr>
            </w:pPr>
          </w:p>
        </w:tc>
      </w:tr>
      <w:tr w:rsidR="0007612C" w:rsidRPr="0007612C" w14:paraId="1FE9F45F" w14:textId="77777777" w:rsidTr="0007612C">
        <w:trPr>
          <w:trHeight w:val="300"/>
        </w:trPr>
        <w:tc>
          <w:tcPr>
            <w:tcW w:w="1158" w:type="pct"/>
          </w:tcPr>
          <w:p w14:paraId="41C36187" w14:textId="77777777" w:rsidR="0007612C" w:rsidRPr="0007612C" w:rsidRDefault="0007612C" w:rsidP="0007612C">
            <w:pPr>
              <w:rPr>
                <w:lang w:val="en-GB"/>
              </w:rPr>
            </w:pPr>
            <w:r w:rsidRPr="0007612C">
              <w:rPr>
                <w:bCs/>
                <w:lang w:val="en-GB"/>
              </w:rPr>
              <w:t>Comments</w:t>
            </w:r>
          </w:p>
        </w:tc>
        <w:tc>
          <w:tcPr>
            <w:tcW w:w="3842" w:type="pct"/>
            <w:gridSpan w:val="4"/>
          </w:tcPr>
          <w:p w14:paraId="7F8156C0" w14:textId="77777777" w:rsidR="0007612C" w:rsidRPr="0007612C" w:rsidRDefault="0007612C" w:rsidP="0007612C">
            <w:pPr>
              <w:rPr>
                <w:lang w:val="en-GB"/>
              </w:rPr>
            </w:pPr>
            <w:r w:rsidRPr="0007612C">
              <w:rPr>
                <w:lang w:val="en-GB"/>
              </w:rPr>
              <w:t xml:space="preserve">For 2023, Pharmac widened access to the influenza vaccine for all Māori and Pacific people aged 55 to 64 years. All data shared with Hauora and Pacific providers as part of the data sharing process have been updated to reflect the widened criteria for flu vaccination. Te Aka Whai Ora and Te Whatu Ora Pacific Health and NPHS teams continue to support providers to improve flu vaccination uptake.  </w:t>
            </w:r>
          </w:p>
        </w:tc>
      </w:tr>
    </w:tbl>
    <w:p w14:paraId="46055F69" w14:textId="77777777" w:rsidR="0007612C" w:rsidRDefault="0007612C" w:rsidP="00E92FE9">
      <w:pPr>
        <w:pStyle w:val="TableText"/>
      </w:pPr>
    </w:p>
    <w:p w14:paraId="6D9355A6" w14:textId="77777777" w:rsidR="00C10544" w:rsidRDefault="00C10544" w:rsidP="00E92FE9">
      <w:pPr>
        <w:pStyle w:val="TableText"/>
      </w:pPr>
    </w:p>
    <w:tbl>
      <w:tblPr>
        <w:tblStyle w:val="TeWhatuOra"/>
        <w:tblW w:w="5000" w:type="pct"/>
        <w:tblLook w:val="0420" w:firstRow="1" w:lastRow="0" w:firstColumn="0" w:lastColumn="0" w:noHBand="0" w:noVBand="1"/>
      </w:tblPr>
      <w:tblGrid>
        <w:gridCol w:w="4982"/>
        <w:gridCol w:w="2102"/>
        <w:gridCol w:w="2692"/>
        <w:gridCol w:w="3971"/>
        <w:gridCol w:w="7786"/>
      </w:tblGrid>
      <w:tr w:rsidR="0067304A" w:rsidRPr="0007612C" w14:paraId="5F067F6B" w14:textId="77777777" w:rsidTr="00D33BCA">
        <w:trPr>
          <w:cnfStyle w:val="100000000000" w:firstRow="1" w:lastRow="0" w:firstColumn="0" w:lastColumn="0" w:oddVBand="0" w:evenVBand="0" w:oddHBand="0" w:evenHBand="0" w:firstRowFirstColumn="0" w:firstRowLastColumn="0" w:lastRowFirstColumn="0" w:lastRowLastColumn="0"/>
          <w:trHeight w:val="635"/>
        </w:trPr>
        <w:tc>
          <w:tcPr>
            <w:tcW w:w="1157" w:type="pct"/>
          </w:tcPr>
          <w:p w14:paraId="3B17CF19" w14:textId="77777777" w:rsidR="0007612C" w:rsidRPr="0007612C" w:rsidRDefault="0007612C" w:rsidP="0067304A">
            <w:pPr>
              <w:rPr>
                <w:lang w:val="en-GB"/>
              </w:rPr>
            </w:pPr>
            <w:r w:rsidRPr="0007612C">
              <w:br w:type="page"/>
            </w:r>
            <w:r w:rsidRPr="0007612C">
              <w:rPr>
                <w:lang w:val="en-GB"/>
              </w:rPr>
              <w:t>Measure</w:t>
            </w:r>
          </w:p>
        </w:tc>
        <w:tc>
          <w:tcPr>
            <w:tcW w:w="488" w:type="pct"/>
          </w:tcPr>
          <w:p w14:paraId="1B70D24B" w14:textId="77777777" w:rsidR="0007612C" w:rsidRPr="0007612C" w:rsidRDefault="0007612C" w:rsidP="0067304A">
            <w:pPr>
              <w:rPr>
                <w:lang w:val="en-GB"/>
              </w:rPr>
            </w:pPr>
            <w:r w:rsidRPr="0007612C">
              <w:rPr>
                <w:lang w:val="en-GB"/>
              </w:rPr>
              <w:t>Ethnic Group</w:t>
            </w:r>
          </w:p>
        </w:tc>
        <w:tc>
          <w:tcPr>
            <w:tcW w:w="625" w:type="pct"/>
          </w:tcPr>
          <w:p w14:paraId="5240436A" w14:textId="77777777" w:rsidR="0007612C" w:rsidRPr="0007612C" w:rsidRDefault="0007612C" w:rsidP="0067304A">
            <w:pPr>
              <w:rPr>
                <w:lang w:val="en-GB"/>
              </w:rPr>
            </w:pPr>
            <w:r w:rsidRPr="0007612C">
              <w:rPr>
                <w:lang w:val="en-GB"/>
              </w:rPr>
              <w:t>Q1</w:t>
            </w:r>
          </w:p>
          <w:p w14:paraId="06670DE2" w14:textId="77777777" w:rsidR="0007612C" w:rsidRPr="0007612C" w:rsidRDefault="0007612C" w:rsidP="0067304A">
            <w:pPr>
              <w:rPr>
                <w:lang w:val="en-GB"/>
              </w:rPr>
            </w:pPr>
            <w:r w:rsidRPr="0007612C">
              <w:rPr>
                <w:lang w:val="en-GB"/>
              </w:rPr>
              <w:t>2022-23</w:t>
            </w:r>
          </w:p>
        </w:tc>
        <w:tc>
          <w:tcPr>
            <w:tcW w:w="922" w:type="pct"/>
          </w:tcPr>
          <w:p w14:paraId="3A8C3872" w14:textId="77777777" w:rsidR="0007612C" w:rsidRPr="0007612C" w:rsidRDefault="0007612C" w:rsidP="0067304A">
            <w:pPr>
              <w:rPr>
                <w:lang w:val="en-GB"/>
              </w:rPr>
            </w:pPr>
            <w:r w:rsidRPr="0007612C">
              <w:rPr>
                <w:lang w:val="en-GB"/>
              </w:rPr>
              <w:t>Q1</w:t>
            </w:r>
          </w:p>
          <w:p w14:paraId="305E40BC" w14:textId="77777777" w:rsidR="0007612C" w:rsidRPr="0007612C" w:rsidRDefault="0007612C" w:rsidP="0067304A">
            <w:pPr>
              <w:rPr>
                <w:lang w:val="en-GB"/>
              </w:rPr>
            </w:pPr>
            <w:r w:rsidRPr="0007612C">
              <w:rPr>
                <w:lang w:val="en-GB"/>
              </w:rPr>
              <w:t>2023-24</w:t>
            </w:r>
          </w:p>
        </w:tc>
        <w:tc>
          <w:tcPr>
            <w:tcW w:w="1808" w:type="pct"/>
            <w:vMerge w:val="restart"/>
            <w:shd w:val="clear" w:color="auto" w:fill="auto"/>
          </w:tcPr>
          <w:p w14:paraId="2AE6458A" w14:textId="77777777" w:rsidR="0007612C" w:rsidRPr="0007612C" w:rsidRDefault="0007612C" w:rsidP="0067304A">
            <w:pPr>
              <w:rPr>
                <w:bCs/>
                <w:lang w:val="en-GB"/>
              </w:rPr>
            </w:pPr>
            <w:r w:rsidRPr="0007612C">
              <w:rPr>
                <w:bCs/>
                <w:noProof/>
                <w:lang w:val="en-GB"/>
              </w:rPr>
              <w:drawing>
                <wp:inline distT="0" distB="0" distL="0" distR="0" wp14:anchorId="696FADC0" wp14:editId="66C22C39">
                  <wp:extent cx="4683318" cy="2449002"/>
                  <wp:effectExtent l="0" t="0" r="3175" b="8890"/>
                  <wp:docPr id="30" name="Chart 30" descr="Chart showing Uptake of Human Papillomavirus (HPV) immunisations among those aged 9-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07612C" w:rsidRPr="0007612C" w14:paraId="40A193F7" w14:textId="77777777" w:rsidTr="00D33BCA">
        <w:trPr>
          <w:trHeight w:val="635"/>
        </w:trPr>
        <w:tc>
          <w:tcPr>
            <w:tcW w:w="1157" w:type="pct"/>
            <w:vMerge w:val="restart"/>
          </w:tcPr>
          <w:p w14:paraId="1753263B" w14:textId="77777777" w:rsidR="0007612C" w:rsidRPr="0007612C" w:rsidRDefault="0007612C" w:rsidP="0067304A">
            <w:pPr>
              <w:rPr>
                <w:vertAlign w:val="superscript"/>
              </w:rPr>
            </w:pPr>
            <w:r w:rsidRPr="0007612C">
              <w:t>Uptake of Human Papillomavirus (HPV) immunisations among those aged 9-26</w:t>
            </w:r>
            <w:r w:rsidRPr="0007612C">
              <w:rPr>
                <w:vertAlign w:val="superscript"/>
              </w:rPr>
              <w:t>9,12,13</w:t>
            </w:r>
            <w:r w:rsidRPr="0007612C">
              <w:t>.</w:t>
            </w:r>
          </w:p>
          <w:p w14:paraId="6BEE70A9" w14:textId="77777777" w:rsidR="0007612C" w:rsidRPr="0007612C" w:rsidRDefault="0007612C" w:rsidP="0067304A"/>
          <w:p w14:paraId="3564EB52" w14:textId="77777777" w:rsidR="0007612C" w:rsidRPr="0007612C" w:rsidRDefault="0007612C" w:rsidP="0067304A">
            <w:r w:rsidRPr="0007612C">
              <w:t>Target: 70% for all ethnicities, rising to 75% in 2024/25</w:t>
            </w:r>
          </w:p>
          <w:p w14:paraId="7BA4803A" w14:textId="77777777" w:rsidR="0007612C" w:rsidRPr="0007612C" w:rsidRDefault="0007612C" w:rsidP="0067304A">
            <w:pPr>
              <w:rPr>
                <w:lang w:val="en-GB"/>
              </w:rPr>
            </w:pPr>
          </w:p>
          <w:p w14:paraId="70D8304C" w14:textId="77777777" w:rsidR="0007612C" w:rsidRPr="0007612C" w:rsidRDefault="0007612C" w:rsidP="0067304A">
            <w:pPr>
              <w:rPr>
                <w:lang w:val="en-GB"/>
              </w:rPr>
            </w:pPr>
          </w:p>
        </w:tc>
        <w:tc>
          <w:tcPr>
            <w:tcW w:w="488" w:type="pct"/>
          </w:tcPr>
          <w:p w14:paraId="30C1BDEF" w14:textId="77777777" w:rsidR="0007612C" w:rsidRPr="0007612C" w:rsidRDefault="0007612C" w:rsidP="0067304A">
            <w:pPr>
              <w:rPr>
                <w:lang w:val="en-GB"/>
              </w:rPr>
            </w:pPr>
            <w:r w:rsidRPr="0007612C">
              <w:rPr>
                <w:lang w:val="en-GB"/>
              </w:rPr>
              <w:t>Māori</w:t>
            </w:r>
          </w:p>
        </w:tc>
        <w:tc>
          <w:tcPr>
            <w:tcW w:w="625" w:type="pct"/>
          </w:tcPr>
          <w:p w14:paraId="13A04A13" w14:textId="77777777" w:rsidR="0007612C" w:rsidRPr="0007612C" w:rsidRDefault="0007612C" w:rsidP="0067304A">
            <w:pPr>
              <w:rPr>
                <w:lang w:val="en-GB"/>
              </w:rPr>
            </w:pPr>
            <w:r w:rsidRPr="0007612C">
              <w:rPr>
                <w:lang w:val="en-GB"/>
              </w:rPr>
              <w:t>31%</w:t>
            </w:r>
          </w:p>
        </w:tc>
        <w:tc>
          <w:tcPr>
            <w:tcW w:w="922" w:type="pct"/>
          </w:tcPr>
          <w:p w14:paraId="074682FD" w14:textId="291F6B5E" w:rsidR="0007612C" w:rsidRPr="0007612C" w:rsidRDefault="0007612C" w:rsidP="0067304A">
            <w:pPr>
              <w:rPr>
                <w:lang w:val="en-GB"/>
              </w:rPr>
            </w:pPr>
            <w:r w:rsidRPr="0007612C">
              <w:rPr>
                <w:lang w:val="en-GB"/>
              </w:rPr>
              <w:t>32%</w:t>
            </w:r>
            <w:r w:rsidR="0067304A">
              <w:t xml:space="preserve"> </w:t>
            </w:r>
            <w:r w:rsidR="0067304A" w:rsidRPr="0007612C">
              <w:rPr>
                <w:rFonts w:ascii="Wingdings" w:eastAsia="Wingdings" w:hAnsi="Wingdings" w:cs="Wingdings"/>
                <w:color w:val="00B050"/>
                <w:szCs w:val="24"/>
              </w:rPr>
              <w:t>Ý</w:t>
            </w:r>
          </w:p>
        </w:tc>
        <w:tc>
          <w:tcPr>
            <w:tcW w:w="1808" w:type="pct"/>
            <w:vMerge/>
            <w:shd w:val="clear" w:color="auto" w:fill="auto"/>
          </w:tcPr>
          <w:p w14:paraId="371BCD59" w14:textId="77777777" w:rsidR="0007612C" w:rsidRPr="0007612C" w:rsidRDefault="0007612C" w:rsidP="0067304A">
            <w:pPr>
              <w:rPr>
                <w:bCs/>
                <w:lang w:val="en-GB"/>
              </w:rPr>
            </w:pPr>
          </w:p>
        </w:tc>
      </w:tr>
      <w:tr w:rsidR="0007612C" w:rsidRPr="0007612C" w14:paraId="38FBE1E8" w14:textId="77777777" w:rsidTr="00D33BCA">
        <w:trPr>
          <w:trHeight w:val="635"/>
        </w:trPr>
        <w:tc>
          <w:tcPr>
            <w:tcW w:w="1157" w:type="pct"/>
            <w:vMerge/>
          </w:tcPr>
          <w:p w14:paraId="11B65342" w14:textId="77777777" w:rsidR="0007612C" w:rsidRPr="0007612C" w:rsidRDefault="0007612C" w:rsidP="0067304A"/>
        </w:tc>
        <w:tc>
          <w:tcPr>
            <w:tcW w:w="488" w:type="pct"/>
          </w:tcPr>
          <w:p w14:paraId="1AA4CD5E" w14:textId="77777777" w:rsidR="0007612C" w:rsidRPr="0007612C" w:rsidRDefault="0007612C" w:rsidP="0067304A">
            <w:pPr>
              <w:rPr>
                <w:lang w:val="en-GB"/>
              </w:rPr>
            </w:pPr>
            <w:r w:rsidRPr="0007612C">
              <w:rPr>
                <w:lang w:val="en-GB"/>
              </w:rPr>
              <w:t>Pacific</w:t>
            </w:r>
          </w:p>
        </w:tc>
        <w:tc>
          <w:tcPr>
            <w:tcW w:w="625" w:type="pct"/>
          </w:tcPr>
          <w:p w14:paraId="3F674014" w14:textId="77777777" w:rsidR="0007612C" w:rsidRPr="0007612C" w:rsidRDefault="0007612C" w:rsidP="0067304A">
            <w:r w:rsidRPr="0007612C">
              <w:t>31%</w:t>
            </w:r>
          </w:p>
        </w:tc>
        <w:tc>
          <w:tcPr>
            <w:tcW w:w="922" w:type="pct"/>
          </w:tcPr>
          <w:p w14:paraId="77120A31" w14:textId="615A9903" w:rsidR="0007612C" w:rsidRPr="0007612C" w:rsidRDefault="0007612C" w:rsidP="0067304A">
            <w:r w:rsidRPr="0007612C">
              <w:t>33%</w:t>
            </w:r>
            <w:r w:rsidR="0067304A">
              <w:t xml:space="preserve"> </w:t>
            </w:r>
            <w:r w:rsidR="0067304A" w:rsidRPr="0007612C">
              <w:rPr>
                <w:rFonts w:ascii="Wingdings" w:eastAsia="Wingdings" w:hAnsi="Wingdings" w:cs="Wingdings"/>
                <w:color w:val="00B050"/>
                <w:szCs w:val="24"/>
              </w:rPr>
              <w:t>Ý</w:t>
            </w:r>
          </w:p>
        </w:tc>
        <w:tc>
          <w:tcPr>
            <w:tcW w:w="1808" w:type="pct"/>
            <w:vMerge/>
            <w:shd w:val="clear" w:color="auto" w:fill="auto"/>
          </w:tcPr>
          <w:p w14:paraId="0A1DEC38" w14:textId="77777777" w:rsidR="0007612C" w:rsidRPr="0007612C" w:rsidRDefault="0007612C" w:rsidP="0067304A">
            <w:pPr>
              <w:rPr>
                <w:bCs/>
                <w:lang w:val="en-GB"/>
              </w:rPr>
            </w:pPr>
          </w:p>
        </w:tc>
      </w:tr>
      <w:tr w:rsidR="0007612C" w:rsidRPr="0007612C" w14:paraId="1FDC74CB" w14:textId="77777777" w:rsidTr="00D33BCA">
        <w:trPr>
          <w:trHeight w:val="635"/>
        </w:trPr>
        <w:tc>
          <w:tcPr>
            <w:tcW w:w="1157" w:type="pct"/>
            <w:vMerge/>
          </w:tcPr>
          <w:p w14:paraId="321658A6" w14:textId="77777777" w:rsidR="0007612C" w:rsidRPr="0007612C" w:rsidRDefault="0007612C" w:rsidP="0067304A"/>
        </w:tc>
        <w:tc>
          <w:tcPr>
            <w:tcW w:w="488" w:type="pct"/>
          </w:tcPr>
          <w:p w14:paraId="1E53AA34" w14:textId="52297C76" w:rsidR="0007612C" w:rsidRPr="0007612C" w:rsidRDefault="0007612C" w:rsidP="0067304A">
            <w:pPr>
              <w:rPr>
                <w:lang w:val="en-GB"/>
              </w:rPr>
            </w:pPr>
            <w:r w:rsidRPr="0007612C">
              <w:rPr>
                <w:lang w:val="en-GB"/>
              </w:rPr>
              <w:t xml:space="preserve">European and </w:t>
            </w:r>
            <w:r w:rsidR="009E072E">
              <w:rPr>
                <w:lang w:val="en-GB"/>
              </w:rPr>
              <w:t>All</w:t>
            </w:r>
            <w:r w:rsidRPr="0007612C">
              <w:rPr>
                <w:lang w:val="en-GB"/>
              </w:rPr>
              <w:t xml:space="preserve"> other ethnicities</w:t>
            </w:r>
          </w:p>
        </w:tc>
        <w:tc>
          <w:tcPr>
            <w:tcW w:w="625" w:type="pct"/>
          </w:tcPr>
          <w:p w14:paraId="0AB554D3" w14:textId="77777777" w:rsidR="0007612C" w:rsidRPr="0007612C" w:rsidRDefault="0007612C" w:rsidP="0067304A">
            <w:pPr>
              <w:rPr>
                <w:lang w:val="en-GB"/>
              </w:rPr>
            </w:pPr>
            <w:r w:rsidRPr="0007612C">
              <w:rPr>
                <w:lang w:val="en-GB"/>
              </w:rPr>
              <w:t>33%</w:t>
            </w:r>
          </w:p>
        </w:tc>
        <w:tc>
          <w:tcPr>
            <w:tcW w:w="922" w:type="pct"/>
          </w:tcPr>
          <w:p w14:paraId="6983E483" w14:textId="4D33C998" w:rsidR="0007612C" w:rsidRPr="0007612C" w:rsidRDefault="0007612C" w:rsidP="0067304A">
            <w:pPr>
              <w:rPr>
                <w:lang w:val="en-GB"/>
              </w:rPr>
            </w:pPr>
            <w:r w:rsidRPr="0007612C">
              <w:rPr>
                <w:lang w:val="en-GB"/>
              </w:rPr>
              <w:t>36%</w:t>
            </w:r>
            <w:r w:rsidR="0067304A">
              <w:t xml:space="preserve"> </w:t>
            </w:r>
            <w:r w:rsidR="0067304A" w:rsidRPr="0007612C">
              <w:rPr>
                <w:rFonts w:ascii="Wingdings" w:eastAsia="Wingdings" w:hAnsi="Wingdings" w:cs="Wingdings"/>
                <w:color w:val="00B050"/>
                <w:szCs w:val="24"/>
              </w:rPr>
              <w:t>Ý</w:t>
            </w:r>
          </w:p>
        </w:tc>
        <w:tc>
          <w:tcPr>
            <w:tcW w:w="1808" w:type="pct"/>
            <w:vMerge/>
            <w:shd w:val="clear" w:color="auto" w:fill="auto"/>
          </w:tcPr>
          <w:p w14:paraId="03E268D5" w14:textId="77777777" w:rsidR="0007612C" w:rsidRPr="0007612C" w:rsidRDefault="0007612C" w:rsidP="0067304A">
            <w:pPr>
              <w:rPr>
                <w:bCs/>
                <w:lang w:val="en-GB"/>
              </w:rPr>
            </w:pPr>
          </w:p>
        </w:tc>
      </w:tr>
      <w:tr w:rsidR="0007612C" w:rsidRPr="0007612C" w14:paraId="3CC5A05D" w14:textId="77777777" w:rsidTr="00D33BCA">
        <w:trPr>
          <w:trHeight w:val="635"/>
        </w:trPr>
        <w:tc>
          <w:tcPr>
            <w:tcW w:w="1157" w:type="pct"/>
            <w:vMerge/>
          </w:tcPr>
          <w:p w14:paraId="6779592C" w14:textId="77777777" w:rsidR="0007612C" w:rsidRPr="0007612C" w:rsidRDefault="0007612C" w:rsidP="0067304A"/>
        </w:tc>
        <w:tc>
          <w:tcPr>
            <w:tcW w:w="488" w:type="pct"/>
          </w:tcPr>
          <w:p w14:paraId="355EED7D" w14:textId="77777777" w:rsidR="0007612C" w:rsidRPr="0007612C" w:rsidRDefault="0007612C" w:rsidP="0067304A">
            <w:pPr>
              <w:rPr>
                <w:lang w:val="en-GB"/>
              </w:rPr>
            </w:pPr>
            <w:r w:rsidRPr="0007612C">
              <w:rPr>
                <w:lang w:val="en-GB"/>
              </w:rPr>
              <w:t>Asian</w:t>
            </w:r>
          </w:p>
        </w:tc>
        <w:tc>
          <w:tcPr>
            <w:tcW w:w="625" w:type="pct"/>
          </w:tcPr>
          <w:p w14:paraId="15C99B98" w14:textId="77777777" w:rsidR="0007612C" w:rsidRPr="0007612C" w:rsidRDefault="0007612C" w:rsidP="0067304A">
            <w:r w:rsidRPr="0007612C">
              <w:t>30%</w:t>
            </w:r>
          </w:p>
        </w:tc>
        <w:tc>
          <w:tcPr>
            <w:tcW w:w="922" w:type="pct"/>
          </w:tcPr>
          <w:p w14:paraId="7262DF1F" w14:textId="0BF802D3" w:rsidR="0007612C" w:rsidRPr="0007612C" w:rsidRDefault="0007612C" w:rsidP="0067304A">
            <w:r w:rsidRPr="0007612C">
              <w:t>33%</w:t>
            </w:r>
            <w:r w:rsidR="0067304A">
              <w:t xml:space="preserve"> </w:t>
            </w:r>
            <w:r w:rsidR="0067304A" w:rsidRPr="0007612C">
              <w:rPr>
                <w:rFonts w:ascii="Wingdings" w:eastAsia="Wingdings" w:hAnsi="Wingdings" w:cs="Wingdings"/>
                <w:color w:val="00B050"/>
                <w:szCs w:val="24"/>
              </w:rPr>
              <w:t>Ý</w:t>
            </w:r>
          </w:p>
        </w:tc>
        <w:tc>
          <w:tcPr>
            <w:tcW w:w="1808" w:type="pct"/>
            <w:vMerge/>
            <w:shd w:val="clear" w:color="auto" w:fill="auto"/>
          </w:tcPr>
          <w:p w14:paraId="56169E59" w14:textId="77777777" w:rsidR="0007612C" w:rsidRPr="0007612C" w:rsidRDefault="0007612C" w:rsidP="0067304A">
            <w:pPr>
              <w:rPr>
                <w:bCs/>
                <w:lang w:val="en-GB"/>
              </w:rPr>
            </w:pPr>
          </w:p>
        </w:tc>
      </w:tr>
      <w:tr w:rsidR="0007612C" w:rsidRPr="0007612C" w14:paraId="1D07676C" w14:textId="77777777" w:rsidTr="00D33BCA">
        <w:trPr>
          <w:trHeight w:val="635"/>
        </w:trPr>
        <w:tc>
          <w:tcPr>
            <w:tcW w:w="1157" w:type="pct"/>
            <w:vMerge/>
          </w:tcPr>
          <w:p w14:paraId="04A5D612" w14:textId="77777777" w:rsidR="0007612C" w:rsidRPr="0007612C" w:rsidRDefault="0007612C" w:rsidP="0067304A"/>
        </w:tc>
        <w:tc>
          <w:tcPr>
            <w:tcW w:w="488" w:type="pct"/>
          </w:tcPr>
          <w:p w14:paraId="6912328C" w14:textId="77777777" w:rsidR="0007612C" w:rsidRPr="0007612C" w:rsidRDefault="0007612C" w:rsidP="0067304A">
            <w:pPr>
              <w:rPr>
                <w:lang w:val="en-GB"/>
              </w:rPr>
            </w:pPr>
            <w:r w:rsidRPr="0007612C">
              <w:rPr>
                <w:lang w:val="en-GB"/>
              </w:rPr>
              <w:t>Total</w:t>
            </w:r>
          </w:p>
        </w:tc>
        <w:tc>
          <w:tcPr>
            <w:tcW w:w="625" w:type="pct"/>
          </w:tcPr>
          <w:p w14:paraId="7A2A2608" w14:textId="77777777" w:rsidR="0007612C" w:rsidRPr="0007612C" w:rsidRDefault="0007612C" w:rsidP="0067304A">
            <w:pPr>
              <w:rPr>
                <w:lang w:val="en-GB"/>
              </w:rPr>
            </w:pPr>
            <w:r w:rsidRPr="0007612C">
              <w:rPr>
                <w:lang w:val="en-GB"/>
              </w:rPr>
              <w:t>32%</w:t>
            </w:r>
          </w:p>
        </w:tc>
        <w:tc>
          <w:tcPr>
            <w:tcW w:w="922" w:type="pct"/>
          </w:tcPr>
          <w:p w14:paraId="3E0206CE" w14:textId="459A209B" w:rsidR="0007612C" w:rsidRPr="0007612C" w:rsidRDefault="0007612C" w:rsidP="0067304A">
            <w:pPr>
              <w:rPr>
                <w:lang w:val="en-GB"/>
              </w:rPr>
            </w:pPr>
            <w:r w:rsidRPr="0007612C">
              <w:rPr>
                <w:lang w:val="en-GB"/>
              </w:rPr>
              <w:t>35%</w:t>
            </w:r>
            <w:r w:rsidR="0067304A">
              <w:t xml:space="preserve"> </w:t>
            </w:r>
            <w:r w:rsidR="0067304A" w:rsidRPr="0007612C">
              <w:rPr>
                <w:rFonts w:ascii="Wingdings" w:eastAsia="Wingdings" w:hAnsi="Wingdings" w:cs="Wingdings"/>
                <w:color w:val="00B050"/>
                <w:szCs w:val="24"/>
              </w:rPr>
              <w:t>Ý</w:t>
            </w:r>
          </w:p>
        </w:tc>
        <w:tc>
          <w:tcPr>
            <w:tcW w:w="1808" w:type="pct"/>
            <w:vMerge/>
            <w:shd w:val="clear" w:color="auto" w:fill="auto"/>
          </w:tcPr>
          <w:p w14:paraId="6ECBD716" w14:textId="77777777" w:rsidR="0007612C" w:rsidRPr="0007612C" w:rsidRDefault="0007612C" w:rsidP="0067304A">
            <w:pPr>
              <w:rPr>
                <w:bCs/>
                <w:lang w:val="en-GB"/>
              </w:rPr>
            </w:pPr>
          </w:p>
        </w:tc>
      </w:tr>
      <w:tr w:rsidR="0007612C" w:rsidRPr="0007612C" w14:paraId="179FD309" w14:textId="77777777" w:rsidTr="0067304A">
        <w:trPr>
          <w:trHeight w:val="215"/>
        </w:trPr>
        <w:tc>
          <w:tcPr>
            <w:tcW w:w="1157" w:type="pct"/>
          </w:tcPr>
          <w:p w14:paraId="40175A99" w14:textId="77777777" w:rsidR="0007612C" w:rsidRPr="0007612C" w:rsidRDefault="0007612C" w:rsidP="0067304A">
            <w:pPr>
              <w:rPr>
                <w:bCs/>
                <w:lang w:val="en-GB"/>
              </w:rPr>
            </w:pPr>
            <w:r w:rsidRPr="0007612C">
              <w:rPr>
                <w:bCs/>
                <w:lang w:val="en-GB"/>
              </w:rPr>
              <w:t>Comments</w:t>
            </w:r>
          </w:p>
          <w:p w14:paraId="5AFB7A8B" w14:textId="77777777" w:rsidR="0007612C" w:rsidRPr="0007612C" w:rsidRDefault="0007612C" w:rsidP="0067304A"/>
        </w:tc>
        <w:tc>
          <w:tcPr>
            <w:tcW w:w="3843" w:type="pct"/>
            <w:gridSpan w:val="4"/>
          </w:tcPr>
          <w:p w14:paraId="7C9913F7" w14:textId="77777777" w:rsidR="0007612C" w:rsidRPr="0007612C" w:rsidRDefault="0007612C" w:rsidP="0067304A">
            <w:pPr>
              <w:rPr>
                <w:lang w:val="en-GB"/>
              </w:rPr>
            </w:pPr>
            <w:r w:rsidRPr="0007612C">
              <w:rPr>
                <w:bCs/>
                <w:lang w:val="en-GB"/>
              </w:rPr>
              <w:t>Since 1 August pharmacies are able to administer funded vaccines protecting against HPV, as well as Meningococcal B, Meningococcal ACWY and shingles. This provides communities with a wider range of vaccination opportunities, reduces demand on general practice enabling greater focus on childhood immunisations and contributes to more equitable uptake.</w:t>
            </w:r>
          </w:p>
        </w:tc>
      </w:tr>
    </w:tbl>
    <w:p w14:paraId="3CB4B1B9" w14:textId="77777777" w:rsidR="0007612C" w:rsidRDefault="0007612C" w:rsidP="00E92FE9">
      <w:pPr>
        <w:pStyle w:val="TableText"/>
      </w:pPr>
    </w:p>
    <w:tbl>
      <w:tblPr>
        <w:tblStyle w:val="TeWhatuOra"/>
        <w:tblW w:w="5000" w:type="pct"/>
        <w:tblLook w:val="0420" w:firstRow="1" w:lastRow="0" w:firstColumn="0" w:lastColumn="0" w:noHBand="0" w:noVBand="1"/>
      </w:tblPr>
      <w:tblGrid>
        <w:gridCol w:w="4969"/>
        <w:gridCol w:w="2115"/>
        <w:gridCol w:w="1227"/>
        <w:gridCol w:w="1357"/>
        <w:gridCol w:w="1361"/>
        <w:gridCol w:w="1305"/>
        <w:gridCol w:w="1413"/>
        <w:gridCol w:w="7786"/>
      </w:tblGrid>
      <w:tr w:rsidR="0067304A" w:rsidRPr="0067304A" w14:paraId="01C363E8" w14:textId="77777777" w:rsidTr="00496912">
        <w:trPr>
          <w:cnfStyle w:val="100000000000" w:firstRow="1" w:lastRow="0" w:firstColumn="0" w:lastColumn="0" w:oddVBand="0" w:evenVBand="0" w:oddHBand="0" w:evenHBand="0" w:firstRowFirstColumn="0" w:firstRowLastColumn="0" w:lastRowFirstColumn="0" w:lastRowLastColumn="0"/>
          <w:trHeight w:val="360"/>
        </w:trPr>
        <w:tc>
          <w:tcPr>
            <w:tcW w:w="1154" w:type="pct"/>
          </w:tcPr>
          <w:p w14:paraId="64D174AC" w14:textId="77777777" w:rsidR="0067304A" w:rsidRPr="0067304A" w:rsidRDefault="0067304A" w:rsidP="0067304A">
            <w:r w:rsidRPr="0067304A">
              <w:rPr>
                <w:lang w:val="en-GB"/>
              </w:rPr>
              <w:t>Measure</w:t>
            </w:r>
          </w:p>
        </w:tc>
        <w:tc>
          <w:tcPr>
            <w:tcW w:w="491" w:type="pct"/>
          </w:tcPr>
          <w:p w14:paraId="5275C72B" w14:textId="77777777" w:rsidR="0067304A" w:rsidRPr="0067304A" w:rsidRDefault="0067304A" w:rsidP="0067304A">
            <w:pPr>
              <w:rPr>
                <w:lang w:val="en-GB"/>
              </w:rPr>
            </w:pPr>
            <w:r w:rsidRPr="0067304A">
              <w:rPr>
                <w:bCs/>
                <w:lang w:val="en-GB"/>
              </w:rPr>
              <w:t>Ethnic Group</w:t>
            </w:r>
          </w:p>
        </w:tc>
        <w:tc>
          <w:tcPr>
            <w:tcW w:w="285" w:type="pct"/>
          </w:tcPr>
          <w:p w14:paraId="0B66B0EA" w14:textId="77777777" w:rsidR="0067304A" w:rsidRPr="0067304A" w:rsidRDefault="0067304A" w:rsidP="0067304A">
            <w:pPr>
              <w:rPr>
                <w:lang w:val="en-GB"/>
              </w:rPr>
            </w:pPr>
            <w:r w:rsidRPr="0067304A">
              <w:rPr>
                <w:lang w:val="en-GB"/>
              </w:rPr>
              <w:t>Q1</w:t>
            </w:r>
          </w:p>
          <w:p w14:paraId="7D9DB0E2" w14:textId="77777777" w:rsidR="0067304A" w:rsidRPr="0067304A" w:rsidRDefault="0067304A" w:rsidP="0067304A">
            <w:pPr>
              <w:rPr>
                <w:lang w:val="en-GB"/>
              </w:rPr>
            </w:pPr>
            <w:r w:rsidRPr="0067304A">
              <w:rPr>
                <w:lang w:val="en-GB"/>
              </w:rPr>
              <w:t>2022-23</w:t>
            </w:r>
          </w:p>
        </w:tc>
        <w:tc>
          <w:tcPr>
            <w:tcW w:w="315" w:type="pct"/>
          </w:tcPr>
          <w:p w14:paraId="2597D0EE" w14:textId="77777777" w:rsidR="0067304A" w:rsidRPr="0067304A" w:rsidRDefault="0067304A" w:rsidP="0067304A">
            <w:pPr>
              <w:rPr>
                <w:lang w:val="en-GB"/>
              </w:rPr>
            </w:pPr>
            <w:r w:rsidRPr="0067304A">
              <w:rPr>
                <w:lang w:val="en-GB"/>
              </w:rPr>
              <w:t>Q2</w:t>
            </w:r>
          </w:p>
          <w:p w14:paraId="4C36F3A1" w14:textId="77777777" w:rsidR="0067304A" w:rsidRPr="0067304A" w:rsidRDefault="0067304A" w:rsidP="0067304A">
            <w:pPr>
              <w:rPr>
                <w:lang w:val="en-GB"/>
              </w:rPr>
            </w:pPr>
            <w:r w:rsidRPr="0067304A">
              <w:rPr>
                <w:lang w:val="en-GB"/>
              </w:rPr>
              <w:t>2022-23</w:t>
            </w:r>
          </w:p>
        </w:tc>
        <w:tc>
          <w:tcPr>
            <w:tcW w:w="316" w:type="pct"/>
          </w:tcPr>
          <w:p w14:paraId="732D5807" w14:textId="77777777" w:rsidR="0067304A" w:rsidRPr="0067304A" w:rsidRDefault="0067304A" w:rsidP="0067304A">
            <w:pPr>
              <w:rPr>
                <w:lang w:val="en-GB"/>
              </w:rPr>
            </w:pPr>
            <w:r w:rsidRPr="0067304A">
              <w:rPr>
                <w:lang w:val="en-GB"/>
              </w:rPr>
              <w:t>Q3</w:t>
            </w:r>
          </w:p>
          <w:p w14:paraId="2D96FE01" w14:textId="77777777" w:rsidR="0067304A" w:rsidRPr="0067304A" w:rsidRDefault="0067304A" w:rsidP="0067304A">
            <w:pPr>
              <w:rPr>
                <w:lang w:val="en-GB"/>
              </w:rPr>
            </w:pPr>
            <w:r w:rsidRPr="0067304A">
              <w:rPr>
                <w:lang w:val="en-GB"/>
              </w:rPr>
              <w:t>2022-23</w:t>
            </w:r>
          </w:p>
        </w:tc>
        <w:tc>
          <w:tcPr>
            <w:tcW w:w="303" w:type="pct"/>
          </w:tcPr>
          <w:p w14:paraId="149B30C7" w14:textId="77777777" w:rsidR="0067304A" w:rsidRPr="0067304A" w:rsidRDefault="0067304A" w:rsidP="0067304A">
            <w:pPr>
              <w:rPr>
                <w:lang w:val="en-GB"/>
              </w:rPr>
            </w:pPr>
            <w:r w:rsidRPr="0067304A">
              <w:rPr>
                <w:lang w:val="en-GB"/>
              </w:rPr>
              <w:t>Q4</w:t>
            </w:r>
          </w:p>
          <w:p w14:paraId="20AAEF8D" w14:textId="77777777" w:rsidR="0067304A" w:rsidRPr="0067304A" w:rsidRDefault="0067304A" w:rsidP="0067304A">
            <w:pPr>
              <w:rPr>
                <w:lang w:val="en-GB"/>
              </w:rPr>
            </w:pPr>
            <w:r w:rsidRPr="0067304A">
              <w:rPr>
                <w:lang w:val="en-GB"/>
              </w:rPr>
              <w:t>2022-23</w:t>
            </w:r>
          </w:p>
        </w:tc>
        <w:tc>
          <w:tcPr>
            <w:tcW w:w="328" w:type="pct"/>
          </w:tcPr>
          <w:p w14:paraId="58B4C2F9" w14:textId="77777777" w:rsidR="0067304A" w:rsidRPr="0067304A" w:rsidRDefault="0067304A" w:rsidP="0067304A">
            <w:pPr>
              <w:rPr>
                <w:lang w:val="en-GB"/>
              </w:rPr>
            </w:pPr>
            <w:r w:rsidRPr="0067304A">
              <w:rPr>
                <w:lang w:val="en-GB"/>
              </w:rPr>
              <w:t>Q1</w:t>
            </w:r>
          </w:p>
          <w:p w14:paraId="29A8A0A0" w14:textId="77777777" w:rsidR="0067304A" w:rsidRPr="0067304A" w:rsidRDefault="0067304A" w:rsidP="0067304A">
            <w:pPr>
              <w:rPr>
                <w:lang w:val="en-GB"/>
              </w:rPr>
            </w:pPr>
            <w:r w:rsidRPr="0067304A">
              <w:rPr>
                <w:lang w:val="en-GB"/>
              </w:rPr>
              <w:t>2023-24</w:t>
            </w:r>
          </w:p>
        </w:tc>
        <w:tc>
          <w:tcPr>
            <w:tcW w:w="1808" w:type="pct"/>
            <w:vMerge w:val="restart"/>
            <w:shd w:val="clear" w:color="auto" w:fill="auto"/>
          </w:tcPr>
          <w:p w14:paraId="4526EF9E" w14:textId="77777777" w:rsidR="0067304A" w:rsidRPr="0067304A" w:rsidRDefault="0067304A" w:rsidP="0067304A">
            <w:pPr>
              <w:rPr>
                <w:lang w:val="en-GB"/>
              </w:rPr>
            </w:pPr>
            <w:r w:rsidRPr="0067304A">
              <w:rPr>
                <w:noProof/>
                <w:lang w:val="en-GB"/>
              </w:rPr>
              <w:drawing>
                <wp:inline distT="0" distB="0" distL="0" distR="0" wp14:anchorId="0A2330F0" wp14:editId="5EEB1127">
                  <wp:extent cx="4810539" cy="2695603"/>
                  <wp:effectExtent l="0" t="0" r="0" b="0"/>
                  <wp:docPr id="236" name="Chart 236" descr="Chart showing Rate (per 100,000) of hospital admissions for children under five years of age for an illness that might have been prevented or better managed."/>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67304A" w:rsidRPr="0067304A" w14:paraId="718A7352" w14:textId="77777777" w:rsidTr="00496912">
        <w:trPr>
          <w:trHeight w:val="765"/>
        </w:trPr>
        <w:tc>
          <w:tcPr>
            <w:tcW w:w="1154" w:type="pct"/>
            <w:vMerge w:val="restart"/>
            <w:hideMark/>
          </w:tcPr>
          <w:p w14:paraId="3FDC7726" w14:textId="77777777" w:rsidR="0067304A" w:rsidRPr="0067304A" w:rsidRDefault="0067304A" w:rsidP="0067304A">
            <w:pPr>
              <w:rPr>
                <w:vertAlign w:val="superscript"/>
              </w:rPr>
            </w:pPr>
            <w:r w:rsidRPr="0067304A">
              <w:t xml:space="preserve">Rate (per 100,000) of hospital admissions for children under five years of age for an illness that might have been prevented or better managed </w:t>
            </w:r>
            <w:r w:rsidRPr="0067304A">
              <w:rPr>
                <w:vertAlign w:val="superscript"/>
              </w:rPr>
              <w:t>2,10,11</w:t>
            </w:r>
            <w:r w:rsidRPr="0067304A">
              <w:t>.</w:t>
            </w:r>
          </w:p>
          <w:p w14:paraId="07D3CBAC" w14:textId="77777777" w:rsidR="0067304A" w:rsidRPr="0067304A" w:rsidRDefault="0067304A" w:rsidP="0067304A"/>
          <w:p w14:paraId="633927F3" w14:textId="77777777" w:rsidR="0067304A" w:rsidRPr="0067304A" w:rsidRDefault="0067304A" w:rsidP="0067304A">
            <w:r w:rsidRPr="0067304A">
              <w:t>Target: Improve from baseline (trend to decrease)</w:t>
            </w:r>
          </w:p>
        </w:tc>
        <w:tc>
          <w:tcPr>
            <w:tcW w:w="491" w:type="pct"/>
            <w:hideMark/>
          </w:tcPr>
          <w:p w14:paraId="22BE8466" w14:textId="77777777" w:rsidR="0067304A" w:rsidRPr="0067304A" w:rsidRDefault="0067304A" w:rsidP="0067304A">
            <w:pPr>
              <w:rPr>
                <w:lang w:val="en-GB"/>
              </w:rPr>
            </w:pPr>
            <w:r w:rsidRPr="0067304A">
              <w:rPr>
                <w:lang w:val="en-GB"/>
              </w:rPr>
              <w:t>Māori</w:t>
            </w:r>
          </w:p>
        </w:tc>
        <w:tc>
          <w:tcPr>
            <w:tcW w:w="285" w:type="pct"/>
          </w:tcPr>
          <w:p w14:paraId="01E9FED9" w14:textId="77777777" w:rsidR="0067304A" w:rsidRPr="0067304A" w:rsidRDefault="0067304A" w:rsidP="0067304A">
            <w:pPr>
              <w:rPr>
                <w:lang w:val="en-GB"/>
              </w:rPr>
            </w:pPr>
            <w:r w:rsidRPr="0067304A">
              <w:rPr>
                <w:lang w:val="en-GB"/>
              </w:rPr>
              <w:t>7,078</w:t>
            </w:r>
          </w:p>
        </w:tc>
        <w:tc>
          <w:tcPr>
            <w:tcW w:w="315" w:type="pct"/>
          </w:tcPr>
          <w:p w14:paraId="08E26A61" w14:textId="01D1909E" w:rsidR="0067304A" w:rsidRPr="0067304A" w:rsidRDefault="0067304A" w:rsidP="0067304A">
            <w:pPr>
              <w:rPr>
                <w:lang w:val="en-GB"/>
              </w:rPr>
            </w:pPr>
            <w:r w:rsidRPr="0067304A">
              <w:rPr>
                <w:lang w:val="en-GB"/>
              </w:rPr>
              <w:t>7,662</w:t>
            </w:r>
            <w:r>
              <w:t xml:space="preserve"> </w:t>
            </w:r>
            <w:r w:rsidRPr="0067304A" w:rsidDel="002D0B14">
              <w:rPr>
                <w:rFonts w:ascii="Wingdings" w:eastAsia="Wingdings" w:hAnsi="Wingdings" w:cs="Wingdings"/>
                <w:color w:val="FF0000"/>
                <w:szCs w:val="24"/>
              </w:rPr>
              <w:t>Ý</w:t>
            </w:r>
          </w:p>
        </w:tc>
        <w:tc>
          <w:tcPr>
            <w:tcW w:w="316" w:type="pct"/>
          </w:tcPr>
          <w:p w14:paraId="7117D0C5" w14:textId="1050E9FD" w:rsidR="0067304A" w:rsidRPr="0067304A" w:rsidRDefault="0067304A" w:rsidP="0067304A">
            <w:pPr>
              <w:rPr>
                <w:lang w:val="en-GB"/>
              </w:rPr>
            </w:pPr>
            <w:r w:rsidRPr="0067304A">
              <w:rPr>
                <w:lang w:val="en-GB"/>
              </w:rPr>
              <w:t>8,022</w:t>
            </w:r>
            <w:r>
              <w:t xml:space="preserve"> </w:t>
            </w:r>
            <w:r w:rsidRPr="0067304A" w:rsidDel="002D0B14">
              <w:rPr>
                <w:rFonts w:ascii="Wingdings" w:eastAsia="Wingdings" w:hAnsi="Wingdings" w:cs="Wingdings"/>
                <w:color w:val="FF0000"/>
                <w:szCs w:val="24"/>
              </w:rPr>
              <w:t>Ý</w:t>
            </w:r>
          </w:p>
        </w:tc>
        <w:tc>
          <w:tcPr>
            <w:tcW w:w="303" w:type="pct"/>
          </w:tcPr>
          <w:p w14:paraId="39B11BFB" w14:textId="3A57C0BF" w:rsidR="0067304A" w:rsidRPr="0067304A" w:rsidRDefault="0067304A" w:rsidP="0067304A">
            <w:pPr>
              <w:rPr>
                <w:lang w:val="en-GB"/>
              </w:rPr>
            </w:pPr>
            <w:r w:rsidRPr="0067304A">
              <w:rPr>
                <w:lang w:val="en-GB"/>
              </w:rPr>
              <w:t>8,192</w:t>
            </w:r>
            <w:r>
              <w:t xml:space="preserve"> </w:t>
            </w:r>
            <w:r w:rsidRPr="0067304A" w:rsidDel="002D0B14">
              <w:rPr>
                <w:rFonts w:ascii="Wingdings" w:eastAsia="Wingdings" w:hAnsi="Wingdings" w:cs="Wingdings"/>
                <w:color w:val="FF0000"/>
                <w:szCs w:val="24"/>
              </w:rPr>
              <w:t>Ý</w:t>
            </w:r>
          </w:p>
        </w:tc>
        <w:tc>
          <w:tcPr>
            <w:tcW w:w="328" w:type="pct"/>
          </w:tcPr>
          <w:p w14:paraId="5A8B31A4" w14:textId="3A7B15F3" w:rsidR="0067304A" w:rsidRPr="0067304A" w:rsidRDefault="0067304A" w:rsidP="0067304A">
            <w:pPr>
              <w:rPr>
                <w:lang w:val="en-GB"/>
              </w:rPr>
            </w:pPr>
            <w:r w:rsidRPr="0067304A">
              <w:rPr>
                <w:lang w:val="en-GB"/>
              </w:rPr>
              <w:t>8,067</w:t>
            </w:r>
            <w:r w:rsidR="00866A34">
              <w:rPr>
                <w:lang w:val="en-GB"/>
              </w:rPr>
              <w:t xml:space="preserve"> </w:t>
            </w:r>
            <w:r w:rsidRPr="0067304A">
              <w:rPr>
                <w:rFonts w:ascii="Wingdings" w:eastAsia="Wingdings" w:hAnsi="Wingdings" w:cs="Calibri"/>
                <w:color w:val="00B050"/>
                <w:szCs w:val="24"/>
                <w:lang w:val="en-GB" w:eastAsia="en-NZ"/>
              </w:rPr>
              <w:t>Þ</w:t>
            </w:r>
          </w:p>
        </w:tc>
        <w:tc>
          <w:tcPr>
            <w:tcW w:w="1808" w:type="pct"/>
            <w:vMerge/>
            <w:shd w:val="clear" w:color="auto" w:fill="auto"/>
          </w:tcPr>
          <w:p w14:paraId="28FC4908" w14:textId="77777777" w:rsidR="0067304A" w:rsidRPr="0067304A" w:rsidRDefault="0067304A" w:rsidP="0067304A">
            <w:pPr>
              <w:rPr>
                <w:lang w:val="en-GB"/>
              </w:rPr>
            </w:pPr>
          </w:p>
        </w:tc>
      </w:tr>
      <w:tr w:rsidR="0067304A" w:rsidRPr="0067304A" w14:paraId="0E7607D1" w14:textId="77777777" w:rsidTr="00496912">
        <w:trPr>
          <w:trHeight w:val="691"/>
        </w:trPr>
        <w:tc>
          <w:tcPr>
            <w:tcW w:w="1154" w:type="pct"/>
            <w:vMerge/>
            <w:hideMark/>
          </w:tcPr>
          <w:p w14:paraId="67771290" w14:textId="77777777" w:rsidR="0067304A" w:rsidRPr="0067304A" w:rsidRDefault="0067304A" w:rsidP="0067304A">
            <w:pPr>
              <w:rPr>
                <w:lang w:val="en-GB"/>
              </w:rPr>
            </w:pPr>
          </w:p>
        </w:tc>
        <w:tc>
          <w:tcPr>
            <w:tcW w:w="491" w:type="pct"/>
            <w:hideMark/>
          </w:tcPr>
          <w:p w14:paraId="5E100F3A" w14:textId="77777777" w:rsidR="0067304A" w:rsidRPr="0067304A" w:rsidRDefault="0067304A" w:rsidP="0067304A">
            <w:pPr>
              <w:rPr>
                <w:lang w:val="en-GB"/>
              </w:rPr>
            </w:pPr>
            <w:r w:rsidRPr="0067304A">
              <w:rPr>
                <w:lang w:val="en-GB"/>
              </w:rPr>
              <w:t>Pacific</w:t>
            </w:r>
          </w:p>
        </w:tc>
        <w:tc>
          <w:tcPr>
            <w:tcW w:w="285" w:type="pct"/>
          </w:tcPr>
          <w:p w14:paraId="29251A02" w14:textId="77777777" w:rsidR="0067304A" w:rsidRPr="0067304A" w:rsidRDefault="0067304A" w:rsidP="0067304A">
            <w:pPr>
              <w:rPr>
                <w:lang w:val="en-GB"/>
              </w:rPr>
            </w:pPr>
            <w:r w:rsidRPr="0067304A">
              <w:rPr>
                <w:lang w:val="en-GB"/>
              </w:rPr>
              <w:t>11,743</w:t>
            </w:r>
          </w:p>
        </w:tc>
        <w:tc>
          <w:tcPr>
            <w:tcW w:w="315" w:type="pct"/>
          </w:tcPr>
          <w:p w14:paraId="0F6394D3" w14:textId="7B9FAEB6" w:rsidR="0067304A" w:rsidRPr="0067304A" w:rsidRDefault="0067304A" w:rsidP="0067304A">
            <w:pPr>
              <w:rPr>
                <w:lang w:val="en-GB"/>
              </w:rPr>
            </w:pPr>
            <w:r w:rsidRPr="0067304A">
              <w:rPr>
                <w:lang w:val="en-GB"/>
              </w:rPr>
              <w:t>12,865</w:t>
            </w:r>
            <w:r w:rsidR="00866A34">
              <w:rPr>
                <w:lang w:val="en-GB"/>
              </w:rPr>
              <w:t xml:space="preserve"> </w:t>
            </w:r>
            <w:r w:rsidRPr="0067304A" w:rsidDel="002D0B14">
              <w:rPr>
                <w:rFonts w:ascii="Wingdings" w:eastAsia="Wingdings" w:hAnsi="Wingdings" w:cs="Wingdings"/>
                <w:color w:val="FF0000"/>
                <w:szCs w:val="24"/>
              </w:rPr>
              <w:t>Ý</w:t>
            </w:r>
            <w:r>
              <w:t xml:space="preserve"> </w:t>
            </w:r>
          </w:p>
        </w:tc>
        <w:tc>
          <w:tcPr>
            <w:tcW w:w="316" w:type="pct"/>
          </w:tcPr>
          <w:p w14:paraId="7A510AD0" w14:textId="0F006969" w:rsidR="0067304A" w:rsidRPr="0067304A" w:rsidRDefault="0067304A" w:rsidP="0067304A">
            <w:pPr>
              <w:rPr>
                <w:lang w:val="en-GB"/>
              </w:rPr>
            </w:pPr>
            <w:r w:rsidRPr="0067304A">
              <w:rPr>
                <w:lang w:val="en-GB"/>
              </w:rPr>
              <w:t>14,038</w:t>
            </w:r>
            <w:r>
              <w:t xml:space="preserve"> </w:t>
            </w:r>
            <w:r w:rsidRPr="0067304A" w:rsidDel="002D0B14">
              <w:rPr>
                <w:rFonts w:ascii="Wingdings" w:eastAsia="Wingdings" w:hAnsi="Wingdings" w:cs="Wingdings"/>
                <w:color w:val="FF0000"/>
                <w:szCs w:val="24"/>
              </w:rPr>
              <w:t>Ý</w:t>
            </w:r>
          </w:p>
        </w:tc>
        <w:tc>
          <w:tcPr>
            <w:tcW w:w="303" w:type="pct"/>
          </w:tcPr>
          <w:p w14:paraId="1218B531" w14:textId="676440D4" w:rsidR="0067304A" w:rsidRPr="0067304A" w:rsidRDefault="0067304A" w:rsidP="0067304A">
            <w:pPr>
              <w:rPr>
                <w:lang w:val="en-GB"/>
              </w:rPr>
            </w:pPr>
            <w:r w:rsidRPr="0067304A">
              <w:rPr>
                <w:lang w:val="en-GB"/>
              </w:rPr>
              <w:t>14,639</w:t>
            </w:r>
            <w:r>
              <w:t xml:space="preserve"> </w:t>
            </w:r>
            <w:r w:rsidRPr="0067304A" w:rsidDel="002D0B14">
              <w:rPr>
                <w:rFonts w:ascii="Wingdings" w:eastAsia="Wingdings" w:hAnsi="Wingdings" w:cs="Wingdings"/>
                <w:color w:val="FF0000"/>
                <w:szCs w:val="24"/>
              </w:rPr>
              <w:t>Ý</w:t>
            </w:r>
          </w:p>
        </w:tc>
        <w:tc>
          <w:tcPr>
            <w:tcW w:w="328" w:type="pct"/>
          </w:tcPr>
          <w:p w14:paraId="58EBD45E" w14:textId="5269C42E" w:rsidR="0067304A" w:rsidRPr="0067304A" w:rsidRDefault="0067304A" w:rsidP="0067304A">
            <w:pPr>
              <w:rPr>
                <w:lang w:val="en-GB"/>
              </w:rPr>
            </w:pPr>
            <w:r w:rsidRPr="0067304A">
              <w:rPr>
                <w:lang w:val="en-GB"/>
              </w:rPr>
              <w:t>15,124</w:t>
            </w:r>
            <w:r>
              <w:t xml:space="preserve"> </w:t>
            </w:r>
            <w:r w:rsidRPr="0067304A" w:rsidDel="002D0B14">
              <w:rPr>
                <w:rFonts w:ascii="Wingdings" w:eastAsia="Wingdings" w:hAnsi="Wingdings" w:cs="Wingdings"/>
                <w:color w:val="FF0000"/>
                <w:szCs w:val="24"/>
              </w:rPr>
              <w:t>Ý</w:t>
            </w:r>
          </w:p>
        </w:tc>
        <w:tc>
          <w:tcPr>
            <w:tcW w:w="1808" w:type="pct"/>
            <w:vMerge/>
            <w:shd w:val="clear" w:color="auto" w:fill="auto"/>
          </w:tcPr>
          <w:p w14:paraId="6A3F037F" w14:textId="77777777" w:rsidR="0067304A" w:rsidRPr="0067304A" w:rsidRDefault="0067304A" w:rsidP="0067304A">
            <w:pPr>
              <w:rPr>
                <w:lang w:val="en-GB"/>
              </w:rPr>
            </w:pPr>
          </w:p>
        </w:tc>
      </w:tr>
      <w:tr w:rsidR="0067304A" w:rsidRPr="0067304A" w14:paraId="1DCB7CE1" w14:textId="77777777" w:rsidTr="00496912">
        <w:trPr>
          <w:trHeight w:val="842"/>
        </w:trPr>
        <w:tc>
          <w:tcPr>
            <w:tcW w:w="1154" w:type="pct"/>
            <w:vMerge/>
          </w:tcPr>
          <w:p w14:paraId="611686E2" w14:textId="77777777" w:rsidR="0067304A" w:rsidRPr="0067304A" w:rsidRDefault="0067304A" w:rsidP="0067304A">
            <w:pPr>
              <w:rPr>
                <w:lang w:val="en-GB"/>
              </w:rPr>
            </w:pPr>
          </w:p>
        </w:tc>
        <w:tc>
          <w:tcPr>
            <w:tcW w:w="491" w:type="pct"/>
          </w:tcPr>
          <w:p w14:paraId="38418184" w14:textId="602EB4AD" w:rsidR="0067304A" w:rsidRPr="0067304A" w:rsidRDefault="0067304A" w:rsidP="0067304A">
            <w:pPr>
              <w:rPr>
                <w:lang w:val="en-GB"/>
              </w:rPr>
            </w:pPr>
            <w:r w:rsidRPr="0067304A">
              <w:rPr>
                <w:lang w:val="en-GB"/>
              </w:rPr>
              <w:t xml:space="preserve">European/Asian/ </w:t>
            </w:r>
            <w:r w:rsidR="009E072E">
              <w:rPr>
                <w:lang w:val="en-GB"/>
              </w:rPr>
              <w:t>all</w:t>
            </w:r>
            <w:r w:rsidRPr="0067304A">
              <w:rPr>
                <w:lang w:val="en-GB"/>
              </w:rPr>
              <w:t xml:space="preserve"> other ethnicities</w:t>
            </w:r>
          </w:p>
        </w:tc>
        <w:tc>
          <w:tcPr>
            <w:tcW w:w="285" w:type="pct"/>
          </w:tcPr>
          <w:p w14:paraId="441270A1" w14:textId="77777777" w:rsidR="0067304A" w:rsidRPr="0067304A" w:rsidRDefault="0067304A" w:rsidP="0067304A">
            <w:pPr>
              <w:rPr>
                <w:lang w:val="en-GB"/>
              </w:rPr>
            </w:pPr>
            <w:r w:rsidRPr="0067304A">
              <w:rPr>
                <w:lang w:val="en-GB"/>
              </w:rPr>
              <w:t>5,075</w:t>
            </w:r>
          </w:p>
        </w:tc>
        <w:tc>
          <w:tcPr>
            <w:tcW w:w="315" w:type="pct"/>
          </w:tcPr>
          <w:p w14:paraId="1277BBDD" w14:textId="17AD3389" w:rsidR="0067304A" w:rsidRPr="0067304A" w:rsidRDefault="0067304A" w:rsidP="0067304A">
            <w:pPr>
              <w:rPr>
                <w:lang w:val="en-GB"/>
              </w:rPr>
            </w:pPr>
            <w:r w:rsidRPr="0067304A">
              <w:rPr>
                <w:lang w:val="en-GB"/>
              </w:rPr>
              <w:t>6,010</w:t>
            </w:r>
            <w:r>
              <w:t xml:space="preserve"> </w:t>
            </w:r>
            <w:r w:rsidRPr="0067304A" w:rsidDel="002D0B14">
              <w:rPr>
                <w:rFonts w:ascii="Wingdings" w:eastAsia="Wingdings" w:hAnsi="Wingdings" w:cs="Wingdings"/>
                <w:color w:val="FF0000"/>
                <w:szCs w:val="24"/>
              </w:rPr>
              <w:t>Ý</w:t>
            </w:r>
          </w:p>
        </w:tc>
        <w:tc>
          <w:tcPr>
            <w:tcW w:w="316" w:type="pct"/>
          </w:tcPr>
          <w:p w14:paraId="166ECBEE" w14:textId="34324CE4" w:rsidR="0067304A" w:rsidRPr="0067304A" w:rsidRDefault="0067304A" w:rsidP="0067304A">
            <w:pPr>
              <w:rPr>
                <w:lang w:val="en-GB"/>
              </w:rPr>
            </w:pPr>
            <w:r w:rsidRPr="0067304A">
              <w:rPr>
                <w:lang w:val="en-GB"/>
              </w:rPr>
              <w:t>6,475</w:t>
            </w:r>
            <w:r>
              <w:t xml:space="preserve"> </w:t>
            </w:r>
            <w:r w:rsidRPr="0067304A" w:rsidDel="002D0B14">
              <w:rPr>
                <w:rFonts w:ascii="Wingdings" w:eastAsia="Wingdings" w:hAnsi="Wingdings" w:cs="Wingdings"/>
                <w:color w:val="FF0000"/>
                <w:szCs w:val="24"/>
              </w:rPr>
              <w:t>Ý</w:t>
            </w:r>
          </w:p>
        </w:tc>
        <w:tc>
          <w:tcPr>
            <w:tcW w:w="303" w:type="pct"/>
          </w:tcPr>
          <w:p w14:paraId="3392173E" w14:textId="53150D1F" w:rsidR="0067304A" w:rsidRPr="0067304A" w:rsidRDefault="0067304A" w:rsidP="0067304A">
            <w:pPr>
              <w:rPr>
                <w:lang w:val="en-GB"/>
              </w:rPr>
            </w:pPr>
            <w:r w:rsidRPr="0067304A">
              <w:rPr>
                <w:lang w:val="en-GB"/>
              </w:rPr>
              <w:t>6,616</w:t>
            </w:r>
            <w:r>
              <w:t xml:space="preserve"> </w:t>
            </w:r>
            <w:r w:rsidRPr="0067304A" w:rsidDel="002D0B14">
              <w:rPr>
                <w:rFonts w:ascii="Wingdings" w:eastAsia="Wingdings" w:hAnsi="Wingdings" w:cs="Wingdings"/>
                <w:color w:val="FF0000"/>
                <w:szCs w:val="24"/>
              </w:rPr>
              <w:t>Ý</w:t>
            </w:r>
          </w:p>
        </w:tc>
        <w:tc>
          <w:tcPr>
            <w:tcW w:w="328" w:type="pct"/>
          </w:tcPr>
          <w:p w14:paraId="06927EB1" w14:textId="082440E7" w:rsidR="0067304A" w:rsidRPr="0067304A" w:rsidRDefault="0067304A" w:rsidP="0067304A">
            <w:pPr>
              <w:rPr>
                <w:lang w:val="en-GB"/>
              </w:rPr>
            </w:pPr>
            <w:r w:rsidRPr="0067304A">
              <w:rPr>
                <w:lang w:val="en-GB"/>
              </w:rPr>
              <w:t>6,470</w:t>
            </w:r>
            <w:r>
              <w:rPr>
                <w:lang w:val="en-GB"/>
              </w:rPr>
              <w:t xml:space="preserve"> </w:t>
            </w:r>
            <w:r w:rsidRPr="0067304A">
              <w:rPr>
                <w:rFonts w:ascii="Wingdings" w:eastAsia="Wingdings" w:hAnsi="Wingdings" w:cs="Calibri"/>
                <w:color w:val="00B050"/>
                <w:szCs w:val="24"/>
                <w:lang w:val="en-GB" w:eastAsia="en-NZ"/>
              </w:rPr>
              <w:t>Þ</w:t>
            </w:r>
          </w:p>
        </w:tc>
        <w:tc>
          <w:tcPr>
            <w:tcW w:w="1808" w:type="pct"/>
            <w:vMerge/>
            <w:shd w:val="clear" w:color="auto" w:fill="auto"/>
          </w:tcPr>
          <w:p w14:paraId="3D13059F" w14:textId="77777777" w:rsidR="0067304A" w:rsidRPr="0067304A" w:rsidRDefault="0067304A" w:rsidP="0067304A">
            <w:pPr>
              <w:rPr>
                <w:lang w:val="en-GB"/>
              </w:rPr>
            </w:pPr>
          </w:p>
        </w:tc>
      </w:tr>
      <w:tr w:rsidR="0067304A" w:rsidRPr="0067304A" w14:paraId="030536F1" w14:textId="77777777" w:rsidTr="00496912">
        <w:trPr>
          <w:trHeight w:val="840"/>
        </w:trPr>
        <w:tc>
          <w:tcPr>
            <w:tcW w:w="1154" w:type="pct"/>
            <w:vMerge/>
            <w:hideMark/>
          </w:tcPr>
          <w:p w14:paraId="22828E98" w14:textId="77777777" w:rsidR="0067304A" w:rsidRPr="0067304A" w:rsidRDefault="0067304A" w:rsidP="0067304A">
            <w:pPr>
              <w:rPr>
                <w:lang w:val="en-GB"/>
              </w:rPr>
            </w:pPr>
          </w:p>
        </w:tc>
        <w:tc>
          <w:tcPr>
            <w:tcW w:w="491" w:type="pct"/>
            <w:hideMark/>
          </w:tcPr>
          <w:p w14:paraId="05A5224E" w14:textId="77777777" w:rsidR="0067304A" w:rsidRPr="0067304A" w:rsidRDefault="0067304A" w:rsidP="0067304A">
            <w:pPr>
              <w:rPr>
                <w:lang w:val="en-GB"/>
              </w:rPr>
            </w:pPr>
            <w:r w:rsidRPr="0067304A">
              <w:rPr>
                <w:lang w:val="en-GB"/>
              </w:rPr>
              <w:t>Total</w:t>
            </w:r>
          </w:p>
        </w:tc>
        <w:tc>
          <w:tcPr>
            <w:tcW w:w="285" w:type="pct"/>
          </w:tcPr>
          <w:p w14:paraId="2B21CFF2" w14:textId="77777777" w:rsidR="0067304A" w:rsidRPr="0067304A" w:rsidRDefault="0067304A" w:rsidP="0067304A">
            <w:pPr>
              <w:rPr>
                <w:lang w:val="en-GB"/>
              </w:rPr>
            </w:pPr>
            <w:r w:rsidRPr="0067304A">
              <w:rPr>
                <w:lang w:val="en-GB"/>
              </w:rPr>
              <w:t>6,183</w:t>
            </w:r>
          </w:p>
        </w:tc>
        <w:tc>
          <w:tcPr>
            <w:tcW w:w="315" w:type="pct"/>
          </w:tcPr>
          <w:p w14:paraId="4B3346F0" w14:textId="0B958963" w:rsidR="0067304A" w:rsidRPr="0067304A" w:rsidRDefault="0067304A" w:rsidP="0067304A">
            <w:pPr>
              <w:rPr>
                <w:lang w:val="en-GB"/>
              </w:rPr>
            </w:pPr>
            <w:r w:rsidRPr="0067304A">
              <w:rPr>
                <w:lang w:val="en-GB"/>
              </w:rPr>
              <w:t>7,068</w:t>
            </w:r>
            <w:r>
              <w:t xml:space="preserve"> </w:t>
            </w:r>
            <w:r w:rsidRPr="0067304A" w:rsidDel="002D0B14">
              <w:rPr>
                <w:rFonts w:ascii="Wingdings" w:eastAsia="Wingdings" w:hAnsi="Wingdings" w:cs="Wingdings"/>
                <w:color w:val="FF0000"/>
                <w:szCs w:val="24"/>
              </w:rPr>
              <w:t>Ý</w:t>
            </w:r>
          </w:p>
        </w:tc>
        <w:tc>
          <w:tcPr>
            <w:tcW w:w="316" w:type="pct"/>
          </w:tcPr>
          <w:p w14:paraId="09353EBB" w14:textId="6C72BB7C" w:rsidR="0067304A" w:rsidRPr="0067304A" w:rsidRDefault="0067304A" w:rsidP="0067304A">
            <w:pPr>
              <w:rPr>
                <w:lang w:val="en-GB"/>
              </w:rPr>
            </w:pPr>
            <w:r w:rsidRPr="0067304A">
              <w:rPr>
                <w:lang w:val="en-GB"/>
              </w:rPr>
              <w:t>7,564</w:t>
            </w:r>
            <w:r>
              <w:t xml:space="preserve"> </w:t>
            </w:r>
            <w:r w:rsidRPr="0067304A" w:rsidDel="002D0B14">
              <w:rPr>
                <w:rFonts w:ascii="Wingdings" w:eastAsia="Wingdings" w:hAnsi="Wingdings" w:cs="Wingdings"/>
                <w:color w:val="FF0000"/>
                <w:szCs w:val="24"/>
              </w:rPr>
              <w:t>Ý</w:t>
            </w:r>
          </w:p>
        </w:tc>
        <w:tc>
          <w:tcPr>
            <w:tcW w:w="303" w:type="pct"/>
          </w:tcPr>
          <w:p w14:paraId="5AB441BB" w14:textId="0A82E4BF" w:rsidR="0067304A" w:rsidRPr="0067304A" w:rsidRDefault="0067304A" w:rsidP="0067304A">
            <w:pPr>
              <w:rPr>
                <w:lang w:val="en-GB"/>
              </w:rPr>
            </w:pPr>
            <w:r w:rsidRPr="0067304A">
              <w:rPr>
                <w:lang w:val="en-GB"/>
              </w:rPr>
              <w:t>7,752</w:t>
            </w:r>
            <w:r>
              <w:t xml:space="preserve"> </w:t>
            </w:r>
            <w:r w:rsidRPr="0067304A" w:rsidDel="002D0B14">
              <w:rPr>
                <w:rFonts w:ascii="Wingdings" w:eastAsia="Wingdings" w:hAnsi="Wingdings" w:cs="Wingdings"/>
                <w:color w:val="FF0000"/>
                <w:szCs w:val="24"/>
              </w:rPr>
              <w:t>Ý</w:t>
            </w:r>
          </w:p>
        </w:tc>
        <w:tc>
          <w:tcPr>
            <w:tcW w:w="328" w:type="pct"/>
          </w:tcPr>
          <w:p w14:paraId="504A8CCE" w14:textId="718FE5AB" w:rsidR="0067304A" w:rsidRPr="0067304A" w:rsidRDefault="0067304A" w:rsidP="0067304A">
            <w:pPr>
              <w:rPr>
                <w:lang w:val="en-GB"/>
              </w:rPr>
            </w:pPr>
            <w:r w:rsidRPr="0067304A">
              <w:rPr>
                <w:lang w:val="en-GB"/>
              </w:rPr>
              <w:t>7,635</w:t>
            </w:r>
            <w:r>
              <w:rPr>
                <w:lang w:val="en-GB"/>
              </w:rPr>
              <w:t xml:space="preserve"> </w:t>
            </w:r>
            <w:r w:rsidRPr="0067304A">
              <w:rPr>
                <w:rFonts w:ascii="Wingdings" w:eastAsia="Wingdings" w:hAnsi="Wingdings" w:cs="Calibri"/>
                <w:color w:val="00B050"/>
                <w:szCs w:val="24"/>
                <w:lang w:val="en-GB" w:eastAsia="en-NZ"/>
              </w:rPr>
              <w:t>Þ</w:t>
            </w:r>
          </w:p>
        </w:tc>
        <w:tc>
          <w:tcPr>
            <w:tcW w:w="1808" w:type="pct"/>
            <w:vMerge/>
            <w:shd w:val="clear" w:color="auto" w:fill="auto"/>
          </w:tcPr>
          <w:p w14:paraId="5708ADED" w14:textId="77777777" w:rsidR="0067304A" w:rsidRPr="0067304A" w:rsidRDefault="0067304A" w:rsidP="0067304A">
            <w:pPr>
              <w:rPr>
                <w:lang w:val="en-GB"/>
              </w:rPr>
            </w:pPr>
          </w:p>
        </w:tc>
      </w:tr>
      <w:tr w:rsidR="0067304A" w:rsidRPr="0067304A" w14:paraId="0002E54B" w14:textId="77777777" w:rsidTr="005410BD">
        <w:trPr>
          <w:trHeight w:val="300"/>
        </w:trPr>
        <w:tc>
          <w:tcPr>
            <w:tcW w:w="1154" w:type="pct"/>
          </w:tcPr>
          <w:p w14:paraId="7A1966DB" w14:textId="77777777" w:rsidR="0067304A" w:rsidRPr="0067304A" w:rsidRDefault="0067304A" w:rsidP="0067304A">
            <w:pPr>
              <w:rPr>
                <w:bCs/>
                <w:lang w:val="en-GB"/>
              </w:rPr>
            </w:pPr>
            <w:r w:rsidRPr="0067304A">
              <w:rPr>
                <w:bCs/>
                <w:lang w:val="en-GB"/>
              </w:rPr>
              <w:t>Comments</w:t>
            </w:r>
          </w:p>
        </w:tc>
        <w:tc>
          <w:tcPr>
            <w:tcW w:w="3846" w:type="pct"/>
            <w:gridSpan w:val="7"/>
          </w:tcPr>
          <w:p w14:paraId="3B8BDF50" w14:textId="77777777" w:rsidR="0067304A" w:rsidRPr="0067304A" w:rsidRDefault="0067304A" w:rsidP="0067304A">
            <w:r w:rsidRPr="0067304A">
              <w:t xml:space="preserve">The number of hospitalizations for children aged 0-4 has seen a significant rise (23%) from September 2022 to September 2023. Māori and Pacific experienced the highest increase rates in the July to September 2023 quarter compared to the same quarter in 2022. During this quarter, there was a decline in hospital admissions for both Māori and European. The Pacific region continued to have a high rate of hospital admissions. This metric is not yet available with an ethnicity breakdown that includes Asian. </w:t>
            </w:r>
          </w:p>
        </w:tc>
      </w:tr>
    </w:tbl>
    <w:p w14:paraId="26F1D390" w14:textId="77777777" w:rsidR="0007612C" w:rsidRDefault="0007612C" w:rsidP="00E92FE9">
      <w:pPr>
        <w:pStyle w:val="TableText"/>
      </w:pPr>
    </w:p>
    <w:tbl>
      <w:tblPr>
        <w:tblStyle w:val="TeWhatuOra"/>
        <w:tblW w:w="5000" w:type="pct"/>
        <w:tblLook w:val="0420" w:firstRow="1" w:lastRow="0" w:firstColumn="0" w:lastColumn="0" w:noHBand="0" w:noVBand="1"/>
      </w:tblPr>
      <w:tblGrid>
        <w:gridCol w:w="4887"/>
        <w:gridCol w:w="2185"/>
        <w:gridCol w:w="1287"/>
        <w:gridCol w:w="1275"/>
        <w:gridCol w:w="1417"/>
        <w:gridCol w:w="1279"/>
        <w:gridCol w:w="1417"/>
        <w:gridCol w:w="7786"/>
      </w:tblGrid>
      <w:tr w:rsidR="00CE3108" w:rsidRPr="0067304A" w14:paraId="0DF6E00E" w14:textId="77777777" w:rsidTr="00CE3108">
        <w:trPr>
          <w:cnfStyle w:val="100000000000" w:firstRow="1" w:lastRow="0" w:firstColumn="0" w:lastColumn="0" w:oddVBand="0" w:evenVBand="0" w:oddHBand="0" w:evenHBand="0" w:firstRowFirstColumn="0" w:firstRowLastColumn="0" w:lastRowFirstColumn="0" w:lastRowLastColumn="0"/>
          <w:trHeight w:val="726"/>
        </w:trPr>
        <w:tc>
          <w:tcPr>
            <w:tcW w:w="1135" w:type="pct"/>
          </w:tcPr>
          <w:p w14:paraId="27C907E1" w14:textId="77777777" w:rsidR="0067304A" w:rsidRPr="0067304A" w:rsidRDefault="0067304A" w:rsidP="0067304A">
            <w:r w:rsidRPr="0067304A">
              <w:rPr>
                <w:lang w:val="en-GB"/>
              </w:rPr>
              <w:t>Measure</w:t>
            </w:r>
          </w:p>
        </w:tc>
        <w:tc>
          <w:tcPr>
            <w:tcW w:w="507" w:type="pct"/>
          </w:tcPr>
          <w:p w14:paraId="66400439" w14:textId="77777777" w:rsidR="0067304A" w:rsidRPr="0067304A" w:rsidRDefault="0067304A" w:rsidP="0067304A">
            <w:pPr>
              <w:rPr>
                <w:lang w:val="en-GB"/>
              </w:rPr>
            </w:pPr>
            <w:r w:rsidRPr="0067304A">
              <w:rPr>
                <w:lang w:val="en-GB"/>
              </w:rPr>
              <w:t>Ethnic Group</w:t>
            </w:r>
          </w:p>
        </w:tc>
        <w:tc>
          <w:tcPr>
            <w:tcW w:w="299" w:type="pct"/>
          </w:tcPr>
          <w:p w14:paraId="40EEF578" w14:textId="77777777" w:rsidR="0067304A" w:rsidRPr="0067304A" w:rsidRDefault="0067304A" w:rsidP="0067304A">
            <w:pPr>
              <w:rPr>
                <w:lang w:val="en-GB"/>
              </w:rPr>
            </w:pPr>
            <w:r w:rsidRPr="0067304A">
              <w:rPr>
                <w:lang w:val="en-GB"/>
              </w:rPr>
              <w:t>Q1</w:t>
            </w:r>
          </w:p>
          <w:p w14:paraId="2A4BD29D" w14:textId="77777777" w:rsidR="0067304A" w:rsidRPr="0067304A" w:rsidRDefault="0067304A" w:rsidP="0067304A">
            <w:pPr>
              <w:rPr>
                <w:lang w:val="en-GB"/>
              </w:rPr>
            </w:pPr>
            <w:r w:rsidRPr="0067304A">
              <w:rPr>
                <w:lang w:val="en-GB"/>
              </w:rPr>
              <w:t>2022-23</w:t>
            </w:r>
          </w:p>
        </w:tc>
        <w:tc>
          <w:tcPr>
            <w:tcW w:w="296" w:type="pct"/>
          </w:tcPr>
          <w:p w14:paraId="39DB9898" w14:textId="77777777" w:rsidR="0067304A" w:rsidRPr="0067304A" w:rsidRDefault="0067304A" w:rsidP="0067304A">
            <w:pPr>
              <w:rPr>
                <w:lang w:val="en-GB"/>
              </w:rPr>
            </w:pPr>
            <w:r w:rsidRPr="0067304A">
              <w:rPr>
                <w:lang w:val="en-GB"/>
              </w:rPr>
              <w:t>Q2</w:t>
            </w:r>
          </w:p>
          <w:p w14:paraId="3879C49A" w14:textId="77777777" w:rsidR="0067304A" w:rsidRPr="0067304A" w:rsidRDefault="0067304A" w:rsidP="0067304A">
            <w:pPr>
              <w:rPr>
                <w:lang w:val="en-GB"/>
              </w:rPr>
            </w:pPr>
            <w:r w:rsidRPr="0067304A">
              <w:rPr>
                <w:lang w:val="en-GB"/>
              </w:rPr>
              <w:t>2022-23</w:t>
            </w:r>
          </w:p>
        </w:tc>
        <w:tc>
          <w:tcPr>
            <w:tcW w:w="329" w:type="pct"/>
          </w:tcPr>
          <w:p w14:paraId="3278296E" w14:textId="77777777" w:rsidR="0067304A" w:rsidRPr="0067304A" w:rsidRDefault="0067304A" w:rsidP="0067304A">
            <w:pPr>
              <w:rPr>
                <w:lang w:val="en-GB"/>
              </w:rPr>
            </w:pPr>
            <w:r w:rsidRPr="0067304A">
              <w:rPr>
                <w:lang w:val="en-GB"/>
              </w:rPr>
              <w:t>Q3</w:t>
            </w:r>
          </w:p>
          <w:p w14:paraId="46DA2080" w14:textId="77777777" w:rsidR="0067304A" w:rsidRPr="0067304A" w:rsidRDefault="0067304A" w:rsidP="0067304A">
            <w:pPr>
              <w:rPr>
                <w:lang w:val="en-GB"/>
              </w:rPr>
            </w:pPr>
            <w:r w:rsidRPr="0067304A">
              <w:rPr>
                <w:lang w:val="en-GB"/>
              </w:rPr>
              <w:t>2022-23</w:t>
            </w:r>
          </w:p>
        </w:tc>
        <w:tc>
          <w:tcPr>
            <w:tcW w:w="297" w:type="pct"/>
          </w:tcPr>
          <w:p w14:paraId="391DA98A" w14:textId="77777777" w:rsidR="0067304A" w:rsidRPr="0067304A" w:rsidRDefault="0067304A" w:rsidP="0067304A">
            <w:pPr>
              <w:rPr>
                <w:lang w:val="en-GB"/>
              </w:rPr>
            </w:pPr>
            <w:r w:rsidRPr="0067304A">
              <w:rPr>
                <w:lang w:val="en-GB"/>
              </w:rPr>
              <w:t>Q4</w:t>
            </w:r>
          </w:p>
          <w:p w14:paraId="41FDE135" w14:textId="77777777" w:rsidR="0067304A" w:rsidRPr="0067304A" w:rsidRDefault="0067304A" w:rsidP="0067304A">
            <w:pPr>
              <w:rPr>
                <w:lang w:val="en-GB"/>
              </w:rPr>
            </w:pPr>
            <w:r w:rsidRPr="0067304A">
              <w:rPr>
                <w:lang w:val="en-GB"/>
              </w:rPr>
              <w:t>2022-23</w:t>
            </w:r>
          </w:p>
        </w:tc>
        <w:tc>
          <w:tcPr>
            <w:tcW w:w="329" w:type="pct"/>
          </w:tcPr>
          <w:p w14:paraId="43B5926F" w14:textId="77777777" w:rsidR="0067304A" w:rsidRPr="0067304A" w:rsidRDefault="0067304A" w:rsidP="0067304A">
            <w:pPr>
              <w:rPr>
                <w:lang w:val="en-GB"/>
              </w:rPr>
            </w:pPr>
            <w:r w:rsidRPr="0067304A">
              <w:rPr>
                <w:lang w:val="en-GB"/>
              </w:rPr>
              <w:t>Q1</w:t>
            </w:r>
          </w:p>
          <w:p w14:paraId="27BF808C" w14:textId="77777777" w:rsidR="0067304A" w:rsidRPr="0067304A" w:rsidRDefault="0067304A" w:rsidP="0067304A">
            <w:pPr>
              <w:rPr>
                <w:lang w:val="en-GB"/>
              </w:rPr>
            </w:pPr>
            <w:r w:rsidRPr="0067304A">
              <w:rPr>
                <w:lang w:val="en-GB"/>
              </w:rPr>
              <w:t>2023-24</w:t>
            </w:r>
          </w:p>
        </w:tc>
        <w:tc>
          <w:tcPr>
            <w:tcW w:w="1808" w:type="pct"/>
            <w:vMerge w:val="restart"/>
            <w:shd w:val="clear" w:color="auto" w:fill="auto"/>
          </w:tcPr>
          <w:p w14:paraId="78B334A0" w14:textId="77777777" w:rsidR="0067304A" w:rsidRPr="0067304A" w:rsidRDefault="0067304A" w:rsidP="0067304A">
            <w:pPr>
              <w:rPr>
                <w:lang w:val="en-GB"/>
              </w:rPr>
            </w:pPr>
            <w:r w:rsidRPr="0067304A">
              <w:rPr>
                <w:noProof/>
                <w:lang w:val="en-GB"/>
              </w:rPr>
              <w:drawing>
                <wp:inline distT="0" distB="0" distL="0" distR="0" wp14:anchorId="16ADEEF2" wp14:editId="7AFDE333">
                  <wp:extent cx="4711700" cy="2540000"/>
                  <wp:effectExtent l="0" t="0" r="0" b="0"/>
                  <wp:docPr id="237" name="Chart 237" descr="Chart showing Rate (per 100,000) of hospital admissions for people aged 45–64 years for an illness that might have been prevented or better managed in the commun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CE3108" w:rsidRPr="0067304A" w14:paraId="688A5EB9" w14:textId="77777777" w:rsidTr="00CE3108">
        <w:trPr>
          <w:trHeight w:val="727"/>
        </w:trPr>
        <w:tc>
          <w:tcPr>
            <w:tcW w:w="1135" w:type="pct"/>
            <w:vMerge w:val="restart"/>
            <w:hideMark/>
          </w:tcPr>
          <w:p w14:paraId="52FE2B5D" w14:textId="77777777" w:rsidR="0067304A" w:rsidRPr="0067304A" w:rsidRDefault="0067304A" w:rsidP="0067304A">
            <w:pPr>
              <w:rPr>
                <w:vertAlign w:val="superscript"/>
              </w:rPr>
            </w:pPr>
            <w:r w:rsidRPr="0067304A">
              <w:t>Rate (per 100,000) of hospital admissions for people aged 45–64 years for an illness that might have been prevented or better managed in the community</w:t>
            </w:r>
            <w:r w:rsidRPr="0067304A">
              <w:rPr>
                <w:vertAlign w:val="superscript"/>
              </w:rPr>
              <w:t xml:space="preserve"> 2,10,11</w:t>
            </w:r>
            <w:r w:rsidRPr="0067304A">
              <w:t>.</w:t>
            </w:r>
          </w:p>
          <w:p w14:paraId="7BD2640D" w14:textId="77777777" w:rsidR="0067304A" w:rsidRPr="0067304A" w:rsidRDefault="0067304A" w:rsidP="0067304A"/>
          <w:p w14:paraId="51553BAF" w14:textId="77777777" w:rsidR="0067304A" w:rsidRPr="0067304A" w:rsidRDefault="0067304A" w:rsidP="0067304A">
            <w:r w:rsidRPr="0067304A">
              <w:t>Target: Improve from baseline (trend to decrease)</w:t>
            </w:r>
          </w:p>
        </w:tc>
        <w:tc>
          <w:tcPr>
            <w:tcW w:w="507" w:type="pct"/>
            <w:hideMark/>
          </w:tcPr>
          <w:p w14:paraId="4DDF973E" w14:textId="77777777" w:rsidR="0067304A" w:rsidRPr="0067304A" w:rsidRDefault="0067304A" w:rsidP="0067304A">
            <w:pPr>
              <w:rPr>
                <w:lang w:val="en-GB"/>
              </w:rPr>
            </w:pPr>
            <w:r w:rsidRPr="0067304A">
              <w:rPr>
                <w:lang w:val="en-GB"/>
              </w:rPr>
              <w:t>Māori</w:t>
            </w:r>
          </w:p>
        </w:tc>
        <w:tc>
          <w:tcPr>
            <w:tcW w:w="299" w:type="pct"/>
          </w:tcPr>
          <w:p w14:paraId="15BA0A3B" w14:textId="77777777" w:rsidR="0067304A" w:rsidRPr="0067304A" w:rsidRDefault="0067304A" w:rsidP="0067304A">
            <w:pPr>
              <w:rPr>
                <w:lang w:val="en-GB"/>
              </w:rPr>
            </w:pPr>
            <w:r w:rsidRPr="0067304A">
              <w:rPr>
                <w:lang w:val="en-GB"/>
              </w:rPr>
              <w:t>6,771</w:t>
            </w:r>
          </w:p>
        </w:tc>
        <w:tc>
          <w:tcPr>
            <w:tcW w:w="296" w:type="pct"/>
          </w:tcPr>
          <w:p w14:paraId="1D2731B5" w14:textId="73129A6C" w:rsidR="0067304A" w:rsidRPr="0067304A" w:rsidRDefault="0067304A" w:rsidP="0067304A">
            <w:pPr>
              <w:rPr>
                <w:lang w:val="en-GB"/>
              </w:rPr>
            </w:pPr>
            <w:r w:rsidRPr="0067304A">
              <w:rPr>
                <w:lang w:val="en-GB"/>
              </w:rPr>
              <w:t>6,812</w:t>
            </w:r>
            <w:r>
              <w:t xml:space="preserve"> </w:t>
            </w:r>
            <w:r w:rsidRPr="0067304A" w:rsidDel="002D0B14">
              <w:rPr>
                <w:rFonts w:ascii="Wingdings" w:eastAsia="Wingdings" w:hAnsi="Wingdings" w:cs="Wingdings"/>
                <w:color w:val="FF0000"/>
                <w:szCs w:val="24"/>
              </w:rPr>
              <w:t>Ý</w:t>
            </w:r>
          </w:p>
        </w:tc>
        <w:tc>
          <w:tcPr>
            <w:tcW w:w="329" w:type="pct"/>
          </w:tcPr>
          <w:p w14:paraId="03AAB00B" w14:textId="143F5224" w:rsidR="0067304A" w:rsidRPr="0067304A" w:rsidRDefault="0067304A" w:rsidP="0067304A">
            <w:pPr>
              <w:rPr>
                <w:lang w:val="en-GB"/>
              </w:rPr>
            </w:pPr>
            <w:r w:rsidRPr="0067304A">
              <w:rPr>
                <w:lang w:val="en-GB"/>
              </w:rPr>
              <w:t>6,918</w:t>
            </w:r>
            <w:r>
              <w:t xml:space="preserve"> </w:t>
            </w:r>
            <w:r w:rsidRPr="0067304A" w:rsidDel="002D0B14">
              <w:rPr>
                <w:rFonts w:ascii="Wingdings" w:eastAsia="Wingdings" w:hAnsi="Wingdings" w:cs="Wingdings"/>
                <w:color w:val="FF0000"/>
                <w:szCs w:val="24"/>
              </w:rPr>
              <w:t>Ý</w:t>
            </w:r>
          </w:p>
        </w:tc>
        <w:tc>
          <w:tcPr>
            <w:tcW w:w="297" w:type="pct"/>
          </w:tcPr>
          <w:p w14:paraId="46304DD1" w14:textId="531C4DAD" w:rsidR="0067304A" w:rsidRPr="0067304A" w:rsidRDefault="0067304A" w:rsidP="0067304A">
            <w:pPr>
              <w:rPr>
                <w:lang w:val="en-GB"/>
              </w:rPr>
            </w:pPr>
            <w:r w:rsidRPr="0067304A">
              <w:rPr>
                <w:lang w:val="en-GB"/>
              </w:rPr>
              <w:t>6,981</w:t>
            </w:r>
            <w:r>
              <w:t xml:space="preserve"> </w:t>
            </w:r>
            <w:r w:rsidRPr="0067304A" w:rsidDel="002D0B14">
              <w:rPr>
                <w:rFonts w:ascii="Wingdings" w:eastAsia="Wingdings" w:hAnsi="Wingdings" w:cs="Wingdings"/>
                <w:color w:val="FF0000"/>
                <w:szCs w:val="24"/>
              </w:rPr>
              <w:t>Ý</w:t>
            </w:r>
          </w:p>
        </w:tc>
        <w:tc>
          <w:tcPr>
            <w:tcW w:w="329" w:type="pct"/>
          </w:tcPr>
          <w:p w14:paraId="46263121" w14:textId="05F3417C" w:rsidR="0067304A" w:rsidRPr="0067304A" w:rsidRDefault="0067304A" w:rsidP="0067304A">
            <w:pPr>
              <w:rPr>
                <w:lang w:val="en-GB"/>
              </w:rPr>
            </w:pPr>
            <w:r w:rsidRPr="0067304A">
              <w:rPr>
                <w:lang w:val="en-GB"/>
              </w:rPr>
              <w:t>7,086</w:t>
            </w:r>
            <w:r>
              <w:t xml:space="preserve"> </w:t>
            </w:r>
            <w:r w:rsidRPr="0067304A" w:rsidDel="002D0B14">
              <w:rPr>
                <w:rFonts w:ascii="Wingdings" w:eastAsia="Wingdings" w:hAnsi="Wingdings" w:cs="Wingdings"/>
                <w:color w:val="FF0000"/>
                <w:szCs w:val="24"/>
              </w:rPr>
              <w:t>Ý</w:t>
            </w:r>
          </w:p>
        </w:tc>
        <w:tc>
          <w:tcPr>
            <w:tcW w:w="1808" w:type="pct"/>
            <w:vMerge/>
            <w:shd w:val="clear" w:color="auto" w:fill="auto"/>
          </w:tcPr>
          <w:p w14:paraId="42378F89" w14:textId="77777777" w:rsidR="0067304A" w:rsidRPr="0067304A" w:rsidRDefault="0067304A" w:rsidP="0067304A">
            <w:pPr>
              <w:rPr>
                <w:lang w:val="en-GB"/>
              </w:rPr>
            </w:pPr>
          </w:p>
        </w:tc>
      </w:tr>
      <w:tr w:rsidR="00CE3108" w:rsidRPr="0067304A" w14:paraId="1885F8FA" w14:textId="77777777" w:rsidTr="00CE3108">
        <w:trPr>
          <w:trHeight w:val="727"/>
        </w:trPr>
        <w:tc>
          <w:tcPr>
            <w:tcW w:w="1135" w:type="pct"/>
            <w:vMerge/>
            <w:hideMark/>
          </w:tcPr>
          <w:p w14:paraId="1F60C4E3" w14:textId="77777777" w:rsidR="0067304A" w:rsidRPr="0067304A" w:rsidRDefault="0067304A" w:rsidP="0067304A">
            <w:pPr>
              <w:rPr>
                <w:lang w:val="en-GB"/>
              </w:rPr>
            </w:pPr>
          </w:p>
        </w:tc>
        <w:tc>
          <w:tcPr>
            <w:tcW w:w="507" w:type="pct"/>
            <w:hideMark/>
          </w:tcPr>
          <w:p w14:paraId="5E6DFE99" w14:textId="77777777" w:rsidR="0067304A" w:rsidRPr="0067304A" w:rsidRDefault="0067304A" w:rsidP="0067304A">
            <w:pPr>
              <w:rPr>
                <w:lang w:val="en-GB"/>
              </w:rPr>
            </w:pPr>
            <w:r w:rsidRPr="0067304A">
              <w:rPr>
                <w:lang w:val="en-GB"/>
              </w:rPr>
              <w:t>Pacific</w:t>
            </w:r>
          </w:p>
        </w:tc>
        <w:tc>
          <w:tcPr>
            <w:tcW w:w="299" w:type="pct"/>
          </w:tcPr>
          <w:p w14:paraId="3CCD0E05" w14:textId="77777777" w:rsidR="0067304A" w:rsidRPr="0067304A" w:rsidRDefault="0067304A" w:rsidP="0067304A">
            <w:pPr>
              <w:rPr>
                <w:lang w:val="en-GB"/>
              </w:rPr>
            </w:pPr>
            <w:r w:rsidRPr="0067304A">
              <w:rPr>
                <w:lang w:val="en-GB"/>
              </w:rPr>
              <w:t>7,115</w:t>
            </w:r>
          </w:p>
        </w:tc>
        <w:tc>
          <w:tcPr>
            <w:tcW w:w="296" w:type="pct"/>
          </w:tcPr>
          <w:p w14:paraId="219FB8E0" w14:textId="1A288D10" w:rsidR="0067304A" w:rsidRPr="0067304A" w:rsidRDefault="0067304A" w:rsidP="0067304A">
            <w:pPr>
              <w:rPr>
                <w:lang w:val="en-GB"/>
              </w:rPr>
            </w:pPr>
            <w:r w:rsidRPr="0067304A">
              <w:rPr>
                <w:lang w:val="en-GB"/>
              </w:rPr>
              <w:t>7,465</w:t>
            </w:r>
            <w:r>
              <w:t xml:space="preserve"> </w:t>
            </w:r>
            <w:r w:rsidRPr="0067304A" w:rsidDel="002D0B14">
              <w:rPr>
                <w:rFonts w:ascii="Wingdings" w:eastAsia="Wingdings" w:hAnsi="Wingdings" w:cs="Wingdings"/>
                <w:color w:val="FF0000"/>
                <w:szCs w:val="24"/>
              </w:rPr>
              <w:t>Ý</w:t>
            </w:r>
          </w:p>
        </w:tc>
        <w:tc>
          <w:tcPr>
            <w:tcW w:w="329" w:type="pct"/>
          </w:tcPr>
          <w:p w14:paraId="078421CD" w14:textId="69EF51DD" w:rsidR="0067304A" w:rsidRPr="0067304A" w:rsidRDefault="0067304A" w:rsidP="0067304A">
            <w:pPr>
              <w:rPr>
                <w:lang w:val="en-GB"/>
              </w:rPr>
            </w:pPr>
            <w:r w:rsidRPr="0067304A">
              <w:rPr>
                <w:lang w:val="en-GB"/>
              </w:rPr>
              <w:t>7,728</w:t>
            </w:r>
            <w:r>
              <w:t xml:space="preserve"> </w:t>
            </w:r>
            <w:r w:rsidRPr="0067304A" w:rsidDel="002D0B14">
              <w:rPr>
                <w:rFonts w:ascii="Wingdings" w:eastAsia="Wingdings" w:hAnsi="Wingdings" w:cs="Wingdings"/>
                <w:color w:val="FF0000"/>
                <w:szCs w:val="24"/>
              </w:rPr>
              <w:t>Ý</w:t>
            </w:r>
          </w:p>
        </w:tc>
        <w:tc>
          <w:tcPr>
            <w:tcW w:w="297" w:type="pct"/>
          </w:tcPr>
          <w:p w14:paraId="73116054" w14:textId="12ECC056" w:rsidR="0067304A" w:rsidRPr="0067304A" w:rsidRDefault="0067304A" w:rsidP="0067304A">
            <w:pPr>
              <w:rPr>
                <w:lang w:val="en-GB"/>
              </w:rPr>
            </w:pPr>
            <w:r w:rsidRPr="0067304A">
              <w:rPr>
                <w:lang w:val="en-GB"/>
              </w:rPr>
              <w:t>8,127</w:t>
            </w:r>
            <w:r>
              <w:t xml:space="preserve"> </w:t>
            </w:r>
            <w:r w:rsidRPr="0067304A" w:rsidDel="002D0B14">
              <w:rPr>
                <w:rFonts w:ascii="Wingdings" w:eastAsia="Wingdings" w:hAnsi="Wingdings" w:cs="Wingdings"/>
                <w:color w:val="FF0000"/>
                <w:szCs w:val="24"/>
              </w:rPr>
              <w:t>Ý</w:t>
            </w:r>
          </w:p>
        </w:tc>
        <w:tc>
          <w:tcPr>
            <w:tcW w:w="329" w:type="pct"/>
          </w:tcPr>
          <w:p w14:paraId="7CA972D1" w14:textId="619078F2" w:rsidR="0067304A" w:rsidRPr="0067304A" w:rsidRDefault="0067304A" w:rsidP="0067304A">
            <w:pPr>
              <w:rPr>
                <w:lang w:val="en-GB"/>
              </w:rPr>
            </w:pPr>
            <w:r w:rsidRPr="0067304A">
              <w:rPr>
                <w:lang w:val="en-GB"/>
              </w:rPr>
              <w:t>8,175</w:t>
            </w:r>
            <w:r>
              <w:t xml:space="preserve"> </w:t>
            </w:r>
            <w:r w:rsidRPr="0067304A" w:rsidDel="002D0B14">
              <w:rPr>
                <w:rFonts w:ascii="Wingdings" w:eastAsia="Wingdings" w:hAnsi="Wingdings" w:cs="Wingdings"/>
                <w:color w:val="FF0000"/>
                <w:szCs w:val="24"/>
              </w:rPr>
              <w:t>Ý</w:t>
            </w:r>
          </w:p>
        </w:tc>
        <w:tc>
          <w:tcPr>
            <w:tcW w:w="1808" w:type="pct"/>
            <w:vMerge/>
            <w:shd w:val="clear" w:color="auto" w:fill="auto"/>
          </w:tcPr>
          <w:p w14:paraId="0BA6C952" w14:textId="77777777" w:rsidR="0067304A" w:rsidRPr="0067304A" w:rsidRDefault="0067304A" w:rsidP="0067304A">
            <w:pPr>
              <w:rPr>
                <w:lang w:val="en-GB"/>
              </w:rPr>
            </w:pPr>
          </w:p>
        </w:tc>
      </w:tr>
      <w:tr w:rsidR="00CE3108" w:rsidRPr="0067304A" w14:paraId="50FB9C4C" w14:textId="77777777" w:rsidTr="00CE3108">
        <w:trPr>
          <w:trHeight w:val="727"/>
        </w:trPr>
        <w:tc>
          <w:tcPr>
            <w:tcW w:w="1135" w:type="pct"/>
            <w:vMerge/>
          </w:tcPr>
          <w:p w14:paraId="66AD4C69" w14:textId="77777777" w:rsidR="0067304A" w:rsidRPr="0067304A" w:rsidRDefault="0067304A" w:rsidP="0067304A">
            <w:pPr>
              <w:rPr>
                <w:lang w:val="en-GB"/>
              </w:rPr>
            </w:pPr>
          </w:p>
        </w:tc>
        <w:tc>
          <w:tcPr>
            <w:tcW w:w="507" w:type="pct"/>
          </w:tcPr>
          <w:p w14:paraId="21593DD3" w14:textId="16556E6F" w:rsidR="0067304A" w:rsidRPr="0067304A" w:rsidRDefault="0067304A" w:rsidP="0067304A">
            <w:pPr>
              <w:rPr>
                <w:lang w:val="en-GB"/>
              </w:rPr>
            </w:pPr>
            <w:r w:rsidRPr="0067304A">
              <w:rPr>
                <w:lang w:val="en-GB"/>
              </w:rPr>
              <w:t>European/Asian/</w:t>
            </w:r>
            <w:r w:rsidR="009E072E">
              <w:rPr>
                <w:lang w:val="en-GB"/>
              </w:rPr>
              <w:t>all</w:t>
            </w:r>
            <w:r w:rsidRPr="0067304A">
              <w:rPr>
                <w:lang w:val="en-GB"/>
              </w:rPr>
              <w:t xml:space="preserve"> other ethnicities</w:t>
            </w:r>
          </w:p>
        </w:tc>
        <w:tc>
          <w:tcPr>
            <w:tcW w:w="299" w:type="pct"/>
          </w:tcPr>
          <w:p w14:paraId="77A58DC8" w14:textId="77777777" w:rsidR="0067304A" w:rsidRPr="0067304A" w:rsidRDefault="0067304A" w:rsidP="0067304A">
            <w:pPr>
              <w:rPr>
                <w:lang w:val="en-GB"/>
              </w:rPr>
            </w:pPr>
            <w:r w:rsidRPr="0067304A">
              <w:rPr>
                <w:lang w:val="en-GB"/>
              </w:rPr>
              <w:t>2,888</w:t>
            </w:r>
          </w:p>
        </w:tc>
        <w:tc>
          <w:tcPr>
            <w:tcW w:w="296" w:type="pct"/>
          </w:tcPr>
          <w:p w14:paraId="253D3276" w14:textId="7BF70569" w:rsidR="0067304A" w:rsidRPr="0067304A" w:rsidRDefault="0067304A" w:rsidP="0067304A">
            <w:pPr>
              <w:rPr>
                <w:lang w:val="en-GB"/>
              </w:rPr>
            </w:pPr>
            <w:r w:rsidRPr="0067304A">
              <w:rPr>
                <w:lang w:val="en-GB"/>
              </w:rPr>
              <w:t>2,897</w:t>
            </w:r>
            <w:r>
              <w:t xml:space="preserve"> </w:t>
            </w:r>
            <w:r w:rsidRPr="0067304A" w:rsidDel="002D0B14">
              <w:rPr>
                <w:rFonts w:ascii="Wingdings" w:eastAsia="Wingdings" w:hAnsi="Wingdings" w:cs="Wingdings"/>
                <w:color w:val="FF0000"/>
                <w:szCs w:val="24"/>
              </w:rPr>
              <w:t>Ý</w:t>
            </w:r>
          </w:p>
        </w:tc>
        <w:tc>
          <w:tcPr>
            <w:tcW w:w="329" w:type="pct"/>
          </w:tcPr>
          <w:p w14:paraId="37C595A3" w14:textId="460D6A24" w:rsidR="0067304A" w:rsidRPr="0067304A" w:rsidRDefault="0067304A" w:rsidP="0067304A">
            <w:pPr>
              <w:rPr>
                <w:lang w:val="en-GB"/>
              </w:rPr>
            </w:pPr>
            <w:r w:rsidRPr="0067304A">
              <w:rPr>
                <w:lang w:val="en-GB"/>
              </w:rPr>
              <w:t>2,892</w:t>
            </w:r>
            <w:r>
              <w:t xml:space="preserve"> </w:t>
            </w:r>
            <w:r w:rsidRPr="0067304A" w:rsidDel="002D0B14">
              <w:rPr>
                <w:rFonts w:ascii="Wingdings" w:eastAsia="Wingdings" w:hAnsi="Wingdings" w:cs="Wingdings"/>
                <w:color w:val="FF0000"/>
                <w:szCs w:val="24"/>
              </w:rPr>
              <w:t>Ý</w:t>
            </w:r>
          </w:p>
        </w:tc>
        <w:tc>
          <w:tcPr>
            <w:tcW w:w="297" w:type="pct"/>
          </w:tcPr>
          <w:p w14:paraId="320A4D9B" w14:textId="5293124C" w:rsidR="0067304A" w:rsidRPr="0067304A" w:rsidRDefault="0067304A" w:rsidP="0067304A">
            <w:pPr>
              <w:rPr>
                <w:lang w:val="en-GB"/>
              </w:rPr>
            </w:pPr>
            <w:r w:rsidRPr="0067304A">
              <w:rPr>
                <w:lang w:val="en-GB"/>
              </w:rPr>
              <w:t>2,944</w:t>
            </w:r>
            <w:r>
              <w:t xml:space="preserve"> </w:t>
            </w:r>
            <w:r w:rsidRPr="0067304A" w:rsidDel="002D0B14">
              <w:rPr>
                <w:rFonts w:ascii="Wingdings" w:eastAsia="Wingdings" w:hAnsi="Wingdings" w:cs="Wingdings"/>
                <w:color w:val="FF0000"/>
                <w:szCs w:val="24"/>
              </w:rPr>
              <w:t>Ý</w:t>
            </w:r>
          </w:p>
        </w:tc>
        <w:tc>
          <w:tcPr>
            <w:tcW w:w="329" w:type="pct"/>
          </w:tcPr>
          <w:p w14:paraId="50500069" w14:textId="6BFE7A0D" w:rsidR="0067304A" w:rsidRPr="0067304A" w:rsidRDefault="0067304A" w:rsidP="0067304A">
            <w:pPr>
              <w:rPr>
                <w:lang w:val="en-GB"/>
              </w:rPr>
            </w:pPr>
            <w:r w:rsidRPr="0067304A">
              <w:rPr>
                <w:lang w:val="en-GB"/>
              </w:rPr>
              <w:t>2,943</w:t>
            </w:r>
            <w:r>
              <w:rPr>
                <w:lang w:val="en-GB"/>
              </w:rPr>
              <w:t xml:space="preserve"> </w:t>
            </w:r>
            <w:r w:rsidRPr="0067304A">
              <w:rPr>
                <w:rFonts w:ascii="Wingdings" w:eastAsia="Wingdings" w:hAnsi="Wingdings" w:cs="Calibri"/>
                <w:color w:val="00B050"/>
                <w:szCs w:val="24"/>
                <w:lang w:val="en-GB" w:eastAsia="en-NZ"/>
              </w:rPr>
              <w:t>Þ</w:t>
            </w:r>
          </w:p>
        </w:tc>
        <w:tc>
          <w:tcPr>
            <w:tcW w:w="1808" w:type="pct"/>
            <w:vMerge/>
            <w:shd w:val="clear" w:color="auto" w:fill="auto"/>
          </w:tcPr>
          <w:p w14:paraId="282C9277" w14:textId="77777777" w:rsidR="0067304A" w:rsidRPr="0067304A" w:rsidRDefault="0067304A" w:rsidP="0067304A">
            <w:pPr>
              <w:rPr>
                <w:lang w:val="en-GB"/>
              </w:rPr>
            </w:pPr>
          </w:p>
        </w:tc>
      </w:tr>
      <w:tr w:rsidR="00CE3108" w:rsidRPr="0067304A" w14:paraId="0E977420" w14:textId="77777777" w:rsidTr="00CE3108">
        <w:trPr>
          <w:trHeight w:val="727"/>
        </w:trPr>
        <w:tc>
          <w:tcPr>
            <w:tcW w:w="1135" w:type="pct"/>
            <w:vMerge/>
            <w:hideMark/>
          </w:tcPr>
          <w:p w14:paraId="5FA7EADF" w14:textId="77777777" w:rsidR="0067304A" w:rsidRPr="0067304A" w:rsidRDefault="0067304A" w:rsidP="0067304A">
            <w:pPr>
              <w:rPr>
                <w:lang w:val="en-GB"/>
              </w:rPr>
            </w:pPr>
          </w:p>
        </w:tc>
        <w:tc>
          <w:tcPr>
            <w:tcW w:w="507" w:type="pct"/>
            <w:hideMark/>
          </w:tcPr>
          <w:p w14:paraId="47EA4FFE" w14:textId="77777777" w:rsidR="0067304A" w:rsidRPr="0067304A" w:rsidRDefault="0067304A" w:rsidP="0067304A">
            <w:pPr>
              <w:rPr>
                <w:lang w:val="en-GB"/>
              </w:rPr>
            </w:pPr>
            <w:r w:rsidRPr="0067304A">
              <w:rPr>
                <w:lang w:val="en-GB"/>
              </w:rPr>
              <w:t>Total</w:t>
            </w:r>
          </w:p>
        </w:tc>
        <w:tc>
          <w:tcPr>
            <w:tcW w:w="299" w:type="pct"/>
          </w:tcPr>
          <w:p w14:paraId="030B9B18" w14:textId="77777777" w:rsidR="0067304A" w:rsidRPr="0067304A" w:rsidRDefault="0067304A" w:rsidP="0067304A">
            <w:pPr>
              <w:rPr>
                <w:lang w:val="en-GB"/>
              </w:rPr>
            </w:pPr>
            <w:r w:rsidRPr="0067304A">
              <w:rPr>
                <w:lang w:val="en-GB"/>
              </w:rPr>
              <w:t>3,605</w:t>
            </w:r>
          </w:p>
        </w:tc>
        <w:tc>
          <w:tcPr>
            <w:tcW w:w="296" w:type="pct"/>
          </w:tcPr>
          <w:p w14:paraId="6F4996B2" w14:textId="324EEDBE" w:rsidR="0067304A" w:rsidRPr="0067304A" w:rsidRDefault="0067304A" w:rsidP="0067304A">
            <w:pPr>
              <w:rPr>
                <w:lang w:val="en-GB"/>
              </w:rPr>
            </w:pPr>
            <w:r w:rsidRPr="0067304A">
              <w:rPr>
                <w:lang w:val="en-GB"/>
              </w:rPr>
              <w:t>3,639</w:t>
            </w:r>
            <w:r>
              <w:t xml:space="preserve"> </w:t>
            </w:r>
            <w:r w:rsidRPr="0067304A" w:rsidDel="002D0B14">
              <w:rPr>
                <w:rFonts w:ascii="Wingdings" w:eastAsia="Wingdings" w:hAnsi="Wingdings" w:cs="Wingdings"/>
                <w:color w:val="FF0000"/>
                <w:szCs w:val="24"/>
              </w:rPr>
              <w:t>Ý</w:t>
            </w:r>
          </w:p>
        </w:tc>
        <w:tc>
          <w:tcPr>
            <w:tcW w:w="329" w:type="pct"/>
          </w:tcPr>
          <w:p w14:paraId="75272698" w14:textId="24640395" w:rsidR="0067304A" w:rsidRPr="0067304A" w:rsidRDefault="0067304A" w:rsidP="0067304A">
            <w:pPr>
              <w:rPr>
                <w:lang w:val="en-GB"/>
              </w:rPr>
            </w:pPr>
            <w:r w:rsidRPr="0067304A">
              <w:rPr>
                <w:lang w:val="en-GB"/>
              </w:rPr>
              <w:t>3,662</w:t>
            </w:r>
            <w:r>
              <w:t xml:space="preserve"> </w:t>
            </w:r>
            <w:r w:rsidRPr="0067304A" w:rsidDel="002D0B14">
              <w:rPr>
                <w:rFonts w:ascii="Wingdings" w:eastAsia="Wingdings" w:hAnsi="Wingdings" w:cs="Wingdings"/>
                <w:color w:val="FF0000"/>
                <w:szCs w:val="24"/>
              </w:rPr>
              <w:t>Ý</w:t>
            </w:r>
          </w:p>
        </w:tc>
        <w:tc>
          <w:tcPr>
            <w:tcW w:w="297" w:type="pct"/>
          </w:tcPr>
          <w:p w14:paraId="7A0096C4" w14:textId="4029E08F" w:rsidR="0067304A" w:rsidRPr="0067304A" w:rsidRDefault="0067304A" w:rsidP="0067304A">
            <w:pPr>
              <w:rPr>
                <w:lang w:val="en-GB"/>
              </w:rPr>
            </w:pPr>
            <w:r w:rsidRPr="0067304A">
              <w:rPr>
                <w:lang w:val="en-GB"/>
              </w:rPr>
              <w:t>3,739</w:t>
            </w:r>
            <w:r>
              <w:t xml:space="preserve"> </w:t>
            </w:r>
            <w:r w:rsidRPr="0067304A" w:rsidDel="002D0B14">
              <w:rPr>
                <w:rFonts w:ascii="Wingdings" w:eastAsia="Wingdings" w:hAnsi="Wingdings" w:cs="Wingdings"/>
                <w:color w:val="FF0000"/>
                <w:szCs w:val="24"/>
              </w:rPr>
              <w:t>Ý</w:t>
            </w:r>
          </w:p>
        </w:tc>
        <w:tc>
          <w:tcPr>
            <w:tcW w:w="329" w:type="pct"/>
          </w:tcPr>
          <w:p w14:paraId="03A4DFA8" w14:textId="37B28045" w:rsidR="0067304A" w:rsidRPr="0067304A" w:rsidRDefault="0067304A" w:rsidP="0067304A">
            <w:pPr>
              <w:rPr>
                <w:lang w:val="en-GB"/>
              </w:rPr>
            </w:pPr>
            <w:r w:rsidRPr="0067304A">
              <w:rPr>
                <w:lang w:val="en-GB"/>
              </w:rPr>
              <w:t>3,761</w:t>
            </w:r>
            <w:r>
              <w:t xml:space="preserve"> </w:t>
            </w:r>
            <w:r w:rsidRPr="0067304A" w:rsidDel="002D0B14">
              <w:rPr>
                <w:rFonts w:ascii="Wingdings" w:eastAsia="Wingdings" w:hAnsi="Wingdings" w:cs="Wingdings"/>
                <w:color w:val="FF0000"/>
                <w:szCs w:val="24"/>
              </w:rPr>
              <w:t>Ý</w:t>
            </w:r>
          </w:p>
        </w:tc>
        <w:tc>
          <w:tcPr>
            <w:tcW w:w="1808" w:type="pct"/>
            <w:vMerge/>
            <w:shd w:val="clear" w:color="auto" w:fill="auto"/>
          </w:tcPr>
          <w:p w14:paraId="6724ECA5" w14:textId="77777777" w:rsidR="0067304A" w:rsidRPr="0067304A" w:rsidRDefault="0067304A" w:rsidP="0067304A">
            <w:pPr>
              <w:rPr>
                <w:lang w:val="en-GB"/>
              </w:rPr>
            </w:pPr>
          </w:p>
        </w:tc>
      </w:tr>
      <w:tr w:rsidR="0067304A" w:rsidRPr="0067304A" w14:paraId="36E1FCD9" w14:textId="77777777" w:rsidTr="00CE3108">
        <w:trPr>
          <w:trHeight w:val="300"/>
        </w:trPr>
        <w:tc>
          <w:tcPr>
            <w:tcW w:w="1135" w:type="pct"/>
          </w:tcPr>
          <w:p w14:paraId="634E9E9A" w14:textId="77777777" w:rsidR="0067304A" w:rsidRPr="0067304A" w:rsidRDefault="0067304A" w:rsidP="0067304A">
            <w:pPr>
              <w:rPr>
                <w:lang w:val="en-GB"/>
              </w:rPr>
            </w:pPr>
            <w:r w:rsidRPr="0067304A">
              <w:rPr>
                <w:bCs/>
                <w:lang w:val="en-GB"/>
              </w:rPr>
              <w:t>Comments</w:t>
            </w:r>
          </w:p>
        </w:tc>
        <w:tc>
          <w:tcPr>
            <w:tcW w:w="3865" w:type="pct"/>
            <w:gridSpan w:val="7"/>
          </w:tcPr>
          <w:p w14:paraId="5A2775E0" w14:textId="77777777" w:rsidR="0067304A" w:rsidRPr="0067304A" w:rsidRDefault="0067304A" w:rsidP="0067304A">
            <w:r w:rsidRPr="0067304A">
              <w:t>Hospital admission for 45–64-year-olds increased by 4% between September 2022 and September 2023. European rates experienced a slight decrease between the quarter four of 2022 and the first quarter of 2023. This metric is not yet available with an ethnicity breakdown that includes Asian.</w:t>
            </w:r>
          </w:p>
        </w:tc>
      </w:tr>
    </w:tbl>
    <w:p w14:paraId="2D3D67EF" w14:textId="77777777" w:rsidR="0067304A" w:rsidRDefault="0067304A" w:rsidP="00E92FE9">
      <w:pPr>
        <w:pStyle w:val="TableText"/>
      </w:pPr>
    </w:p>
    <w:p w14:paraId="0E01FBEB" w14:textId="77777777" w:rsidR="00D955CA" w:rsidRDefault="00D955CA" w:rsidP="00E92FE9">
      <w:pPr>
        <w:pStyle w:val="TableText"/>
      </w:pPr>
    </w:p>
    <w:p w14:paraId="568CC4B4" w14:textId="77777777" w:rsidR="00D955CA" w:rsidRDefault="00D955CA" w:rsidP="00E92FE9">
      <w:pPr>
        <w:pStyle w:val="TableText"/>
      </w:pPr>
    </w:p>
    <w:tbl>
      <w:tblPr>
        <w:tblStyle w:val="TeWhatuOra"/>
        <w:tblW w:w="5000" w:type="pct"/>
        <w:tblLook w:val="0420" w:firstRow="1" w:lastRow="0" w:firstColumn="0" w:lastColumn="0" w:noHBand="0" w:noVBand="1"/>
      </w:tblPr>
      <w:tblGrid>
        <w:gridCol w:w="4945"/>
        <w:gridCol w:w="2110"/>
        <w:gridCol w:w="1318"/>
        <w:gridCol w:w="1240"/>
        <w:gridCol w:w="1438"/>
        <w:gridCol w:w="1262"/>
        <w:gridCol w:w="1434"/>
        <w:gridCol w:w="7786"/>
      </w:tblGrid>
      <w:tr w:rsidR="00496912" w:rsidRPr="0067304A" w14:paraId="6FDA438D" w14:textId="77777777" w:rsidTr="00496912">
        <w:trPr>
          <w:cnfStyle w:val="100000000000" w:firstRow="1" w:lastRow="0" w:firstColumn="0" w:lastColumn="0" w:oddVBand="0" w:evenVBand="0" w:oddHBand="0" w:evenHBand="0" w:firstRowFirstColumn="0" w:firstRowLastColumn="0" w:lastRowFirstColumn="0" w:lastRowLastColumn="0"/>
          <w:trHeight w:val="360"/>
        </w:trPr>
        <w:tc>
          <w:tcPr>
            <w:tcW w:w="1148" w:type="pct"/>
          </w:tcPr>
          <w:p w14:paraId="64CCCFEF" w14:textId="77777777" w:rsidR="0067304A" w:rsidRPr="0067304A" w:rsidRDefault="0067304A" w:rsidP="0067304A">
            <w:pPr>
              <w:rPr>
                <w:lang w:val="en-GB"/>
              </w:rPr>
            </w:pPr>
            <w:r w:rsidRPr="0067304A">
              <w:rPr>
                <w:lang w:val="en-GB"/>
              </w:rPr>
              <w:lastRenderedPageBreak/>
              <w:t>Measure</w:t>
            </w:r>
          </w:p>
        </w:tc>
        <w:tc>
          <w:tcPr>
            <w:tcW w:w="490" w:type="pct"/>
          </w:tcPr>
          <w:p w14:paraId="2051F9C3" w14:textId="77777777" w:rsidR="0067304A" w:rsidRPr="0067304A" w:rsidRDefault="0067304A" w:rsidP="0067304A">
            <w:pPr>
              <w:rPr>
                <w:lang w:val="en-GB"/>
              </w:rPr>
            </w:pPr>
            <w:r w:rsidRPr="0067304A">
              <w:rPr>
                <w:lang w:val="en-GB"/>
              </w:rPr>
              <w:t>Ethnic Group </w:t>
            </w:r>
          </w:p>
        </w:tc>
        <w:tc>
          <w:tcPr>
            <w:tcW w:w="306" w:type="pct"/>
          </w:tcPr>
          <w:p w14:paraId="03E783F0" w14:textId="77777777" w:rsidR="0067304A" w:rsidRPr="0067304A" w:rsidRDefault="0067304A" w:rsidP="0067304A">
            <w:pPr>
              <w:rPr>
                <w:lang w:val="en-GB"/>
              </w:rPr>
            </w:pPr>
            <w:r w:rsidRPr="0067304A">
              <w:rPr>
                <w:lang w:val="en-GB"/>
              </w:rPr>
              <w:t xml:space="preserve">Q1 </w:t>
            </w:r>
          </w:p>
          <w:p w14:paraId="63BD3659" w14:textId="77777777" w:rsidR="0067304A" w:rsidRPr="0067304A" w:rsidRDefault="0067304A" w:rsidP="0067304A">
            <w:pPr>
              <w:rPr>
                <w:lang w:val="en-GB"/>
              </w:rPr>
            </w:pPr>
            <w:r w:rsidRPr="0067304A">
              <w:rPr>
                <w:lang w:val="en-GB"/>
              </w:rPr>
              <w:t>2022-23</w:t>
            </w:r>
          </w:p>
        </w:tc>
        <w:tc>
          <w:tcPr>
            <w:tcW w:w="288" w:type="pct"/>
          </w:tcPr>
          <w:p w14:paraId="6CDADBF5" w14:textId="77777777" w:rsidR="0067304A" w:rsidRPr="0067304A" w:rsidRDefault="0067304A" w:rsidP="0067304A">
            <w:pPr>
              <w:rPr>
                <w:lang w:val="en-GB"/>
              </w:rPr>
            </w:pPr>
            <w:r w:rsidRPr="0067304A">
              <w:rPr>
                <w:lang w:val="en-GB"/>
              </w:rPr>
              <w:t xml:space="preserve">Q2 </w:t>
            </w:r>
          </w:p>
          <w:p w14:paraId="233527DD" w14:textId="77777777" w:rsidR="0067304A" w:rsidRPr="0067304A" w:rsidRDefault="0067304A" w:rsidP="0067304A">
            <w:pPr>
              <w:rPr>
                <w:lang w:val="en-GB"/>
              </w:rPr>
            </w:pPr>
            <w:r w:rsidRPr="0067304A">
              <w:rPr>
                <w:lang w:val="en-GB"/>
              </w:rPr>
              <w:t>2022-23</w:t>
            </w:r>
          </w:p>
        </w:tc>
        <w:tc>
          <w:tcPr>
            <w:tcW w:w="334" w:type="pct"/>
          </w:tcPr>
          <w:p w14:paraId="49470574" w14:textId="77777777" w:rsidR="0067304A" w:rsidRPr="0067304A" w:rsidRDefault="0067304A" w:rsidP="0067304A">
            <w:pPr>
              <w:rPr>
                <w:lang w:val="en-GB"/>
              </w:rPr>
            </w:pPr>
            <w:r w:rsidRPr="0067304A">
              <w:rPr>
                <w:lang w:val="en-GB"/>
              </w:rPr>
              <w:t xml:space="preserve">Q3 </w:t>
            </w:r>
          </w:p>
          <w:p w14:paraId="44A90783" w14:textId="77777777" w:rsidR="0067304A" w:rsidRPr="0067304A" w:rsidRDefault="0067304A" w:rsidP="0067304A">
            <w:pPr>
              <w:rPr>
                <w:lang w:val="en-GB"/>
              </w:rPr>
            </w:pPr>
            <w:r w:rsidRPr="0067304A">
              <w:rPr>
                <w:lang w:val="en-GB"/>
              </w:rPr>
              <w:t>2022-23</w:t>
            </w:r>
          </w:p>
        </w:tc>
        <w:tc>
          <w:tcPr>
            <w:tcW w:w="293" w:type="pct"/>
          </w:tcPr>
          <w:p w14:paraId="2391F44C" w14:textId="77777777" w:rsidR="0067304A" w:rsidRPr="0067304A" w:rsidRDefault="0067304A" w:rsidP="0067304A">
            <w:pPr>
              <w:rPr>
                <w:lang w:val="en-GB"/>
              </w:rPr>
            </w:pPr>
            <w:r w:rsidRPr="0067304A">
              <w:rPr>
                <w:lang w:val="en-GB"/>
              </w:rPr>
              <w:t xml:space="preserve">Q4 </w:t>
            </w:r>
          </w:p>
          <w:p w14:paraId="3155DAEE" w14:textId="77777777" w:rsidR="0067304A" w:rsidRPr="0067304A" w:rsidRDefault="0067304A" w:rsidP="0067304A">
            <w:pPr>
              <w:rPr>
                <w:lang w:val="en-GB"/>
              </w:rPr>
            </w:pPr>
            <w:r w:rsidRPr="0067304A">
              <w:rPr>
                <w:lang w:val="en-GB"/>
              </w:rPr>
              <w:t>2022-23</w:t>
            </w:r>
          </w:p>
        </w:tc>
        <w:tc>
          <w:tcPr>
            <w:tcW w:w="333" w:type="pct"/>
          </w:tcPr>
          <w:p w14:paraId="45BCB5B3" w14:textId="77777777" w:rsidR="0067304A" w:rsidRPr="0067304A" w:rsidRDefault="0067304A" w:rsidP="0067304A">
            <w:pPr>
              <w:rPr>
                <w:lang w:val="en-GB"/>
              </w:rPr>
            </w:pPr>
            <w:r w:rsidRPr="0067304A">
              <w:rPr>
                <w:lang w:val="en-GB"/>
              </w:rPr>
              <w:t>Q1</w:t>
            </w:r>
          </w:p>
          <w:p w14:paraId="73937AAD" w14:textId="77777777" w:rsidR="0067304A" w:rsidRPr="0067304A" w:rsidRDefault="0067304A" w:rsidP="0067304A">
            <w:pPr>
              <w:rPr>
                <w:lang w:val="en-GB"/>
              </w:rPr>
            </w:pPr>
            <w:r w:rsidRPr="0067304A">
              <w:rPr>
                <w:lang w:val="en-GB"/>
              </w:rPr>
              <w:t>2023-24</w:t>
            </w:r>
          </w:p>
        </w:tc>
        <w:tc>
          <w:tcPr>
            <w:tcW w:w="1808" w:type="pct"/>
            <w:vMerge w:val="restart"/>
            <w:shd w:val="clear" w:color="auto" w:fill="auto"/>
          </w:tcPr>
          <w:p w14:paraId="645D718E" w14:textId="77777777" w:rsidR="0067304A" w:rsidRPr="0067304A" w:rsidRDefault="0067304A" w:rsidP="0067304A">
            <w:pPr>
              <w:rPr>
                <w:lang w:val="en-GB"/>
              </w:rPr>
            </w:pPr>
            <w:r w:rsidRPr="0067304A">
              <w:rPr>
                <w:noProof/>
                <w:lang w:val="en-GB"/>
              </w:rPr>
              <w:drawing>
                <wp:inline distT="0" distB="0" distL="0" distR="0" wp14:anchorId="09989AB6" wp14:editId="686BE4DF">
                  <wp:extent cx="4818490" cy="2226365"/>
                  <wp:effectExtent l="0" t="0" r="1270" b="2540"/>
                  <wp:docPr id="1825775859" name="Chart 1825775859" descr="Chart showing Proportion of people waiting longer than four months for their first specialist assess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67304A" w:rsidRPr="0067304A" w14:paraId="2D72D136" w14:textId="77777777" w:rsidTr="00496912">
        <w:trPr>
          <w:trHeight w:val="1196"/>
        </w:trPr>
        <w:tc>
          <w:tcPr>
            <w:tcW w:w="1148" w:type="pct"/>
            <w:hideMark/>
          </w:tcPr>
          <w:p w14:paraId="235E78CD" w14:textId="77777777" w:rsidR="0067304A" w:rsidRPr="0067304A" w:rsidRDefault="0067304A" w:rsidP="0067304A">
            <w:pPr>
              <w:rPr>
                <w:vertAlign w:val="superscript"/>
              </w:rPr>
            </w:pPr>
            <w:r w:rsidRPr="0067304A">
              <w:t xml:space="preserve">Proportion of people waiting longer than four months for their first specialist assessment </w:t>
            </w:r>
            <w:r w:rsidRPr="0067304A">
              <w:rPr>
                <w:bCs/>
                <w:vertAlign w:val="superscript"/>
              </w:rPr>
              <w:t>6,9,10,11</w:t>
            </w:r>
            <w:r w:rsidRPr="0067304A">
              <w:rPr>
                <w:bCs/>
              </w:rPr>
              <w:t>.</w:t>
            </w:r>
          </w:p>
          <w:p w14:paraId="7A4D1E9F" w14:textId="77777777" w:rsidR="0067304A" w:rsidRPr="0067304A" w:rsidRDefault="0067304A" w:rsidP="0067304A"/>
          <w:p w14:paraId="7B9CA4E8" w14:textId="77777777" w:rsidR="0067304A" w:rsidRPr="0067304A" w:rsidRDefault="0067304A" w:rsidP="0067304A">
            <w:pPr>
              <w:rPr>
                <w:vertAlign w:val="superscript"/>
              </w:rPr>
            </w:pPr>
            <w:r w:rsidRPr="0067304A">
              <w:t xml:space="preserve">Target: </w:t>
            </w:r>
            <w:r w:rsidRPr="0067304A">
              <w:rPr>
                <w:lang w:val="en-GB"/>
              </w:rPr>
              <w:t xml:space="preserve">0%. </w:t>
            </w:r>
            <w:r w:rsidRPr="0067304A">
              <w:t>This is a multi-year target and operational plans will determine annual target.</w:t>
            </w:r>
          </w:p>
          <w:p w14:paraId="436F4EE5" w14:textId="77777777" w:rsidR="0067304A" w:rsidRPr="0067304A" w:rsidRDefault="0067304A" w:rsidP="0067304A">
            <w:pPr>
              <w:rPr>
                <w:lang w:val="en-GB"/>
              </w:rPr>
            </w:pPr>
          </w:p>
        </w:tc>
        <w:tc>
          <w:tcPr>
            <w:tcW w:w="490" w:type="pct"/>
            <w:hideMark/>
          </w:tcPr>
          <w:p w14:paraId="20326F5A" w14:textId="77777777" w:rsidR="0067304A" w:rsidRPr="0067304A" w:rsidRDefault="0067304A" w:rsidP="0067304A">
            <w:pPr>
              <w:rPr>
                <w:lang w:val="en-GB"/>
              </w:rPr>
            </w:pPr>
            <w:r w:rsidRPr="0067304A">
              <w:t>Total</w:t>
            </w:r>
          </w:p>
        </w:tc>
        <w:tc>
          <w:tcPr>
            <w:tcW w:w="306" w:type="pct"/>
          </w:tcPr>
          <w:p w14:paraId="49E68019" w14:textId="77777777" w:rsidR="0067304A" w:rsidRPr="0067304A" w:rsidRDefault="0067304A" w:rsidP="0067304A">
            <w:pPr>
              <w:rPr>
                <w:lang w:val="en-GB"/>
              </w:rPr>
            </w:pPr>
            <w:r w:rsidRPr="0067304A">
              <w:t>25%</w:t>
            </w:r>
          </w:p>
        </w:tc>
        <w:tc>
          <w:tcPr>
            <w:tcW w:w="288" w:type="pct"/>
          </w:tcPr>
          <w:p w14:paraId="2ACD25F6" w14:textId="0DC38281" w:rsidR="0067304A" w:rsidRPr="0067304A" w:rsidRDefault="0067304A" w:rsidP="0067304A">
            <w:r w:rsidRPr="0067304A">
              <w:t>26%</w:t>
            </w:r>
            <w:r>
              <w:rPr>
                <w:lang w:val="en-GB"/>
              </w:rPr>
              <w:t xml:space="preserve"> </w:t>
            </w:r>
            <w:r w:rsidRPr="0067304A">
              <w:rPr>
                <w:rFonts w:ascii="Wingdings" w:eastAsia="Wingdings" w:hAnsi="Wingdings" w:cs="Calibri"/>
                <w:color w:val="00B050"/>
                <w:szCs w:val="24"/>
                <w:lang w:val="en-GB" w:eastAsia="en-NZ"/>
              </w:rPr>
              <w:t>Þ</w:t>
            </w:r>
          </w:p>
        </w:tc>
        <w:tc>
          <w:tcPr>
            <w:tcW w:w="334" w:type="pct"/>
          </w:tcPr>
          <w:p w14:paraId="1B3610E8" w14:textId="29B94457" w:rsidR="0067304A" w:rsidRPr="0067304A" w:rsidRDefault="0067304A" w:rsidP="0067304A">
            <w:r w:rsidRPr="0067304A">
              <w:t>32%</w:t>
            </w:r>
            <w:r>
              <w:t xml:space="preserve"> </w:t>
            </w:r>
            <w:r w:rsidRPr="0067304A" w:rsidDel="002D0B14">
              <w:rPr>
                <w:rFonts w:ascii="Wingdings" w:eastAsia="Wingdings" w:hAnsi="Wingdings" w:cs="Wingdings"/>
                <w:color w:val="FF0000"/>
                <w:szCs w:val="24"/>
              </w:rPr>
              <w:t>Ý</w:t>
            </w:r>
          </w:p>
        </w:tc>
        <w:tc>
          <w:tcPr>
            <w:tcW w:w="293" w:type="pct"/>
          </w:tcPr>
          <w:p w14:paraId="04335326" w14:textId="174F4CB4" w:rsidR="0067304A" w:rsidRPr="0067304A" w:rsidRDefault="0067304A" w:rsidP="0067304A">
            <w:r w:rsidRPr="0067304A">
              <w:t>31%</w:t>
            </w:r>
            <w:r>
              <w:rPr>
                <w:lang w:val="en-GB"/>
              </w:rPr>
              <w:t xml:space="preserve"> </w:t>
            </w:r>
            <w:r w:rsidRPr="0067304A">
              <w:rPr>
                <w:rFonts w:ascii="Wingdings" w:eastAsia="Wingdings" w:hAnsi="Wingdings" w:cs="Calibri"/>
                <w:color w:val="00B050"/>
                <w:szCs w:val="24"/>
                <w:lang w:val="en-GB" w:eastAsia="en-NZ"/>
              </w:rPr>
              <w:t>Þ</w:t>
            </w:r>
          </w:p>
        </w:tc>
        <w:tc>
          <w:tcPr>
            <w:tcW w:w="333" w:type="pct"/>
          </w:tcPr>
          <w:p w14:paraId="40099B7E" w14:textId="2C5E4251" w:rsidR="0067304A" w:rsidRPr="0067304A" w:rsidRDefault="0067304A" w:rsidP="0067304A">
            <w:r w:rsidRPr="0067304A">
              <w:t>33%</w:t>
            </w:r>
            <w:r>
              <w:t xml:space="preserve"> </w:t>
            </w:r>
            <w:r w:rsidRPr="0067304A" w:rsidDel="002D0B14">
              <w:rPr>
                <w:rFonts w:ascii="Wingdings" w:eastAsia="Wingdings" w:hAnsi="Wingdings" w:cs="Wingdings"/>
                <w:color w:val="FF0000"/>
                <w:szCs w:val="24"/>
              </w:rPr>
              <w:t>Ý</w:t>
            </w:r>
          </w:p>
        </w:tc>
        <w:tc>
          <w:tcPr>
            <w:tcW w:w="1808" w:type="pct"/>
            <w:vMerge/>
            <w:shd w:val="clear" w:color="auto" w:fill="auto"/>
          </w:tcPr>
          <w:p w14:paraId="4B9EFD93" w14:textId="77777777" w:rsidR="0067304A" w:rsidRPr="0067304A" w:rsidRDefault="0067304A" w:rsidP="0067304A">
            <w:pPr>
              <w:rPr>
                <w:lang w:val="en-GB"/>
              </w:rPr>
            </w:pPr>
          </w:p>
        </w:tc>
      </w:tr>
      <w:tr w:rsidR="0067304A" w:rsidRPr="0067304A" w14:paraId="333EC1AB" w14:textId="77777777" w:rsidTr="00496912">
        <w:trPr>
          <w:trHeight w:val="300"/>
        </w:trPr>
        <w:tc>
          <w:tcPr>
            <w:tcW w:w="1148" w:type="pct"/>
          </w:tcPr>
          <w:p w14:paraId="28D0D22B" w14:textId="77777777" w:rsidR="0067304A" w:rsidRPr="0067304A" w:rsidRDefault="0067304A" w:rsidP="0067304A">
            <w:pPr>
              <w:rPr>
                <w:bCs/>
                <w:lang w:val="en-GB"/>
              </w:rPr>
            </w:pPr>
            <w:r w:rsidRPr="0067304A">
              <w:rPr>
                <w:bCs/>
                <w:lang w:val="en-GB"/>
              </w:rPr>
              <w:t>Comments</w:t>
            </w:r>
          </w:p>
        </w:tc>
        <w:tc>
          <w:tcPr>
            <w:tcW w:w="3852" w:type="pct"/>
            <w:gridSpan w:val="7"/>
          </w:tcPr>
          <w:p w14:paraId="6E1B9562" w14:textId="77777777" w:rsidR="0067304A" w:rsidRPr="0067304A" w:rsidRDefault="0067304A" w:rsidP="0067304A">
            <w:pPr>
              <w:rPr>
                <w:lang w:val="en-GB"/>
              </w:rPr>
            </w:pPr>
            <w:r w:rsidRPr="0067304A">
              <w:rPr>
                <w:lang w:val="en-GB"/>
              </w:rPr>
              <w:t>There was an increase in the proportion of people waiting longer than four months for their first specialist assessment (FSA). A significant reduction in the FSA wait list is required. The approach to improvement involves several workstreams (in addition to the ongoing challenge of having adequate workforce capacity).  These include reducing the variation in how FSA wait lists are reported across districts and creating a nationally-consistent wait list in the national Rapid application, automating the FSA reporting process, validating that the wait list is current and accurate through data management and patient communication, introducing new clinically safe pathways to maximise use of allied health professionals in the assessment of patients, move assessment into the community and manage referral processes and to review follow up visit practices to release clinical capacity. The measure is currently reported at a national level for the whole population, a focus on ethnicity and geographical areas is the preferred approach for future versions. This is a multi-year target and operational planning currently underway for 2023-24 and outyears will address specific actions to achieve this.</w:t>
            </w:r>
          </w:p>
        </w:tc>
      </w:tr>
    </w:tbl>
    <w:p w14:paraId="5A8CC0C9" w14:textId="77777777" w:rsidR="0067304A" w:rsidRDefault="0067304A" w:rsidP="00E92FE9">
      <w:pPr>
        <w:pStyle w:val="TableText"/>
      </w:pPr>
    </w:p>
    <w:tbl>
      <w:tblPr>
        <w:tblStyle w:val="TeWhatuOra"/>
        <w:tblW w:w="5000" w:type="pct"/>
        <w:tblLook w:val="0420" w:firstRow="1" w:lastRow="0" w:firstColumn="0" w:lastColumn="0" w:noHBand="0" w:noVBand="1"/>
      </w:tblPr>
      <w:tblGrid>
        <w:gridCol w:w="4901"/>
        <w:gridCol w:w="2123"/>
        <w:gridCol w:w="1314"/>
        <w:gridCol w:w="1275"/>
        <w:gridCol w:w="1391"/>
        <w:gridCol w:w="1309"/>
        <w:gridCol w:w="1434"/>
        <w:gridCol w:w="7786"/>
      </w:tblGrid>
      <w:tr w:rsidR="0067304A" w:rsidRPr="0067304A" w14:paraId="4D81304D" w14:textId="77777777" w:rsidTr="00A95C80">
        <w:trPr>
          <w:cnfStyle w:val="100000000000" w:firstRow="1" w:lastRow="0" w:firstColumn="0" w:lastColumn="0" w:oddVBand="0" w:evenVBand="0" w:oddHBand="0" w:evenHBand="0" w:firstRowFirstColumn="0" w:firstRowLastColumn="0" w:lastRowFirstColumn="0" w:lastRowLastColumn="0"/>
          <w:trHeight w:val="505"/>
        </w:trPr>
        <w:tc>
          <w:tcPr>
            <w:tcW w:w="1138" w:type="pct"/>
          </w:tcPr>
          <w:p w14:paraId="7449469E" w14:textId="77777777" w:rsidR="0067304A" w:rsidRPr="0067304A" w:rsidRDefault="0067304A" w:rsidP="0067304A">
            <w:r w:rsidRPr="0067304A">
              <w:rPr>
                <w:lang w:val="en-GB"/>
              </w:rPr>
              <w:t>Measure</w:t>
            </w:r>
          </w:p>
        </w:tc>
        <w:tc>
          <w:tcPr>
            <w:tcW w:w="493" w:type="pct"/>
          </w:tcPr>
          <w:p w14:paraId="3A2722DF" w14:textId="77777777" w:rsidR="0067304A" w:rsidRPr="0067304A" w:rsidRDefault="0067304A" w:rsidP="0067304A">
            <w:pPr>
              <w:rPr>
                <w:lang w:val="en-GB"/>
              </w:rPr>
            </w:pPr>
            <w:r w:rsidRPr="0067304A">
              <w:rPr>
                <w:bCs/>
                <w:lang w:val="en-GB"/>
              </w:rPr>
              <w:t>Ethnic Group </w:t>
            </w:r>
          </w:p>
        </w:tc>
        <w:tc>
          <w:tcPr>
            <w:tcW w:w="305" w:type="pct"/>
          </w:tcPr>
          <w:p w14:paraId="0A718813" w14:textId="77777777" w:rsidR="0067304A" w:rsidRPr="0067304A" w:rsidRDefault="0067304A" w:rsidP="0067304A">
            <w:pPr>
              <w:rPr>
                <w:lang w:val="en-GB"/>
              </w:rPr>
            </w:pPr>
            <w:r w:rsidRPr="0067304A">
              <w:rPr>
                <w:lang w:val="en-GB"/>
              </w:rPr>
              <w:t xml:space="preserve">Q1 </w:t>
            </w:r>
          </w:p>
          <w:p w14:paraId="407E0A2F" w14:textId="77777777" w:rsidR="0067304A" w:rsidRPr="0067304A" w:rsidRDefault="0067304A" w:rsidP="0067304A">
            <w:pPr>
              <w:rPr>
                <w:lang w:val="en-GB"/>
              </w:rPr>
            </w:pPr>
            <w:r w:rsidRPr="0067304A">
              <w:rPr>
                <w:lang w:val="en-GB"/>
              </w:rPr>
              <w:t>2022-23</w:t>
            </w:r>
          </w:p>
        </w:tc>
        <w:tc>
          <w:tcPr>
            <w:tcW w:w="296" w:type="pct"/>
          </w:tcPr>
          <w:p w14:paraId="3E597947" w14:textId="77777777" w:rsidR="0067304A" w:rsidRPr="0067304A" w:rsidRDefault="0067304A" w:rsidP="0067304A">
            <w:pPr>
              <w:rPr>
                <w:lang w:val="en-GB"/>
              </w:rPr>
            </w:pPr>
            <w:r w:rsidRPr="0067304A">
              <w:rPr>
                <w:lang w:val="en-GB"/>
              </w:rPr>
              <w:t xml:space="preserve">Q2 </w:t>
            </w:r>
          </w:p>
          <w:p w14:paraId="098E6838" w14:textId="77777777" w:rsidR="0067304A" w:rsidRPr="0067304A" w:rsidRDefault="0067304A" w:rsidP="0067304A">
            <w:pPr>
              <w:rPr>
                <w:lang w:val="en-GB"/>
              </w:rPr>
            </w:pPr>
            <w:r w:rsidRPr="0067304A">
              <w:rPr>
                <w:lang w:val="en-GB"/>
              </w:rPr>
              <w:t>2022-23</w:t>
            </w:r>
          </w:p>
        </w:tc>
        <w:tc>
          <w:tcPr>
            <w:tcW w:w="323" w:type="pct"/>
          </w:tcPr>
          <w:p w14:paraId="3740F480" w14:textId="77777777" w:rsidR="0067304A" w:rsidRPr="0067304A" w:rsidRDefault="0067304A" w:rsidP="0067304A">
            <w:pPr>
              <w:rPr>
                <w:lang w:val="en-GB"/>
              </w:rPr>
            </w:pPr>
            <w:r w:rsidRPr="0067304A">
              <w:rPr>
                <w:lang w:val="en-GB"/>
              </w:rPr>
              <w:t xml:space="preserve">Q3 </w:t>
            </w:r>
          </w:p>
          <w:p w14:paraId="51F0A944" w14:textId="77777777" w:rsidR="0067304A" w:rsidRPr="0067304A" w:rsidRDefault="0067304A" w:rsidP="0067304A">
            <w:pPr>
              <w:rPr>
                <w:lang w:val="en-GB"/>
              </w:rPr>
            </w:pPr>
            <w:r w:rsidRPr="0067304A">
              <w:rPr>
                <w:lang w:val="en-GB"/>
              </w:rPr>
              <w:t>2022-23</w:t>
            </w:r>
          </w:p>
        </w:tc>
        <w:tc>
          <w:tcPr>
            <w:tcW w:w="304" w:type="pct"/>
          </w:tcPr>
          <w:p w14:paraId="189A7C95" w14:textId="77777777" w:rsidR="0067304A" w:rsidRPr="0067304A" w:rsidRDefault="0067304A" w:rsidP="0067304A">
            <w:pPr>
              <w:rPr>
                <w:lang w:val="en-GB"/>
              </w:rPr>
            </w:pPr>
            <w:r w:rsidRPr="0067304A">
              <w:rPr>
                <w:lang w:val="en-GB"/>
              </w:rPr>
              <w:t xml:space="preserve">Q4 </w:t>
            </w:r>
          </w:p>
          <w:p w14:paraId="79AA22A9" w14:textId="77777777" w:rsidR="0067304A" w:rsidRPr="0067304A" w:rsidRDefault="0067304A" w:rsidP="0067304A">
            <w:pPr>
              <w:rPr>
                <w:lang w:val="en-GB"/>
              </w:rPr>
            </w:pPr>
            <w:r w:rsidRPr="0067304A">
              <w:rPr>
                <w:lang w:val="en-GB"/>
              </w:rPr>
              <w:t>2022-23</w:t>
            </w:r>
          </w:p>
        </w:tc>
        <w:tc>
          <w:tcPr>
            <w:tcW w:w="333" w:type="pct"/>
          </w:tcPr>
          <w:p w14:paraId="0F00B8FD" w14:textId="77777777" w:rsidR="0067304A" w:rsidRPr="0067304A" w:rsidRDefault="0067304A" w:rsidP="0067304A">
            <w:pPr>
              <w:rPr>
                <w:lang w:val="en-GB"/>
              </w:rPr>
            </w:pPr>
            <w:r w:rsidRPr="0067304A">
              <w:rPr>
                <w:lang w:val="en-GB"/>
              </w:rPr>
              <w:t>Q1</w:t>
            </w:r>
          </w:p>
          <w:p w14:paraId="29C584AC" w14:textId="77777777" w:rsidR="0067304A" w:rsidRPr="0067304A" w:rsidRDefault="0067304A" w:rsidP="0067304A">
            <w:pPr>
              <w:rPr>
                <w:lang w:val="en-GB"/>
              </w:rPr>
            </w:pPr>
            <w:r w:rsidRPr="0067304A">
              <w:rPr>
                <w:lang w:val="en-GB"/>
              </w:rPr>
              <w:t>2023-24</w:t>
            </w:r>
          </w:p>
        </w:tc>
        <w:tc>
          <w:tcPr>
            <w:tcW w:w="1808" w:type="pct"/>
            <w:vMerge w:val="restart"/>
            <w:shd w:val="clear" w:color="auto" w:fill="auto"/>
          </w:tcPr>
          <w:p w14:paraId="197F8E42" w14:textId="77777777" w:rsidR="0067304A" w:rsidRPr="0067304A" w:rsidRDefault="0067304A" w:rsidP="0067304A">
            <w:pPr>
              <w:rPr>
                <w:lang w:val="en-GB"/>
              </w:rPr>
            </w:pPr>
            <w:r w:rsidRPr="0067304A">
              <w:rPr>
                <w:noProof/>
                <w:lang w:val="en-GB"/>
              </w:rPr>
              <w:drawing>
                <wp:inline distT="0" distB="0" distL="0" distR="0" wp14:anchorId="1F515A55" wp14:editId="54036764">
                  <wp:extent cx="4800600" cy="2273300"/>
                  <wp:effectExtent l="0" t="0" r="0" b="0"/>
                  <wp:docPr id="1825775860" name="Chart 1825775860" descr="Chart showing Proportion of people given a commitment to treatment but not treated within four months."/>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67304A" w:rsidRPr="0067304A" w14:paraId="24DAC008" w14:textId="77777777" w:rsidTr="00A95C80">
        <w:trPr>
          <w:trHeight w:val="505"/>
        </w:trPr>
        <w:tc>
          <w:tcPr>
            <w:tcW w:w="1138" w:type="pct"/>
            <w:vMerge w:val="restart"/>
            <w:hideMark/>
          </w:tcPr>
          <w:p w14:paraId="7026C7E5" w14:textId="77777777" w:rsidR="0067304A" w:rsidRPr="0067304A" w:rsidRDefault="0067304A" w:rsidP="0067304A">
            <w:pPr>
              <w:rPr>
                <w:vertAlign w:val="superscript"/>
              </w:rPr>
            </w:pPr>
            <w:r w:rsidRPr="0067304A">
              <w:t xml:space="preserve">Proportion of people given a commitment to treatment but not treated within four months </w:t>
            </w:r>
            <w:r w:rsidRPr="0067304A">
              <w:rPr>
                <w:vertAlign w:val="superscript"/>
              </w:rPr>
              <w:t>6</w:t>
            </w:r>
            <w:r w:rsidRPr="0067304A">
              <w:t>.</w:t>
            </w:r>
          </w:p>
          <w:p w14:paraId="1ACF98CD" w14:textId="77777777" w:rsidR="0067304A" w:rsidRPr="0067304A" w:rsidRDefault="0067304A" w:rsidP="0067304A"/>
          <w:p w14:paraId="2925A6A6" w14:textId="77777777" w:rsidR="0067304A" w:rsidRPr="0067304A" w:rsidRDefault="0067304A" w:rsidP="0067304A">
            <w:r w:rsidRPr="0067304A">
              <w:t xml:space="preserve">Target: </w:t>
            </w:r>
            <w:r w:rsidRPr="0067304A">
              <w:rPr>
                <w:lang w:val="en-GB"/>
              </w:rPr>
              <w:t xml:space="preserve">0%. </w:t>
            </w:r>
            <w:r w:rsidRPr="0067304A">
              <w:t>This is a multi-year target and operational plans will determine annual target.</w:t>
            </w:r>
          </w:p>
        </w:tc>
        <w:tc>
          <w:tcPr>
            <w:tcW w:w="493" w:type="pct"/>
            <w:hideMark/>
          </w:tcPr>
          <w:p w14:paraId="2476EE4C" w14:textId="77777777" w:rsidR="0067304A" w:rsidRPr="0067304A" w:rsidRDefault="0067304A" w:rsidP="0067304A">
            <w:pPr>
              <w:rPr>
                <w:lang w:val="en-GB"/>
              </w:rPr>
            </w:pPr>
            <w:r w:rsidRPr="0067304A">
              <w:rPr>
                <w:lang w:val="en-GB"/>
              </w:rPr>
              <w:t>Māori</w:t>
            </w:r>
          </w:p>
        </w:tc>
        <w:tc>
          <w:tcPr>
            <w:tcW w:w="305" w:type="pct"/>
          </w:tcPr>
          <w:p w14:paraId="01A091BC" w14:textId="77777777" w:rsidR="0067304A" w:rsidRPr="0067304A" w:rsidRDefault="0067304A" w:rsidP="0067304A">
            <w:pPr>
              <w:rPr>
                <w:lang w:val="en-GB"/>
              </w:rPr>
            </w:pPr>
            <w:r w:rsidRPr="0067304A">
              <w:rPr>
                <w:lang w:val="en-GB"/>
              </w:rPr>
              <w:t>41%</w:t>
            </w:r>
          </w:p>
        </w:tc>
        <w:tc>
          <w:tcPr>
            <w:tcW w:w="296" w:type="pct"/>
          </w:tcPr>
          <w:p w14:paraId="08038EA6" w14:textId="574971E8" w:rsidR="0067304A" w:rsidRPr="0067304A" w:rsidRDefault="0067304A" w:rsidP="0067304A">
            <w:pPr>
              <w:rPr>
                <w:lang w:val="en-GB"/>
              </w:rPr>
            </w:pPr>
            <w:r w:rsidRPr="0067304A">
              <w:rPr>
                <w:lang w:val="en-GB"/>
              </w:rPr>
              <w:t>41%</w:t>
            </w:r>
            <w:r>
              <w:rPr>
                <w:lang w:val="en-GB"/>
              </w:rPr>
              <w:t xml:space="preserve"> </w:t>
            </w:r>
            <w:r w:rsidRPr="00CE0F64">
              <w:rPr>
                <w:rFonts w:ascii="Wingdings" w:eastAsia="Wingdings" w:hAnsi="Wingdings" w:cs="Calibri"/>
                <w:b/>
                <w:color w:val="FFC000"/>
                <w:szCs w:val="24"/>
                <w:lang w:val="en-GB" w:eastAsia="en-NZ"/>
              </w:rPr>
              <w:t>Ü</w:t>
            </w:r>
          </w:p>
        </w:tc>
        <w:tc>
          <w:tcPr>
            <w:tcW w:w="323" w:type="pct"/>
          </w:tcPr>
          <w:p w14:paraId="0B843660" w14:textId="046604FC" w:rsidR="0067304A" w:rsidRPr="0067304A" w:rsidRDefault="0067304A" w:rsidP="0067304A">
            <w:pPr>
              <w:rPr>
                <w:lang w:val="en-GB"/>
              </w:rPr>
            </w:pPr>
            <w:r w:rsidRPr="0067304A">
              <w:rPr>
                <w:lang w:val="en-GB"/>
              </w:rPr>
              <w:t>47%</w:t>
            </w:r>
            <w:r>
              <w:t xml:space="preserve"> </w:t>
            </w:r>
            <w:r w:rsidRPr="0067304A">
              <w:rPr>
                <w:rFonts w:ascii="Wingdings" w:eastAsia="Wingdings" w:hAnsi="Wingdings" w:cs="Wingdings"/>
                <w:color w:val="FF0000"/>
                <w:szCs w:val="24"/>
              </w:rPr>
              <w:t>Ý</w:t>
            </w:r>
          </w:p>
        </w:tc>
        <w:tc>
          <w:tcPr>
            <w:tcW w:w="304" w:type="pct"/>
          </w:tcPr>
          <w:p w14:paraId="6A26A51A" w14:textId="2560B6F2" w:rsidR="0067304A" w:rsidRPr="0067304A" w:rsidRDefault="0067304A" w:rsidP="0067304A">
            <w:pPr>
              <w:rPr>
                <w:lang w:val="en-GB"/>
              </w:rPr>
            </w:pPr>
            <w:r w:rsidRPr="0067304A">
              <w:rPr>
                <w:lang w:val="en-GB"/>
              </w:rPr>
              <w:t>43%</w:t>
            </w:r>
            <w:r>
              <w:t xml:space="preserve"> </w:t>
            </w:r>
            <w:r w:rsidRPr="0067304A">
              <w:rPr>
                <w:rFonts w:ascii="Wingdings" w:eastAsia="Wingdings" w:hAnsi="Wingdings" w:cs="Wingdings"/>
                <w:color w:val="00B050"/>
                <w:szCs w:val="24"/>
              </w:rPr>
              <w:t>Ý</w:t>
            </w:r>
          </w:p>
        </w:tc>
        <w:tc>
          <w:tcPr>
            <w:tcW w:w="333" w:type="pct"/>
          </w:tcPr>
          <w:p w14:paraId="6798BCAF" w14:textId="6E8416CB" w:rsidR="0067304A" w:rsidRPr="0067304A" w:rsidRDefault="0067304A" w:rsidP="0067304A">
            <w:pPr>
              <w:rPr>
                <w:lang w:val="en-GB"/>
              </w:rPr>
            </w:pPr>
            <w:r w:rsidRPr="0067304A">
              <w:rPr>
                <w:lang w:val="en-GB"/>
              </w:rPr>
              <w:t>40%</w:t>
            </w:r>
            <w:r>
              <w:t xml:space="preserve"> </w:t>
            </w:r>
            <w:r w:rsidRPr="0067304A">
              <w:rPr>
                <w:rFonts w:ascii="Wingdings" w:eastAsia="Wingdings" w:hAnsi="Wingdings" w:cs="Wingdings"/>
                <w:color w:val="00B050"/>
                <w:szCs w:val="24"/>
              </w:rPr>
              <w:t>Ý</w:t>
            </w:r>
          </w:p>
        </w:tc>
        <w:tc>
          <w:tcPr>
            <w:tcW w:w="1808" w:type="pct"/>
            <w:vMerge/>
            <w:shd w:val="clear" w:color="auto" w:fill="auto"/>
          </w:tcPr>
          <w:p w14:paraId="698B6CD3" w14:textId="77777777" w:rsidR="0067304A" w:rsidRPr="0067304A" w:rsidRDefault="0067304A" w:rsidP="0067304A">
            <w:pPr>
              <w:rPr>
                <w:lang w:val="en-GB"/>
              </w:rPr>
            </w:pPr>
          </w:p>
        </w:tc>
      </w:tr>
      <w:tr w:rsidR="0067304A" w:rsidRPr="0067304A" w14:paraId="434B07B8" w14:textId="77777777" w:rsidTr="00A95C80">
        <w:trPr>
          <w:trHeight w:val="505"/>
        </w:trPr>
        <w:tc>
          <w:tcPr>
            <w:tcW w:w="1138" w:type="pct"/>
            <w:vMerge/>
            <w:hideMark/>
          </w:tcPr>
          <w:p w14:paraId="7705C387" w14:textId="77777777" w:rsidR="0067304A" w:rsidRPr="0067304A" w:rsidRDefault="0067304A" w:rsidP="0067304A">
            <w:pPr>
              <w:rPr>
                <w:lang w:val="en-GB"/>
              </w:rPr>
            </w:pPr>
          </w:p>
        </w:tc>
        <w:tc>
          <w:tcPr>
            <w:tcW w:w="493" w:type="pct"/>
            <w:hideMark/>
          </w:tcPr>
          <w:p w14:paraId="332AFCF7" w14:textId="77777777" w:rsidR="0067304A" w:rsidRPr="0067304A" w:rsidRDefault="0067304A" w:rsidP="0067304A">
            <w:pPr>
              <w:rPr>
                <w:lang w:val="en-GB"/>
              </w:rPr>
            </w:pPr>
            <w:r w:rsidRPr="0067304A">
              <w:rPr>
                <w:lang w:val="en-GB"/>
              </w:rPr>
              <w:t>Pacific</w:t>
            </w:r>
          </w:p>
        </w:tc>
        <w:tc>
          <w:tcPr>
            <w:tcW w:w="305" w:type="pct"/>
          </w:tcPr>
          <w:p w14:paraId="1337715D" w14:textId="77777777" w:rsidR="0067304A" w:rsidRPr="0067304A" w:rsidRDefault="0067304A" w:rsidP="0067304A">
            <w:pPr>
              <w:rPr>
                <w:lang w:val="en-GB"/>
              </w:rPr>
            </w:pPr>
            <w:r w:rsidRPr="0067304A">
              <w:rPr>
                <w:lang w:val="en-GB"/>
              </w:rPr>
              <w:t>32%</w:t>
            </w:r>
          </w:p>
        </w:tc>
        <w:tc>
          <w:tcPr>
            <w:tcW w:w="296" w:type="pct"/>
          </w:tcPr>
          <w:p w14:paraId="5104CA43" w14:textId="70B8212C" w:rsidR="0067304A" w:rsidRPr="0067304A" w:rsidRDefault="0067304A" w:rsidP="0067304A">
            <w:pPr>
              <w:rPr>
                <w:lang w:val="en-GB"/>
              </w:rPr>
            </w:pPr>
            <w:r w:rsidRPr="0067304A">
              <w:rPr>
                <w:lang w:val="en-GB"/>
              </w:rPr>
              <w:t>33%</w:t>
            </w:r>
            <w:r>
              <w:t xml:space="preserve"> </w:t>
            </w:r>
            <w:r w:rsidRPr="0067304A">
              <w:rPr>
                <w:rFonts w:ascii="Wingdings" w:eastAsia="Wingdings" w:hAnsi="Wingdings" w:cs="Wingdings"/>
                <w:color w:val="FF0000"/>
                <w:szCs w:val="24"/>
              </w:rPr>
              <w:t>Ý</w:t>
            </w:r>
          </w:p>
        </w:tc>
        <w:tc>
          <w:tcPr>
            <w:tcW w:w="323" w:type="pct"/>
          </w:tcPr>
          <w:p w14:paraId="3FD03F23" w14:textId="7B5D32AC" w:rsidR="0067304A" w:rsidRPr="0067304A" w:rsidRDefault="0067304A" w:rsidP="0067304A">
            <w:pPr>
              <w:rPr>
                <w:lang w:val="en-GB"/>
              </w:rPr>
            </w:pPr>
            <w:r w:rsidRPr="0067304A">
              <w:rPr>
                <w:lang w:val="en-GB"/>
              </w:rPr>
              <w:t>40%</w:t>
            </w:r>
            <w:r>
              <w:t xml:space="preserve"> </w:t>
            </w:r>
            <w:r w:rsidRPr="0067304A">
              <w:rPr>
                <w:rFonts w:ascii="Wingdings" w:eastAsia="Wingdings" w:hAnsi="Wingdings" w:cs="Wingdings"/>
                <w:color w:val="FF0000"/>
                <w:szCs w:val="24"/>
              </w:rPr>
              <w:t>Ý</w:t>
            </w:r>
          </w:p>
        </w:tc>
        <w:tc>
          <w:tcPr>
            <w:tcW w:w="304" w:type="pct"/>
          </w:tcPr>
          <w:p w14:paraId="3312F08A" w14:textId="5FA6511C" w:rsidR="0067304A" w:rsidRPr="0067304A" w:rsidRDefault="0067304A" w:rsidP="0067304A">
            <w:pPr>
              <w:rPr>
                <w:lang w:val="en-GB"/>
              </w:rPr>
            </w:pPr>
            <w:r w:rsidRPr="0067304A">
              <w:rPr>
                <w:lang w:val="en-GB"/>
              </w:rPr>
              <w:t>37%</w:t>
            </w:r>
            <w:r>
              <w:rPr>
                <w:lang w:val="en-GB"/>
              </w:rPr>
              <w:t xml:space="preserve"> </w:t>
            </w:r>
            <w:r w:rsidRPr="0067304A">
              <w:rPr>
                <w:rFonts w:ascii="Wingdings" w:eastAsia="Wingdings" w:hAnsi="Wingdings" w:cs="Wingdings"/>
                <w:color w:val="00B050"/>
                <w:szCs w:val="24"/>
              </w:rPr>
              <w:t>Ý</w:t>
            </w:r>
          </w:p>
        </w:tc>
        <w:tc>
          <w:tcPr>
            <w:tcW w:w="333" w:type="pct"/>
          </w:tcPr>
          <w:p w14:paraId="78A2BB44" w14:textId="4372BC91" w:rsidR="0067304A" w:rsidRPr="0067304A" w:rsidRDefault="0067304A" w:rsidP="0067304A">
            <w:pPr>
              <w:rPr>
                <w:lang w:val="en-GB"/>
              </w:rPr>
            </w:pPr>
            <w:r w:rsidRPr="0067304A">
              <w:rPr>
                <w:lang w:val="en-GB"/>
              </w:rPr>
              <w:t>37%</w:t>
            </w:r>
            <w:r>
              <w:rPr>
                <w:b/>
                <w:lang w:val="en-GB"/>
              </w:rPr>
              <w:t xml:space="preserve"> </w:t>
            </w:r>
            <w:r w:rsidRPr="00CE0F64">
              <w:rPr>
                <w:rFonts w:ascii="Wingdings" w:eastAsia="Wingdings" w:hAnsi="Wingdings" w:cs="Calibri"/>
                <w:b/>
                <w:color w:val="FFC000"/>
                <w:szCs w:val="24"/>
                <w:lang w:val="en-GB" w:eastAsia="en-NZ"/>
              </w:rPr>
              <w:t>Ü</w:t>
            </w:r>
          </w:p>
        </w:tc>
        <w:tc>
          <w:tcPr>
            <w:tcW w:w="1808" w:type="pct"/>
            <w:vMerge/>
            <w:shd w:val="clear" w:color="auto" w:fill="auto"/>
          </w:tcPr>
          <w:p w14:paraId="15F71771" w14:textId="77777777" w:rsidR="0067304A" w:rsidRPr="0067304A" w:rsidRDefault="0067304A" w:rsidP="0067304A">
            <w:pPr>
              <w:rPr>
                <w:lang w:val="en-GB"/>
              </w:rPr>
            </w:pPr>
          </w:p>
        </w:tc>
      </w:tr>
      <w:tr w:rsidR="0067304A" w:rsidRPr="0067304A" w14:paraId="3615E840" w14:textId="77777777" w:rsidTr="00A95C80">
        <w:trPr>
          <w:trHeight w:val="505"/>
        </w:trPr>
        <w:tc>
          <w:tcPr>
            <w:tcW w:w="1138" w:type="pct"/>
            <w:vMerge/>
          </w:tcPr>
          <w:p w14:paraId="3073E421" w14:textId="77777777" w:rsidR="0067304A" w:rsidRPr="0067304A" w:rsidRDefault="0067304A" w:rsidP="0067304A">
            <w:pPr>
              <w:rPr>
                <w:lang w:val="en-GB"/>
              </w:rPr>
            </w:pPr>
          </w:p>
        </w:tc>
        <w:tc>
          <w:tcPr>
            <w:tcW w:w="493" w:type="pct"/>
          </w:tcPr>
          <w:p w14:paraId="690387FF" w14:textId="399DB13C" w:rsidR="0067304A" w:rsidRPr="0067304A" w:rsidRDefault="0067304A" w:rsidP="0067304A">
            <w:pPr>
              <w:rPr>
                <w:lang w:val="en-GB"/>
              </w:rPr>
            </w:pPr>
            <w:r w:rsidRPr="0067304A">
              <w:rPr>
                <w:lang w:val="en-GB"/>
              </w:rPr>
              <w:t xml:space="preserve">European and </w:t>
            </w:r>
            <w:r w:rsidR="009E072E">
              <w:rPr>
                <w:lang w:val="en-GB"/>
              </w:rPr>
              <w:t>All</w:t>
            </w:r>
            <w:r w:rsidRPr="0067304A">
              <w:rPr>
                <w:lang w:val="en-GB"/>
              </w:rPr>
              <w:t xml:space="preserve"> other ethnicities</w:t>
            </w:r>
          </w:p>
        </w:tc>
        <w:tc>
          <w:tcPr>
            <w:tcW w:w="305" w:type="pct"/>
          </w:tcPr>
          <w:p w14:paraId="478542D0" w14:textId="77777777" w:rsidR="0067304A" w:rsidRPr="0067304A" w:rsidRDefault="0067304A" w:rsidP="0067304A">
            <w:pPr>
              <w:rPr>
                <w:lang w:val="en-GB"/>
              </w:rPr>
            </w:pPr>
            <w:r w:rsidRPr="0067304A">
              <w:rPr>
                <w:lang w:val="en-GB"/>
              </w:rPr>
              <w:t>39%</w:t>
            </w:r>
          </w:p>
        </w:tc>
        <w:tc>
          <w:tcPr>
            <w:tcW w:w="296" w:type="pct"/>
          </w:tcPr>
          <w:p w14:paraId="5E610518" w14:textId="75040A25" w:rsidR="0067304A" w:rsidRPr="0067304A" w:rsidRDefault="0067304A" w:rsidP="0067304A">
            <w:pPr>
              <w:rPr>
                <w:lang w:val="en-GB"/>
              </w:rPr>
            </w:pPr>
            <w:r w:rsidRPr="0067304A">
              <w:rPr>
                <w:lang w:val="en-GB"/>
              </w:rPr>
              <w:t>41%</w:t>
            </w:r>
            <w:r>
              <w:t xml:space="preserve"> </w:t>
            </w:r>
            <w:r w:rsidRPr="0067304A">
              <w:rPr>
                <w:rFonts w:ascii="Wingdings" w:eastAsia="Wingdings" w:hAnsi="Wingdings" w:cs="Wingdings"/>
                <w:color w:val="FF0000"/>
                <w:szCs w:val="24"/>
              </w:rPr>
              <w:t>Ý</w:t>
            </w:r>
          </w:p>
        </w:tc>
        <w:tc>
          <w:tcPr>
            <w:tcW w:w="323" w:type="pct"/>
          </w:tcPr>
          <w:p w14:paraId="4B0D5A43" w14:textId="50CB7F5B" w:rsidR="0067304A" w:rsidRPr="0067304A" w:rsidRDefault="0067304A" w:rsidP="0067304A">
            <w:pPr>
              <w:rPr>
                <w:lang w:val="en-GB"/>
              </w:rPr>
            </w:pPr>
            <w:r w:rsidRPr="0067304A">
              <w:rPr>
                <w:lang w:val="en-GB"/>
              </w:rPr>
              <w:t>45%</w:t>
            </w:r>
            <w:r>
              <w:t xml:space="preserve"> </w:t>
            </w:r>
            <w:r w:rsidRPr="0067304A">
              <w:rPr>
                <w:rFonts w:ascii="Wingdings" w:eastAsia="Wingdings" w:hAnsi="Wingdings" w:cs="Wingdings"/>
                <w:color w:val="FF0000"/>
                <w:szCs w:val="24"/>
              </w:rPr>
              <w:t>Ý</w:t>
            </w:r>
          </w:p>
        </w:tc>
        <w:tc>
          <w:tcPr>
            <w:tcW w:w="304" w:type="pct"/>
          </w:tcPr>
          <w:p w14:paraId="5A4C8F6F" w14:textId="1229505E" w:rsidR="0067304A" w:rsidRPr="0067304A" w:rsidRDefault="0067304A" w:rsidP="0067304A">
            <w:pPr>
              <w:rPr>
                <w:lang w:val="en-GB"/>
              </w:rPr>
            </w:pPr>
            <w:r w:rsidRPr="0067304A">
              <w:rPr>
                <w:lang w:val="en-GB"/>
              </w:rPr>
              <w:t>40%</w:t>
            </w:r>
            <w:r>
              <w:rPr>
                <w:lang w:val="en-GB"/>
              </w:rPr>
              <w:t xml:space="preserve"> </w:t>
            </w:r>
            <w:r w:rsidRPr="0067304A">
              <w:rPr>
                <w:rFonts w:ascii="Wingdings" w:eastAsia="Wingdings" w:hAnsi="Wingdings" w:cs="Wingdings"/>
                <w:color w:val="00B050"/>
                <w:szCs w:val="24"/>
              </w:rPr>
              <w:t>Ý</w:t>
            </w:r>
          </w:p>
        </w:tc>
        <w:tc>
          <w:tcPr>
            <w:tcW w:w="333" w:type="pct"/>
          </w:tcPr>
          <w:p w14:paraId="46278006" w14:textId="7068BA01" w:rsidR="0067304A" w:rsidRPr="0067304A" w:rsidRDefault="0067304A" w:rsidP="0067304A">
            <w:pPr>
              <w:rPr>
                <w:lang w:val="en-GB"/>
              </w:rPr>
            </w:pPr>
            <w:r w:rsidRPr="0067304A">
              <w:rPr>
                <w:lang w:val="en-GB"/>
              </w:rPr>
              <w:t>39%</w:t>
            </w:r>
            <w:r>
              <w:rPr>
                <w:lang w:val="en-GB"/>
              </w:rPr>
              <w:t xml:space="preserve"> </w:t>
            </w:r>
            <w:r w:rsidRPr="0067304A">
              <w:rPr>
                <w:rFonts w:ascii="Wingdings" w:eastAsia="Wingdings" w:hAnsi="Wingdings" w:cs="Wingdings"/>
                <w:color w:val="00B050"/>
                <w:szCs w:val="24"/>
              </w:rPr>
              <w:t>Ý</w:t>
            </w:r>
          </w:p>
        </w:tc>
        <w:tc>
          <w:tcPr>
            <w:tcW w:w="1808" w:type="pct"/>
            <w:vMerge/>
            <w:shd w:val="clear" w:color="auto" w:fill="auto"/>
          </w:tcPr>
          <w:p w14:paraId="746732D4" w14:textId="77777777" w:rsidR="0067304A" w:rsidRPr="0067304A" w:rsidRDefault="0067304A" w:rsidP="0067304A">
            <w:pPr>
              <w:rPr>
                <w:lang w:val="en-GB"/>
              </w:rPr>
            </w:pPr>
          </w:p>
        </w:tc>
      </w:tr>
      <w:tr w:rsidR="0067304A" w:rsidRPr="0067304A" w14:paraId="73D25196" w14:textId="77777777" w:rsidTr="00A95C80">
        <w:trPr>
          <w:trHeight w:val="505"/>
        </w:trPr>
        <w:tc>
          <w:tcPr>
            <w:tcW w:w="1138" w:type="pct"/>
            <w:vMerge/>
          </w:tcPr>
          <w:p w14:paraId="017BB532" w14:textId="77777777" w:rsidR="0067304A" w:rsidRPr="0067304A" w:rsidRDefault="0067304A" w:rsidP="0067304A">
            <w:pPr>
              <w:rPr>
                <w:lang w:val="en-GB"/>
              </w:rPr>
            </w:pPr>
          </w:p>
        </w:tc>
        <w:tc>
          <w:tcPr>
            <w:tcW w:w="493" w:type="pct"/>
          </w:tcPr>
          <w:p w14:paraId="01E2FFC2" w14:textId="77777777" w:rsidR="0067304A" w:rsidRPr="0067304A" w:rsidRDefault="0067304A" w:rsidP="0067304A">
            <w:pPr>
              <w:rPr>
                <w:lang w:val="en-GB"/>
              </w:rPr>
            </w:pPr>
            <w:r w:rsidRPr="0067304A">
              <w:rPr>
                <w:lang w:val="en-GB"/>
              </w:rPr>
              <w:t>Asian</w:t>
            </w:r>
          </w:p>
        </w:tc>
        <w:tc>
          <w:tcPr>
            <w:tcW w:w="305" w:type="pct"/>
          </w:tcPr>
          <w:p w14:paraId="7C7A589E" w14:textId="77777777" w:rsidR="0067304A" w:rsidRPr="0067304A" w:rsidRDefault="0067304A" w:rsidP="0067304A">
            <w:pPr>
              <w:rPr>
                <w:lang w:val="en-GB"/>
              </w:rPr>
            </w:pPr>
            <w:r w:rsidRPr="0067304A">
              <w:rPr>
                <w:lang w:val="en-GB"/>
              </w:rPr>
              <w:t>34%</w:t>
            </w:r>
          </w:p>
        </w:tc>
        <w:tc>
          <w:tcPr>
            <w:tcW w:w="296" w:type="pct"/>
          </w:tcPr>
          <w:p w14:paraId="7CA69200" w14:textId="73DE41D1" w:rsidR="0067304A" w:rsidRPr="0067304A" w:rsidRDefault="0067304A" w:rsidP="0067304A">
            <w:pPr>
              <w:rPr>
                <w:lang w:val="en-GB"/>
              </w:rPr>
            </w:pPr>
            <w:r w:rsidRPr="0067304A">
              <w:rPr>
                <w:lang w:val="en-GB"/>
              </w:rPr>
              <w:t>34%</w:t>
            </w:r>
            <w:r>
              <w:rPr>
                <w:lang w:val="en-GB"/>
              </w:rPr>
              <w:t xml:space="preserve"> </w:t>
            </w:r>
            <w:r w:rsidRPr="00CE0F64">
              <w:rPr>
                <w:rFonts w:ascii="Wingdings" w:eastAsia="Wingdings" w:hAnsi="Wingdings" w:cs="Calibri"/>
                <w:b/>
                <w:color w:val="FFC000"/>
                <w:szCs w:val="24"/>
                <w:lang w:val="en-GB" w:eastAsia="en-NZ"/>
              </w:rPr>
              <w:t>Ü</w:t>
            </w:r>
          </w:p>
        </w:tc>
        <w:tc>
          <w:tcPr>
            <w:tcW w:w="323" w:type="pct"/>
          </w:tcPr>
          <w:p w14:paraId="1D3C118C" w14:textId="61A3610B" w:rsidR="0067304A" w:rsidRPr="0067304A" w:rsidRDefault="0067304A" w:rsidP="0067304A">
            <w:pPr>
              <w:rPr>
                <w:lang w:val="en-GB"/>
              </w:rPr>
            </w:pPr>
            <w:r w:rsidRPr="0067304A">
              <w:rPr>
                <w:lang w:val="en-GB"/>
              </w:rPr>
              <w:t>40%</w:t>
            </w:r>
            <w:r>
              <w:t xml:space="preserve"> </w:t>
            </w:r>
            <w:r w:rsidRPr="0067304A">
              <w:rPr>
                <w:rFonts w:ascii="Wingdings" w:eastAsia="Wingdings" w:hAnsi="Wingdings" w:cs="Wingdings"/>
                <w:color w:val="FF0000"/>
                <w:szCs w:val="24"/>
              </w:rPr>
              <w:t>Ý</w:t>
            </w:r>
          </w:p>
        </w:tc>
        <w:tc>
          <w:tcPr>
            <w:tcW w:w="304" w:type="pct"/>
          </w:tcPr>
          <w:p w14:paraId="2479F1F7" w14:textId="11F99FEB" w:rsidR="0067304A" w:rsidRPr="0067304A" w:rsidRDefault="0067304A" w:rsidP="0067304A">
            <w:pPr>
              <w:rPr>
                <w:lang w:val="en-GB"/>
              </w:rPr>
            </w:pPr>
            <w:r w:rsidRPr="0067304A">
              <w:rPr>
                <w:lang w:val="en-GB"/>
              </w:rPr>
              <w:t>36%</w:t>
            </w:r>
            <w:r>
              <w:rPr>
                <w:lang w:val="en-GB"/>
              </w:rPr>
              <w:t xml:space="preserve"> </w:t>
            </w:r>
            <w:r w:rsidRPr="0067304A">
              <w:rPr>
                <w:rFonts w:ascii="Wingdings" w:eastAsia="Wingdings" w:hAnsi="Wingdings" w:cs="Wingdings"/>
                <w:color w:val="00B050"/>
                <w:szCs w:val="24"/>
              </w:rPr>
              <w:t>Ý</w:t>
            </w:r>
          </w:p>
        </w:tc>
        <w:tc>
          <w:tcPr>
            <w:tcW w:w="333" w:type="pct"/>
          </w:tcPr>
          <w:p w14:paraId="75445CDB" w14:textId="1043D20B" w:rsidR="0067304A" w:rsidRPr="0067304A" w:rsidRDefault="0067304A" w:rsidP="0067304A">
            <w:pPr>
              <w:rPr>
                <w:lang w:val="en-GB"/>
              </w:rPr>
            </w:pPr>
            <w:r w:rsidRPr="0067304A">
              <w:rPr>
                <w:lang w:val="en-GB"/>
              </w:rPr>
              <w:t>35%</w:t>
            </w:r>
            <w:r>
              <w:rPr>
                <w:lang w:val="en-GB"/>
              </w:rPr>
              <w:t xml:space="preserve"> </w:t>
            </w:r>
            <w:r w:rsidRPr="0067304A">
              <w:rPr>
                <w:rFonts w:ascii="Wingdings" w:eastAsia="Wingdings" w:hAnsi="Wingdings" w:cs="Wingdings"/>
                <w:color w:val="00B050"/>
                <w:szCs w:val="24"/>
              </w:rPr>
              <w:t>Ý</w:t>
            </w:r>
          </w:p>
        </w:tc>
        <w:tc>
          <w:tcPr>
            <w:tcW w:w="1808" w:type="pct"/>
            <w:vMerge/>
            <w:shd w:val="clear" w:color="auto" w:fill="auto"/>
          </w:tcPr>
          <w:p w14:paraId="5AAB2C60" w14:textId="77777777" w:rsidR="0067304A" w:rsidRPr="0067304A" w:rsidRDefault="0067304A" w:rsidP="0067304A">
            <w:pPr>
              <w:rPr>
                <w:lang w:val="en-GB"/>
              </w:rPr>
            </w:pPr>
          </w:p>
        </w:tc>
      </w:tr>
      <w:tr w:rsidR="0067304A" w:rsidRPr="0067304A" w14:paraId="635B0D15" w14:textId="77777777" w:rsidTr="00A95C80">
        <w:trPr>
          <w:trHeight w:val="505"/>
        </w:trPr>
        <w:tc>
          <w:tcPr>
            <w:tcW w:w="1138" w:type="pct"/>
            <w:vMerge/>
            <w:hideMark/>
          </w:tcPr>
          <w:p w14:paraId="6690EB37" w14:textId="77777777" w:rsidR="0067304A" w:rsidRPr="0067304A" w:rsidRDefault="0067304A" w:rsidP="0067304A">
            <w:pPr>
              <w:rPr>
                <w:lang w:val="en-GB"/>
              </w:rPr>
            </w:pPr>
          </w:p>
        </w:tc>
        <w:tc>
          <w:tcPr>
            <w:tcW w:w="493" w:type="pct"/>
            <w:hideMark/>
          </w:tcPr>
          <w:p w14:paraId="609C8368" w14:textId="77777777" w:rsidR="0067304A" w:rsidRPr="0067304A" w:rsidRDefault="0067304A" w:rsidP="0067304A">
            <w:pPr>
              <w:rPr>
                <w:lang w:val="en-GB"/>
              </w:rPr>
            </w:pPr>
            <w:r w:rsidRPr="0067304A">
              <w:rPr>
                <w:lang w:val="en-GB"/>
              </w:rPr>
              <w:t>Total</w:t>
            </w:r>
          </w:p>
        </w:tc>
        <w:tc>
          <w:tcPr>
            <w:tcW w:w="305" w:type="pct"/>
          </w:tcPr>
          <w:p w14:paraId="6F6A123B" w14:textId="77777777" w:rsidR="0067304A" w:rsidRPr="0067304A" w:rsidRDefault="0067304A" w:rsidP="0067304A">
            <w:pPr>
              <w:rPr>
                <w:lang w:val="en-GB"/>
              </w:rPr>
            </w:pPr>
            <w:r w:rsidRPr="0067304A">
              <w:rPr>
                <w:lang w:val="en-GB"/>
              </w:rPr>
              <w:t>38%</w:t>
            </w:r>
          </w:p>
        </w:tc>
        <w:tc>
          <w:tcPr>
            <w:tcW w:w="296" w:type="pct"/>
          </w:tcPr>
          <w:p w14:paraId="534A5F63" w14:textId="2C968210" w:rsidR="0067304A" w:rsidRPr="0067304A" w:rsidRDefault="0067304A" w:rsidP="0067304A">
            <w:pPr>
              <w:rPr>
                <w:lang w:val="en-GB"/>
              </w:rPr>
            </w:pPr>
            <w:r w:rsidRPr="0067304A">
              <w:rPr>
                <w:lang w:val="en-GB"/>
              </w:rPr>
              <w:t>40%</w:t>
            </w:r>
            <w:r>
              <w:t xml:space="preserve"> </w:t>
            </w:r>
            <w:r w:rsidRPr="0067304A">
              <w:rPr>
                <w:rFonts w:ascii="Wingdings" w:eastAsia="Wingdings" w:hAnsi="Wingdings" w:cs="Wingdings"/>
                <w:color w:val="FF0000"/>
                <w:szCs w:val="24"/>
              </w:rPr>
              <w:t>Ý</w:t>
            </w:r>
          </w:p>
        </w:tc>
        <w:tc>
          <w:tcPr>
            <w:tcW w:w="323" w:type="pct"/>
          </w:tcPr>
          <w:p w14:paraId="673A3FD7" w14:textId="03662EB8" w:rsidR="0067304A" w:rsidRPr="0067304A" w:rsidRDefault="0067304A" w:rsidP="0067304A">
            <w:pPr>
              <w:rPr>
                <w:lang w:val="en-GB"/>
              </w:rPr>
            </w:pPr>
            <w:r w:rsidRPr="0067304A">
              <w:rPr>
                <w:lang w:val="en-GB"/>
              </w:rPr>
              <w:t>44%</w:t>
            </w:r>
            <w:r>
              <w:t xml:space="preserve"> </w:t>
            </w:r>
            <w:r w:rsidRPr="0067304A">
              <w:rPr>
                <w:rFonts w:ascii="Wingdings" w:eastAsia="Wingdings" w:hAnsi="Wingdings" w:cs="Wingdings"/>
                <w:color w:val="FF0000"/>
                <w:szCs w:val="24"/>
              </w:rPr>
              <w:t>Ý</w:t>
            </w:r>
          </w:p>
        </w:tc>
        <w:tc>
          <w:tcPr>
            <w:tcW w:w="304" w:type="pct"/>
          </w:tcPr>
          <w:p w14:paraId="40B00401" w14:textId="0881E575" w:rsidR="0067304A" w:rsidRPr="0067304A" w:rsidRDefault="0067304A" w:rsidP="0067304A">
            <w:pPr>
              <w:rPr>
                <w:lang w:val="en-GB"/>
              </w:rPr>
            </w:pPr>
            <w:r w:rsidRPr="0067304A">
              <w:rPr>
                <w:lang w:val="en-GB"/>
              </w:rPr>
              <w:t>40%</w:t>
            </w:r>
            <w:r>
              <w:rPr>
                <w:lang w:val="en-GB"/>
              </w:rPr>
              <w:t xml:space="preserve"> </w:t>
            </w:r>
            <w:r w:rsidRPr="0067304A">
              <w:rPr>
                <w:rFonts w:ascii="Wingdings" w:eastAsia="Wingdings" w:hAnsi="Wingdings" w:cs="Wingdings"/>
                <w:color w:val="00B050"/>
                <w:szCs w:val="24"/>
              </w:rPr>
              <w:t>Ý</w:t>
            </w:r>
          </w:p>
        </w:tc>
        <w:tc>
          <w:tcPr>
            <w:tcW w:w="333" w:type="pct"/>
          </w:tcPr>
          <w:p w14:paraId="3B967F98" w14:textId="0E631F12" w:rsidR="0067304A" w:rsidRPr="0067304A" w:rsidRDefault="0067304A" w:rsidP="0067304A">
            <w:pPr>
              <w:rPr>
                <w:lang w:val="en-GB"/>
              </w:rPr>
            </w:pPr>
            <w:r w:rsidRPr="0067304A">
              <w:rPr>
                <w:lang w:val="en-GB"/>
              </w:rPr>
              <w:t>39%</w:t>
            </w:r>
            <w:r>
              <w:rPr>
                <w:lang w:val="en-GB"/>
              </w:rPr>
              <w:t xml:space="preserve"> </w:t>
            </w:r>
            <w:r w:rsidRPr="0067304A">
              <w:rPr>
                <w:rFonts w:ascii="Wingdings" w:eastAsia="Wingdings" w:hAnsi="Wingdings" w:cs="Wingdings"/>
                <w:color w:val="00B050"/>
                <w:szCs w:val="24"/>
              </w:rPr>
              <w:t>Ý</w:t>
            </w:r>
          </w:p>
        </w:tc>
        <w:tc>
          <w:tcPr>
            <w:tcW w:w="1808" w:type="pct"/>
            <w:vMerge/>
            <w:shd w:val="clear" w:color="auto" w:fill="auto"/>
          </w:tcPr>
          <w:p w14:paraId="17A9ACE8" w14:textId="77777777" w:rsidR="0067304A" w:rsidRPr="0067304A" w:rsidRDefault="0067304A" w:rsidP="0067304A">
            <w:pPr>
              <w:rPr>
                <w:lang w:val="en-GB"/>
              </w:rPr>
            </w:pPr>
          </w:p>
        </w:tc>
      </w:tr>
      <w:tr w:rsidR="0067304A" w:rsidRPr="0067304A" w14:paraId="02F22A67" w14:textId="77777777" w:rsidTr="00A95C80">
        <w:trPr>
          <w:trHeight w:val="300"/>
        </w:trPr>
        <w:tc>
          <w:tcPr>
            <w:tcW w:w="1138" w:type="pct"/>
          </w:tcPr>
          <w:p w14:paraId="3711BF70" w14:textId="77777777" w:rsidR="0067304A" w:rsidRPr="0067304A" w:rsidRDefault="0067304A" w:rsidP="0067304A">
            <w:pPr>
              <w:rPr>
                <w:bCs/>
                <w:lang w:val="en-GB"/>
              </w:rPr>
            </w:pPr>
            <w:r w:rsidRPr="0067304A">
              <w:rPr>
                <w:bCs/>
                <w:lang w:val="en-GB"/>
              </w:rPr>
              <w:t>Comments</w:t>
            </w:r>
          </w:p>
          <w:p w14:paraId="3EE9F93D" w14:textId="77777777" w:rsidR="0067304A" w:rsidRPr="0067304A" w:rsidRDefault="0067304A" w:rsidP="0067304A">
            <w:pPr>
              <w:rPr>
                <w:lang w:val="en-GB"/>
              </w:rPr>
            </w:pPr>
          </w:p>
          <w:p w14:paraId="310B72ED" w14:textId="77777777" w:rsidR="0067304A" w:rsidRPr="0067304A" w:rsidRDefault="0067304A" w:rsidP="0067304A">
            <w:pPr>
              <w:rPr>
                <w:lang w:val="en-GB"/>
              </w:rPr>
            </w:pPr>
          </w:p>
        </w:tc>
        <w:tc>
          <w:tcPr>
            <w:tcW w:w="3862" w:type="pct"/>
            <w:gridSpan w:val="7"/>
          </w:tcPr>
          <w:p w14:paraId="2A726DFC" w14:textId="314406FB" w:rsidR="0067304A" w:rsidRPr="0067304A" w:rsidRDefault="0067304A" w:rsidP="00D955CA">
            <w:pPr>
              <w:rPr>
                <w:lang w:val="en-GB"/>
              </w:rPr>
            </w:pPr>
            <w:r w:rsidRPr="0067304A">
              <w:rPr>
                <w:lang w:val="en-GB"/>
              </w:rPr>
              <w:t>The regions have had a concerted focus throughout this period on treating the longest waiting patients and the numbers of patients waiting &gt;365 days is reducing. However, notwithstanding this positive outcome, the demand for treatment continues with patients joining the wait list for treatment.  The net result is that the wait list for treatment has plateaued in recent months. The continued focus on reducing the wait list is a planned care priority.</w:t>
            </w:r>
            <w:r w:rsidR="00D955CA">
              <w:rPr>
                <w:lang w:val="en-GB"/>
              </w:rPr>
              <w:t xml:space="preserve"> </w:t>
            </w:r>
            <w:r w:rsidRPr="0067304A">
              <w:rPr>
                <w:lang w:val="en-GB"/>
              </w:rPr>
              <w:t>It should be noted, that as progress is made on reducing the First Specialist Assessment wait list in 2024, this will result in an increase in the wait list for treatment.</w:t>
            </w:r>
          </w:p>
        </w:tc>
      </w:tr>
    </w:tbl>
    <w:p w14:paraId="5044A3B5" w14:textId="77777777" w:rsidR="0067304A" w:rsidRDefault="0067304A" w:rsidP="00846E1E">
      <w:pPr>
        <w:pStyle w:val="TableText"/>
      </w:pPr>
    </w:p>
    <w:tbl>
      <w:tblPr>
        <w:tblStyle w:val="TeWhatuOra"/>
        <w:tblW w:w="5000" w:type="pct"/>
        <w:tblLook w:val="0420" w:firstRow="1" w:lastRow="0" w:firstColumn="0" w:lastColumn="0" w:noHBand="0" w:noVBand="1"/>
      </w:tblPr>
      <w:tblGrid>
        <w:gridCol w:w="4952"/>
        <w:gridCol w:w="2185"/>
        <w:gridCol w:w="1274"/>
        <w:gridCol w:w="1258"/>
        <w:gridCol w:w="1339"/>
        <w:gridCol w:w="1326"/>
        <w:gridCol w:w="1413"/>
        <w:gridCol w:w="7786"/>
      </w:tblGrid>
      <w:tr w:rsidR="00A95C80" w:rsidRPr="00C25DD0" w14:paraId="09C82219" w14:textId="77777777" w:rsidTr="00A95C80">
        <w:trPr>
          <w:cnfStyle w:val="100000000000" w:firstRow="1" w:lastRow="0" w:firstColumn="0" w:lastColumn="0" w:oddVBand="0" w:evenVBand="0" w:oddHBand="0" w:evenHBand="0" w:firstRowFirstColumn="0" w:firstRowLastColumn="0" w:lastRowFirstColumn="0" w:lastRowLastColumn="0"/>
          <w:trHeight w:val="807"/>
        </w:trPr>
        <w:tc>
          <w:tcPr>
            <w:tcW w:w="1150" w:type="pct"/>
          </w:tcPr>
          <w:p w14:paraId="2C97BECA" w14:textId="77777777" w:rsidR="00C25DD0" w:rsidRPr="00C25DD0" w:rsidRDefault="00C25DD0" w:rsidP="00C25DD0">
            <w:pPr>
              <w:rPr>
                <w:lang w:val="en-GB"/>
              </w:rPr>
            </w:pPr>
            <w:r w:rsidRPr="00C25DD0">
              <w:rPr>
                <w:lang w:val="en-GB"/>
              </w:rPr>
              <w:lastRenderedPageBreak/>
              <w:t>Measure</w:t>
            </w:r>
          </w:p>
        </w:tc>
        <w:tc>
          <w:tcPr>
            <w:tcW w:w="507" w:type="pct"/>
          </w:tcPr>
          <w:p w14:paraId="547F0ED1" w14:textId="77777777" w:rsidR="00C25DD0" w:rsidRPr="00C25DD0" w:rsidRDefault="00C25DD0" w:rsidP="00C25DD0">
            <w:pPr>
              <w:rPr>
                <w:lang w:val="en-GB"/>
              </w:rPr>
            </w:pPr>
            <w:r w:rsidRPr="00C25DD0">
              <w:rPr>
                <w:lang w:val="en-GB"/>
              </w:rPr>
              <w:t>Ethnic Group</w:t>
            </w:r>
          </w:p>
        </w:tc>
        <w:tc>
          <w:tcPr>
            <w:tcW w:w="296" w:type="pct"/>
          </w:tcPr>
          <w:p w14:paraId="2968540D" w14:textId="77777777" w:rsidR="00C25DD0" w:rsidRPr="00C25DD0" w:rsidRDefault="00C25DD0" w:rsidP="00C25DD0">
            <w:pPr>
              <w:rPr>
                <w:lang w:val="en-GB"/>
              </w:rPr>
            </w:pPr>
            <w:r w:rsidRPr="00C25DD0">
              <w:rPr>
                <w:lang w:val="en-GB"/>
              </w:rPr>
              <w:t>Q1</w:t>
            </w:r>
          </w:p>
          <w:p w14:paraId="226D2E52" w14:textId="77777777" w:rsidR="00C25DD0" w:rsidRPr="00C25DD0" w:rsidRDefault="00C25DD0" w:rsidP="00C25DD0">
            <w:pPr>
              <w:rPr>
                <w:lang w:val="en-GB"/>
              </w:rPr>
            </w:pPr>
            <w:r w:rsidRPr="00C25DD0">
              <w:rPr>
                <w:lang w:val="en-GB"/>
              </w:rPr>
              <w:t>2022-23</w:t>
            </w:r>
          </w:p>
        </w:tc>
        <w:tc>
          <w:tcPr>
            <w:tcW w:w="292" w:type="pct"/>
          </w:tcPr>
          <w:p w14:paraId="5196D116" w14:textId="77777777" w:rsidR="00C25DD0" w:rsidRPr="00C25DD0" w:rsidRDefault="00C25DD0" w:rsidP="00C25DD0">
            <w:pPr>
              <w:rPr>
                <w:lang w:val="en-GB"/>
              </w:rPr>
            </w:pPr>
            <w:r w:rsidRPr="00C25DD0">
              <w:rPr>
                <w:lang w:val="en-GB"/>
              </w:rPr>
              <w:t>Q2</w:t>
            </w:r>
          </w:p>
          <w:p w14:paraId="21E015E8" w14:textId="77777777" w:rsidR="00C25DD0" w:rsidRPr="00C25DD0" w:rsidRDefault="00C25DD0" w:rsidP="00C25DD0">
            <w:pPr>
              <w:rPr>
                <w:lang w:val="en-GB"/>
              </w:rPr>
            </w:pPr>
            <w:r w:rsidRPr="00C25DD0">
              <w:rPr>
                <w:lang w:val="en-GB"/>
              </w:rPr>
              <w:t>2022-23</w:t>
            </w:r>
          </w:p>
        </w:tc>
        <w:tc>
          <w:tcPr>
            <w:tcW w:w="311" w:type="pct"/>
          </w:tcPr>
          <w:p w14:paraId="2CB521C0" w14:textId="77777777" w:rsidR="00C25DD0" w:rsidRPr="00C25DD0" w:rsidRDefault="00C25DD0" w:rsidP="00C25DD0">
            <w:pPr>
              <w:rPr>
                <w:lang w:val="en-GB"/>
              </w:rPr>
            </w:pPr>
            <w:r w:rsidRPr="00C25DD0">
              <w:rPr>
                <w:lang w:val="en-GB"/>
              </w:rPr>
              <w:t>Q3</w:t>
            </w:r>
          </w:p>
          <w:p w14:paraId="3BDC8CA1" w14:textId="77777777" w:rsidR="00C25DD0" w:rsidRPr="00C25DD0" w:rsidRDefault="00C25DD0" w:rsidP="00C25DD0">
            <w:pPr>
              <w:rPr>
                <w:lang w:val="en-GB"/>
              </w:rPr>
            </w:pPr>
            <w:r w:rsidRPr="00C25DD0">
              <w:rPr>
                <w:lang w:val="en-GB"/>
              </w:rPr>
              <w:t>2022-23</w:t>
            </w:r>
          </w:p>
        </w:tc>
        <w:tc>
          <w:tcPr>
            <w:tcW w:w="308" w:type="pct"/>
          </w:tcPr>
          <w:p w14:paraId="170BDA14" w14:textId="77777777" w:rsidR="00C25DD0" w:rsidRPr="00C25DD0" w:rsidRDefault="00C25DD0" w:rsidP="00C25DD0">
            <w:pPr>
              <w:rPr>
                <w:lang w:val="en-GB"/>
              </w:rPr>
            </w:pPr>
            <w:r w:rsidRPr="00C25DD0">
              <w:rPr>
                <w:lang w:val="en-GB"/>
              </w:rPr>
              <w:t>Q4</w:t>
            </w:r>
          </w:p>
          <w:p w14:paraId="3CB9DFB9" w14:textId="77777777" w:rsidR="00C25DD0" w:rsidRPr="00C25DD0" w:rsidRDefault="00C25DD0" w:rsidP="00C25DD0">
            <w:pPr>
              <w:rPr>
                <w:lang w:val="en-GB"/>
              </w:rPr>
            </w:pPr>
            <w:r w:rsidRPr="00C25DD0">
              <w:rPr>
                <w:lang w:val="en-GB"/>
              </w:rPr>
              <w:t>2022-23</w:t>
            </w:r>
          </w:p>
        </w:tc>
        <w:tc>
          <w:tcPr>
            <w:tcW w:w="328" w:type="pct"/>
          </w:tcPr>
          <w:p w14:paraId="41C8875C" w14:textId="77777777" w:rsidR="00C25DD0" w:rsidRPr="00C25DD0" w:rsidRDefault="00C25DD0" w:rsidP="00C25DD0">
            <w:pPr>
              <w:rPr>
                <w:lang w:val="en-GB"/>
              </w:rPr>
            </w:pPr>
            <w:r w:rsidRPr="00C25DD0">
              <w:rPr>
                <w:lang w:val="en-GB"/>
              </w:rPr>
              <w:t>Q1</w:t>
            </w:r>
          </w:p>
          <w:p w14:paraId="44FDB561" w14:textId="77777777" w:rsidR="00C25DD0" w:rsidRPr="00C25DD0" w:rsidRDefault="00C25DD0" w:rsidP="00C25DD0">
            <w:pPr>
              <w:rPr>
                <w:lang w:val="en-GB"/>
              </w:rPr>
            </w:pPr>
            <w:r w:rsidRPr="00C25DD0">
              <w:rPr>
                <w:lang w:val="en-GB"/>
              </w:rPr>
              <w:t>2023-24</w:t>
            </w:r>
          </w:p>
        </w:tc>
        <w:tc>
          <w:tcPr>
            <w:tcW w:w="1808" w:type="pct"/>
            <w:vMerge w:val="restart"/>
            <w:shd w:val="clear" w:color="auto" w:fill="auto"/>
          </w:tcPr>
          <w:p w14:paraId="542425BA" w14:textId="77777777" w:rsidR="00C25DD0" w:rsidRPr="00C25DD0" w:rsidRDefault="00C25DD0" w:rsidP="00C25DD0">
            <w:pPr>
              <w:rPr>
                <w:lang w:val="en-GB"/>
              </w:rPr>
            </w:pPr>
            <w:r w:rsidRPr="00C25DD0">
              <w:rPr>
                <w:noProof/>
                <w:lang w:val="en-GB"/>
              </w:rPr>
              <w:drawing>
                <wp:inline distT="0" distB="0" distL="0" distR="0" wp14:anchorId="4570C9CF" wp14:editId="1EB5B477">
                  <wp:extent cx="4457065" cy="2509283"/>
                  <wp:effectExtent l="0" t="0" r="635" b="5715"/>
                  <wp:docPr id="23" name="Chart 23" descr="Chart showing Number of acute bed days spent in hospital."/>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A95C80" w:rsidRPr="00C25DD0" w14:paraId="03315A64" w14:textId="77777777" w:rsidTr="00A95C80">
        <w:trPr>
          <w:trHeight w:val="807"/>
        </w:trPr>
        <w:tc>
          <w:tcPr>
            <w:tcW w:w="1150" w:type="pct"/>
            <w:vMerge w:val="restart"/>
            <w:hideMark/>
          </w:tcPr>
          <w:p w14:paraId="5DD0BE2C" w14:textId="77777777" w:rsidR="00C25DD0" w:rsidRPr="00C25DD0" w:rsidRDefault="00C25DD0" w:rsidP="00C25DD0">
            <w:pPr>
              <w:rPr>
                <w:vertAlign w:val="superscript"/>
              </w:rPr>
            </w:pPr>
            <w:r w:rsidRPr="00C25DD0">
              <w:t xml:space="preserve">Number of acute bed days spent in hospital </w:t>
            </w:r>
            <w:r w:rsidRPr="00C25DD0">
              <w:rPr>
                <w:vertAlign w:val="superscript"/>
              </w:rPr>
              <w:t>6,10,11</w:t>
            </w:r>
            <w:r w:rsidRPr="00C25DD0">
              <w:t>.</w:t>
            </w:r>
          </w:p>
          <w:p w14:paraId="2C1C7474" w14:textId="77777777" w:rsidR="00C25DD0" w:rsidRPr="00C25DD0" w:rsidRDefault="00C25DD0" w:rsidP="00C25DD0"/>
          <w:p w14:paraId="5AAC5124" w14:textId="77777777" w:rsidR="00C25DD0" w:rsidRPr="00C25DD0" w:rsidRDefault="00C25DD0" w:rsidP="00C25DD0"/>
          <w:p w14:paraId="1FB1CB77" w14:textId="77777777" w:rsidR="00C25DD0" w:rsidRPr="00C25DD0" w:rsidRDefault="00C25DD0" w:rsidP="00C25DD0">
            <w:r w:rsidRPr="00C25DD0">
              <w:t>Target: ≤, standardised rate is preferable.</w:t>
            </w:r>
          </w:p>
        </w:tc>
        <w:tc>
          <w:tcPr>
            <w:tcW w:w="507" w:type="pct"/>
          </w:tcPr>
          <w:p w14:paraId="02D7519A" w14:textId="77777777" w:rsidR="00C25DD0" w:rsidRPr="00C25DD0" w:rsidRDefault="00C25DD0" w:rsidP="00C25DD0">
            <w:pPr>
              <w:rPr>
                <w:lang w:val="en-GB"/>
              </w:rPr>
            </w:pPr>
            <w:r w:rsidRPr="00C25DD0">
              <w:rPr>
                <w:lang w:val="en-GB"/>
              </w:rPr>
              <w:t>Māori</w:t>
            </w:r>
          </w:p>
        </w:tc>
        <w:tc>
          <w:tcPr>
            <w:tcW w:w="296" w:type="pct"/>
          </w:tcPr>
          <w:p w14:paraId="19622B5B" w14:textId="77777777" w:rsidR="00C25DD0" w:rsidRPr="00C25DD0" w:rsidRDefault="00C25DD0" w:rsidP="00C25DD0">
            <w:pPr>
              <w:rPr>
                <w:lang w:val="en-GB"/>
              </w:rPr>
            </w:pPr>
            <w:r w:rsidRPr="00C25DD0">
              <w:rPr>
                <w:lang w:val="en-GB"/>
              </w:rPr>
              <w:t>575</w:t>
            </w:r>
          </w:p>
        </w:tc>
        <w:tc>
          <w:tcPr>
            <w:tcW w:w="292" w:type="pct"/>
          </w:tcPr>
          <w:p w14:paraId="6626148E" w14:textId="3F55CA66" w:rsidR="00C25DD0" w:rsidRPr="00C25DD0" w:rsidRDefault="00C25DD0" w:rsidP="00C25DD0">
            <w:pPr>
              <w:rPr>
                <w:lang w:val="en-GB"/>
              </w:rPr>
            </w:pPr>
            <w:r w:rsidRPr="00C25DD0">
              <w:rPr>
                <w:lang w:val="en-GB"/>
              </w:rPr>
              <w:t>401</w:t>
            </w:r>
            <w:r>
              <w:rPr>
                <w:lang w:val="en-GB"/>
              </w:rPr>
              <w:t xml:space="preserve"> </w:t>
            </w:r>
            <w:r w:rsidRPr="00C25DD0">
              <w:rPr>
                <w:rFonts w:ascii="Wingdings" w:eastAsia="Wingdings" w:hAnsi="Wingdings" w:cs="Calibri"/>
                <w:color w:val="00B050"/>
                <w:szCs w:val="24"/>
                <w:lang w:val="en-GB" w:eastAsia="en-NZ"/>
              </w:rPr>
              <w:t>Þ</w:t>
            </w:r>
          </w:p>
        </w:tc>
        <w:tc>
          <w:tcPr>
            <w:tcW w:w="311" w:type="pct"/>
          </w:tcPr>
          <w:p w14:paraId="5DEF7BE7" w14:textId="46207965" w:rsidR="00C25DD0" w:rsidRPr="00C25DD0" w:rsidRDefault="00C25DD0" w:rsidP="00C25DD0">
            <w:pPr>
              <w:rPr>
                <w:lang w:val="en-GB"/>
              </w:rPr>
            </w:pPr>
            <w:r w:rsidRPr="00C25DD0">
              <w:rPr>
                <w:lang w:val="en-GB"/>
              </w:rPr>
              <w:t>415</w:t>
            </w:r>
            <w:r>
              <w:t xml:space="preserve"> </w:t>
            </w:r>
            <w:r w:rsidRPr="00C25DD0" w:rsidDel="002D0B14">
              <w:rPr>
                <w:rFonts w:ascii="Wingdings" w:eastAsia="Wingdings" w:hAnsi="Wingdings" w:cs="Wingdings"/>
                <w:color w:val="FF0000"/>
                <w:szCs w:val="24"/>
              </w:rPr>
              <w:t>Ý</w:t>
            </w:r>
          </w:p>
        </w:tc>
        <w:tc>
          <w:tcPr>
            <w:tcW w:w="308" w:type="pct"/>
          </w:tcPr>
          <w:p w14:paraId="47713179" w14:textId="13145BCB" w:rsidR="00C25DD0" w:rsidRPr="00C25DD0" w:rsidRDefault="00C25DD0" w:rsidP="00C25DD0">
            <w:pPr>
              <w:rPr>
                <w:lang w:val="en-GB"/>
              </w:rPr>
            </w:pPr>
            <w:r w:rsidRPr="00C25DD0">
              <w:rPr>
                <w:lang w:val="en-GB"/>
              </w:rPr>
              <w:t>426</w:t>
            </w:r>
            <w:r>
              <w:t xml:space="preserve"> </w:t>
            </w:r>
            <w:r w:rsidRPr="00C25DD0" w:rsidDel="002D0B14">
              <w:rPr>
                <w:rFonts w:ascii="Wingdings" w:eastAsia="Wingdings" w:hAnsi="Wingdings" w:cs="Wingdings"/>
                <w:color w:val="FF0000"/>
                <w:szCs w:val="24"/>
              </w:rPr>
              <w:t>Ý</w:t>
            </w:r>
          </w:p>
        </w:tc>
        <w:tc>
          <w:tcPr>
            <w:tcW w:w="328" w:type="pct"/>
          </w:tcPr>
          <w:p w14:paraId="5C83BFA7" w14:textId="24BD02B6" w:rsidR="00C25DD0" w:rsidRPr="00C25DD0" w:rsidRDefault="00C25DD0" w:rsidP="00C25DD0">
            <w:pPr>
              <w:rPr>
                <w:lang w:val="en-GB"/>
              </w:rPr>
            </w:pPr>
            <w:r w:rsidRPr="00C25DD0">
              <w:rPr>
                <w:lang w:val="en-GB"/>
              </w:rPr>
              <w:t>592</w:t>
            </w:r>
            <w:r>
              <w:t xml:space="preserve"> </w:t>
            </w:r>
            <w:r w:rsidRPr="00C25DD0" w:rsidDel="002D0B14">
              <w:rPr>
                <w:rFonts w:ascii="Wingdings" w:eastAsia="Wingdings" w:hAnsi="Wingdings" w:cs="Wingdings"/>
                <w:color w:val="FF0000"/>
                <w:szCs w:val="24"/>
              </w:rPr>
              <w:t>Ý</w:t>
            </w:r>
          </w:p>
        </w:tc>
        <w:tc>
          <w:tcPr>
            <w:tcW w:w="1808" w:type="pct"/>
            <w:vMerge/>
            <w:shd w:val="clear" w:color="auto" w:fill="auto"/>
          </w:tcPr>
          <w:p w14:paraId="455C5B8F" w14:textId="77777777" w:rsidR="00C25DD0" w:rsidRPr="00C25DD0" w:rsidRDefault="00C25DD0" w:rsidP="00C25DD0">
            <w:pPr>
              <w:rPr>
                <w:lang w:val="en-GB"/>
              </w:rPr>
            </w:pPr>
          </w:p>
        </w:tc>
      </w:tr>
      <w:tr w:rsidR="00A95C80" w:rsidRPr="00C25DD0" w14:paraId="28046B8C" w14:textId="77777777" w:rsidTr="00A95C80">
        <w:trPr>
          <w:trHeight w:val="807"/>
        </w:trPr>
        <w:tc>
          <w:tcPr>
            <w:tcW w:w="1150" w:type="pct"/>
            <w:vMerge/>
            <w:hideMark/>
          </w:tcPr>
          <w:p w14:paraId="17654EDA" w14:textId="77777777" w:rsidR="00C25DD0" w:rsidRPr="00C25DD0" w:rsidRDefault="00C25DD0" w:rsidP="00C25DD0">
            <w:pPr>
              <w:rPr>
                <w:lang w:val="en-GB"/>
              </w:rPr>
            </w:pPr>
          </w:p>
        </w:tc>
        <w:tc>
          <w:tcPr>
            <w:tcW w:w="507" w:type="pct"/>
          </w:tcPr>
          <w:p w14:paraId="248EAE3B" w14:textId="77777777" w:rsidR="00C25DD0" w:rsidRPr="00C25DD0" w:rsidRDefault="00C25DD0" w:rsidP="00C25DD0">
            <w:pPr>
              <w:rPr>
                <w:lang w:val="en-GB"/>
              </w:rPr>
            </w:pPr>
            <w:r w:rsidRPr="00C25DD0">
              <w:rPr>
                <w:lang w:val="en-GB"/>
              </w:rPr>
              <w:t>Pacific</w:t>
            </w:r>
          </w:p>
        </w:tc>
        <w:tc>
          <w:tcPr>
            <w:tcW w:w="296" w:type="pct"/>
          </w:tcPr>
          <w:p w14:paraId="10BEDE49" w14:textId="77777777" w:rsidR="00C25DD0" w:rsidRPr="00C25DD0" w:rsidRDefault="00C25DD0" w:rsidP="00C25DD0">
            <w:pPr>
              <w:rPr>
                <w:lang w:val="en-GB"/>
              </w:rPr>
            </w:pPr>
            <w:r w:rsidRPr="00C25DD0">
              <w:rPr>
                <w:lang w:val="en-GB"/>
              </w:rPr>
              <w:t>694</w:t>
            </w:r>
          </w:p>
        </w:tc>
        <w:tc>
          <w:tcPr>
            <w:tcW w:w="292" w:type="pct"/>
          </w:tcPr>
          <w:p w14:paraId="056249A0" w14:textId="0D937CD5" w:rsidR="00C25DD0" w:rsidRPr="00C25DD0" w:rsidRDefault="00C25DD0" w:rsidP="00C25DD0">
            <w:pPr>
              <w:rPr>
                <w:lang w:val="en-GB"/>
              </w:rPr>
            </w:pPr>
            <w:r w:rsidRPr="00C25DD0">
              <w:rPr>
                <w:lang w:val="en-GB"/>
              </w:rPr>
              <w:t>471</w:t>
            </w:r>
            <w:r>
              <w:rPr>
                <w:lang w:val="en-GB"/>
              </w:rPr>
              <w:t xml:space="preserve"> </w:t>
            </w:r>
            <w:r w:rsidRPr="00C25DD0">
              <w:rPr>
                <w:rFonts w:ascii="Wingdings" w:eastAsia="Wingdings" w:hAnsi="Wingdings" w:cs="Calibri"/>
                <w:color w:val="00B050"/>
                <w:szCs w:val="24"/>
                <w:lang w:val="en-GB" w:eastAsia="en-NZ"/>
              </w:rPr>
              <w:t>Þ</w:t>
            </w:r>
          </w:p>
        </w:tc>
        <w:tc>
          <w:tcPr>
            <w:tcW w:w="311" w:type="pct"/>
          </w:tcPr>
          <w:p w14:paraId="26AF2DF5" w14:textId="626B1894" w:rsidR="00C25DD0" w:rsidRPr="00C25DD0" w:rsidRDefault="00C25DD0" w:rsidP="00C25DD0">
            <w:pPr>
              <w:rPr>
                <w:lang w:val="en-GB"/>
              </w:rPr>
            </w:pPr>
            <w:r w:rsidRPr="00C25DD0">
              <w:rPr>
                <w:lang w:val="en-GB"/>
              </w:rPr>
              <w:t>484</w:t>
            </w:r>
            <w:r>
              <w:t xml:space="preserve"> </w:t>
            </w:r>
            <w:r w:rsidRPr="00C25DD0" w:rsidDel="002D0B14">
              <w:rPr>
                <w:rFonts w:ascii="Wingdings" w:eastAsia="Wingdings" w:hAnsi="Wingdings" w:cs="Wingdings"/>
                <w:color w:val="FF0000"/>
                <w:szCs w:val="24"/>
              </w:rPr>
              <w:t>Ý</w:t>
            </w:r>
          </w:p>
        </w:tc>
        <w:tc>
          <w:tcPr>
            <w:tcW w:w="308" w:type="pct"/>
          </w:tcPr>
          <w:p w14:paraId="2982D7A3" w14:textId="5649C2AB" w:rsidR="00C25DD0" w:rsidRPr="00C25DD0" w:rsidRDefault="00C25DD0" w:rsidP="00C25DD0">
            <w:pPr>
              <w:rPr>
                <w:lang w:val="en-GB"/>
              </w:rPr>
            </w:pPr>
            <w:r w:rsidRPr="00C25DD0">
              <w:rPr>
                <w:lang w:val="en-GB"/>
              </w:rPr>
              <w:t>511</w:t>
            </w:r>
            <w:r>
              <w:t xml:space="preserve"> </w:t>
            </w:r>
            <w:r w:rsidRPr="00C25DD0" w:rsidDel="002D0B14">
              <w:rPr>
                <w:rFonts w:ascii="Wingdings" w:eastAsia="Wingdings" w:hAnsi="Wingdings" w:cs="Wingdings"/>
                <w:color w:val="FF0000"/>
                <w:szCs w:val="24"/>
              </w:rPr>
              <w:t>Ý</w:t>
            </w:r>
          </w:p>
        </w:tc>
        <w:tc>
          <w:tcPr>
            <w:tcW w:w="328" w:type="pct"/>
          </w:tcPr>
          <w:p w14:paraId="1B975492" w14:textId="1A414873" w:rsidR="00C25DD0" w:rsidRPr="00C25DD0" w:rsidRDefault="00C25DD0" w:rsidP="00C25DD0">
            <w:pPr>
              <w:rPr>
                <w:lang w:val="en-GB"/>
              </w:rPr>
            </w:pPr>
            <w:r w:rsidRPr="00C25DD0">
              <w:rPr>
                <w:lang w:val="en-GB"/>
              </w:rPr>
              <w:t>726</w:t>
            </w:r>
            <w:r>
              <w:t xml:space="preserve"> </w:t>
            </w:r>
            <w:r w:rsidRPr="00C25DD0" w:rsidDel="002D0B14">
              <w:rPr>
                <w:rFonts w:ascii="Wingdings" w:eastAsia="Wingdings" w:hAnsi="Wingdings" w:cs="Wingdings"/>
                <w:color w:val="FF0000"/>
                <w:szCs w:val="24"/>
              </w:rPr>
              <w:t>Ý</w:t>
            </w:r>
          </w:p>
        </w:tc>
        <w:tc>
          <w:tcPr>
            <w:tcW w:w="1808" w:type="pct"/>
            <w:vMerge/>
            <w:shd w:val="clear" w:color="auto" w:fill="auto"/>
          </w:tcPr>
          <w:p w14:paraId="17941C0A" w14:textId="77777777" w:rsidR="00C25DD0" w:rsidRPr="00C25DD0" w:rsidRDefault="00C25DD0" w:rsidP="00C25DD0">
            <w:pPr>
              <w:rPr>
                <w:lang w:val="en-GB"/>
              </w:rPr>
            </w:pPr>
          </w:p>
        </w:tc>
      </w:tr>
      <w:tr w:rsidR="00A95C80" w:rsidRPr="00C25DD0" w14:paraId="4FD9227C" w14:textId="77777777" w:rsidTr="00A95C80">
        <w:trPr>
          <w:trHeight w:val="807"/>
        </w:trPr>
        <w:tc>
          <w:tcPr>
            <w:tcW w:w="1150" w:type="pct"/>
            <w:vMerge/>
          </w:tcPr>
          <w:p w14:paraId="4C9EB160" w14:textId="77777777" w:rsidR="00C25DD0" w:rsidRPr="00C25DD0" w:rsidRDefault="00C25DD0" w:rsidP="00C25DD0">
            <w:pPr>
              <w:rPr>
                <w:lang w:val="en-GB"/>
              </w:rPr>
            </w:pPr>
          </w:p>
        </w:tc>
        <w:tc>
          <w:tcPr>
            <w:tcW w:w="507" w:type="pct"/>
          </w:tcPr>
          <w:p w14:paraId="7F078FB4" w14:textId="10E6F73A" w:rsidR="00C25DD0" w:rsidRPr="00C25DD0" w:rsidRDefault="00C25DD0" w:rsidP="00C25DD0">
            <w:pPr>
              <w:rPr>
                <w:lang w:val="en-GB"/>
              </w:rPr>
            </w:pPr>
            <w:r w:rsidRPr="00C25DD0">
              <w:rPr>
                <w:lang w:val="en-GB"/>
              </w:rPr>
              <w:t>European/Asian/</w:t>
            </w:r>
            <w:r w:rsidR="009E072E">
              <w:rPr>
                <w:lang w:val="en-GB"/>
              </w:rPr>
              <w:t>all</w:t>
            </w:r>
            <w:r w:rsidRPr="00C25DD0">
              <w:rPr>
                <w:lang w:val="en-GB"/>
              </w:rPr>
              <w:t xml:space="preserve"> other ethnicities</w:t>
            </w:r>
          </w:p>
        </w:tc>
        <w:tc>
          <w:tcPr>
            <w:tcW w:w="296" w:type="pct"/>
          </w:tcPr>
          <w:p w14:paraId="6020F8CE" w14:textId="77777777" w:rsidR="00C25DD0" w:rsidRPr="00C25DD0" w:rsidRDefault="00C25DD0" w:rsidP="00C25DD0">
            <w:pPr>
              <w:rPr>
                <w:lang w:val="en-GB"/>
              </w:rPr>
            </w:pPr>
            <w:r w:rsidRPr="00C25DD0">
              <w:t>361</w:t>
            </w:r>
          </w:p>
        </w:tc>
        <w:tc>
          <w:tcPr>
            <w:tcW w:w="292" w:type="pct"/>
          </w:tcPr>
          <w:p w14:paraId="6BF5DFF5" w14:textId="260BEC57" w:rsidR="00C25DD0" w:rsidRPr="00C25DD0" w:rsidRDefault="00C25DD0" w:rsidP="00C25DD0">
            <w:pPr>
              <w:rPr>
                <w:lang w:val="en-GB"/>
              </w:rPr>
            </w:pPr>
            <w:r w:rsidRPr="00C25DD0">
              <w:t>417</w:t>
            </w:r>
            <w:r>
              <w:t xml:space="preserve"> </w:t>
            </w:r>
            <w:r w:rsidRPr="00C25DD0" w:rsidDel="002D0B14">
              <w:rPr>
                <w:rFonts w:ascii="Wingdings" w:eastAsia="Wingdings" w:hAnsi="Wingdings" w:cs="Wingdings"/>
                <w:color w:val="FF0000"/>
                <w:szCs w:val="24"/>
              </w:rPr>
              <w:t>Ý</w:t>
            </w:r>
          </w:p>
        </w:tc>
        <w:tc>
          <w:tcPr>
            <w:tcW w:w="311" w:type="pct"/>
          </w:tcPr>
          <w:p w14:paraId="529DB423" w14:textId="478385FD" w:rsidR="00C25DD0" w:rsidRPr="00C25DD0" w:rsidRDefault="00C25DD0" w:rsidP="00C25DD0">
            <w:pPr>
              <w:rPr>
                <w:lang w:val="en-GB"/>
              </w:rPr>
            </w:pPr>
            <w:r w:rsidRPr="00C25DD0">
              <w:t>428</w:t>
            </w:r>
            <w:r>
              <w:t xml:space="preserve"> </w:t>
            </w:r>
            <w:r w:rsidRPr="00C25DD0" w:rsidDel="002D0B14">
              <w:rPr>
                <w:rFonts w:ascii="Wingdings" w:eastAsia="Wingdings" w:hAnsi="Wingdings" w:cs="Wingdings"/>
                <w:color w:val="FF0000"/>
                <w:szCs w:val="24"/>
              </w:rPr>
              <w:t>Ý</w:t>
            </w:r>
          </w:p>
        </w:tc>
        <w:tc>
          <w:tcPr>
            <w:tcW w:w="308" w:type="pct"/>
          </w:tcPr>
          <w:p w14:paraId="07147F8E" w14:textId="32768F30" w:rsidR="00C25DD0" w:rsidRPr="00C25DD0" w:rsidRDefault="00C25DD0" w:rsidP="00C25DD0">
            <w:pPr>
              <w:rPr>
                <w:lang w:val="en-GB"/>
              </w:rPr>
            </w:pPr>
            <w:r w:rsidRPr="00C25DD0">
              <w:t>436</w:t>
            </w:r>
            <w:r w:rsidRPr="00C25DD0" w:rsidDel="002D0B14">
              <w:rPr>
                <w:rFonts w:ascii="Wingdings" w:eastAsia="Wingdings" w:hAnsi="Wingdings" w:cs="Wingdings"/>
                <w:color w:val="FF0000"/>
                <w:szCs w:val="24"/>
              </w:rPr>
              <w:t>Ý</w:t>
            </w:r>
          </w:p>
        </w:tc>
        <w:tc>
          <w:tcPr>
            <w:tcW w:w="328" w:type="pct"/>
          </w:tcPr>
          <w:p w14:paraId="386E2016" w14:textId="203E483B" w:rsidR="00C25DD0" w:rsidRPr="00C25DD0" w:rsidRDefault="00C25DD0" w:rsidP="00C25DD0">
            <w:pPr>
              <w:rPr>
                <w:lang w:val="en-GB"/>
              </w:rPr>
            </w:pPr>
            <w:r w:rsidRPr="00C25DD0">
              <w:t>371</w:t>
            </w:r>
            <w:r>
              <w:rPr>
                <w:lang w:val="en-GB"/>
              </w:rPr>
              <w:t xml:space="preserve"> </w:t>
            </w:r>
            <w:r w:rsidRPr="00C25DD0">
              <w:rPr>
                <w:rFonts w:ascii="Wingdings" w:eastAsia="Wingdings" w:hAnsi="Wingdings" w:cs="Calibri"/>
                <w:color w:val="00B050"/>
                <w:szCs w:val="24"/>
                <w:lang w:val="en-GB" w:eastAsia="en-NZ"/>
              </w:rPr>
              <w:t>Þ</w:t>
            </w:r>
          </w:p>
        </w:tc>
        <w:tc>
          <w:tcPr>
            <w:tcW w:w="1808" w:type="pct"/>
            <w:vMerge/>
            <w:shd w:val="clear" w:color="auto" w:fill="auto"/>
          </w:tcPr>
          <w:p w14:paraId="73D1B9FD" w14:textId="77777777" w:rsidR="00C25DD0" w:rsidRPr="00C25DD0" w:rsidRDefault="00C25DD0" w:rsidP="00C25DD0">
            <w:pPr>
              <w:rPr>
                <w:lang w:val="en-GB"/>
              </w:rPr>
            </w:pPr>
          </w:p>
        </w:tc>
      </w:tr>
      <w:tr w:rsidR="00A95C80" w:rsidRPr="00C25DD0" w14:paraId="11460F31" w14:textId="77777777" w:rsidTr="00A95C80">
        <w:trPr>
          <w:trHeight w:val="807"/>
        </w:trPr>
        <w:tc>
          <w:tcPr>
            <w:tcW w:w="1150" w:type="pct"/>
            <w:vMerge/>
            <w:hideMark/>
          </w:tcPr>
          <w:p w14:paraId="580CC763" w14:textId="77777777" w:rsidR="00C25DD0" w:rsidRPr="00C25DD0" w:rsidRDefault="00C25DD0" w:rsidP="00C25DD0">
            <w:pPr>
              <w:rPr>
                <w:lang w:val="en-GB"/>
              </w:rPr>
            </w:pPr>
          </w:p>
        </w:tc>
        <w:tc>
          <w:tcPr>
            <w:tcW w:w="507" w:type="pct"/>
            <w:hideMark/>
          </w:tcPr>
          <w:p w14:paraId="7D4A00B8" w14:textId="77777777" w:rsidR="00C25DD0" w:rsidRPr="00C25DD0" w:rsidRDefault="00C25DD0" w:rsidP="00C25DD0">
            <w:pPr>
              <w:rPr>
                <w:lang w:val="en-GB"/>
              </w:rPr>
            </w:pPr>
            <w:r w:rsidRPr="00C25DD0">
              <w:rPr>
                <w:lang w:val="en-GB"/>
              </w:rPr>
              <w:t>Total</w:t>
            </w:r>
          </w:p>
        </w:tc>
        <w:tc>
          <w:tcPr>
            <w:tcW w:w="296" w:type="pct"/>
          </w:tcPr>
          <w:p w14:paraId="1B0A984B" w14:textId="77777777" w:rsidR="00C25DD0" w:rsidRPr="00C25DD0" w:rsidRDefault="00C25DD0" w:rsidP="00C25DD0">
            <w:pPr>
              <w:rPr>
                <w:lang w:val="en-GB"/>
              </w:rPr>
            </w:pPr>
            <w:r w:rsidRPr="00C25DD0">
              <w:t>405</w:t>
            </w:r>
          </w:p>
        </w:tc>
        <w:tc>
          <w:tcPr>
            <w:tcW w:w="292" w:type="pct"/>
          </w:tcPr>
          <w:p w14:paraId="00813C0F" w14:textId="3A0D3AEA" w:rsidR="00C25DD0" w:rsidRPr="00C25DD0" w:rsidRDefault="00C25DD0" w:rsidP="00C25DD0">
            <w:pPr>
              <w:rPr>
                <w:lang w:val="en-GB"/>
              </w:rPr>
            </w:pPr>
            <w:r w:rsidRPr="00C25DD0">
              <w:t>418</w:t>
            </w:r>
            <w:r>
              <w:t xml:space="preserve"> </w:t>
            </w:r>
            <w:r w:rsidRPr="00C25DD0" w:rsidDel="002D0B14">
              <w:rPr>
                <w:rFonts w:ascii="Wingdings" w:eastAsia="Wingdings" w:hAnsi="Wingdings" w:cs="Wingdings"/>
                <w:color w:val="FF0000"/>
                <w:szCs w:val="24"/>
              </w:rPr>
              <w:t>Ý</w:t>
            </w:r>
          </w:p>
        </w:tc>
        <w:tc>
          <w:tcPr>
            <w:tcW w:w="311" w:type="pct"/>
          </w:tcPr>
          <w:p w14:paraId="78E9B182" w14:textId="549E189A" w:rsidR="00C25DD0" w:rsidRPr="00C25DD0" w:rsidRDefault="00C25DD0" w:rsidP="00C25DD0">
            <w:pPr>
              <w:rPr>
                <w:lang w:val="en-GB"/>
              </w:rPr>
            </w:pPr>
            <w:r w:rsidRPr="00C25DD0">
              <w:t>429</w:t>
            </w:r>
            <w:r>
              <w:t xml:space="preserve"> </w:t>
            </w:r>
            <w:r w:rsidRPr="00C25DD0" w:rsidDel="002D0B14">
              <w:rPr>
                <w:rFonts w:ascii="Wingdings" w:eastAsia="Wingdings" w:hAnsi="Wingdings" w:cs="Wingdings"/>
                <w:color w:val="FF0000"/>
                <w:szCs w:val="24"/>
              </w:rPr>
              <w:t>Ý</w:t>
            </w:r>
          </w:p>
        </w:tc>
        <w:tc>
          <w:tcPr>
            <w:tcW w:w="308" w:type="pct"/>
          </w:tcPr>
          <w:p w14:paraId="384BD2EC" w14:textId="76556CD3" w:rsidR="00C25DD0" w:rsidRPr="00C25DD0" w:rsidRDefault="00C25DD0" w:rsidP="00C25DD0">
            <w:pPr>
              <w:rPr>
                <w:lang w:val="en-GB"/>
              </w:rPr>
            </w:pPr>
            <w:r w:rsidRPr="00C25DD0">
              <w:t>440</w:t>
            </w:r>
            <w:r>
              <w:t xml:space="preserve"> </w:t>
            </w:r>
            <w:r w:rsidRPr="00C25DD0" w:rsidDel="002D0B14">
              <w:rPr>
                <w:rFonts w:ascii="Wingdings" w:eastAsia="Wingdings" w:hAnsi="Wingdings" w:cs="Wingdings"/>
                <w:color w:val="FF0000"/>
                <w:szCs w:val="24"/>
              </w:rPr>
              <w:t>Ý</w:t>
            </w:r>
          </w:p>
        </w:tc>
        <w:tc>
          <w:tcPr>
            <w:tcW w:w="328" w:type="pct"/>
          </w:tcPr>
          <w:p w14:paraId="4FE76F24" w14:textId="398B35CF" w:rsidR="00C25DD0" w:rsidRPr="00C25DD0" w:rsidRDefault="00C25DD0" w:rsidP="00C25DD0">
            <w:pPr>
              <w:rPr>
                <w:lang w:val="en-GB"/>
              </w:rPr>
            </w:pPr>
            <w:r w:rsidRPr="00C25DD0">
              <w:t>419</w:t>
            </w:r>
            <w:r>
              <w:rPr>
                <w:lang w:val="en-GB"/>
              </w:rPr>
              <w:t xml:space="preserve"> </w:t>
            </w:r>
            <w:r w:rsidRPr="00C25DD0">
              <w:rPr>
                <w:rFonts w:ascii="Wingdings" w:eastAsia="Wingdings" w:hAnsi="Wingdings" w:cs="Calibri"/>
                <w:color w:val="00B050"/>
                <w:szCs w:val="24"/>
                <w:lang w:val="en-GB" w:eastAsia="en-NZ"/>
              </w:rPr>
              <w:t>Þ</w:t>
            </w:r>
          </w:p>
        </w:tc>
        <w:tc>
          <w:tcPr>
            <w:tcW w:w="1808" w:type="pct"/>
            <w:vMerge/>
            <w:shd w:val="clear" w:color="auto" w:fill="auto"/>
          </w:tcPr>
          <w:p w14:paraId="7C9F95E3" w14:textId="77777777" w:rsidR="00C25DD0" w:rsidRPr="00C25DD0" w:rsidRDefault="00C25DD0" w:rsidP="00C25DD0">
            <w:pPr>
              <w:rPr>
                <w:lang w:val="en-GB"/>
              </w:rPr>
            </w:pPr>
          </w:p>
        </w:tc>
      </w:tr>
      <w:tr w:rsidR="00C25DD0" w:rsidRPr="00C25DD0" w14:paraId="1AC2FD01" w14:textId="77777777" w:rsidTr="00A95C80">
        <w:trPr>
          <w:trHeight w:val="300"/>
        </w:trPr>
        <w:tc>
          <w:tcPr>
            <w:tcW w:w="1150" w:type="pct"/>
          </w:tcPr>
          <w:p w14:paraId="47C189AA" w14:textId="77777777" w:rsidR="00C25DD0" w:rsidRPr="00C25DD0" w:rsidRDefault="00C25DD0" w:rsidP="00C25DD0">
            <w:pPr>
              <w:rPr>
                <w:lang w:val="en-GB"/>
              </w:rPr>
            </w:pPr>
            <w:r w:rsidRPr="00C25DD0">
              <w:rPr>
                <w:lang w:val="en-GB"/>
              </w:rPr>
              <w:t>Comments</w:t>
            </w:r>
          </w:p>
        </w:tc>
        <w:tc>
          <w:tcPr>
            <w:tcW w:w="3850" w:type="pct"/>
            <w:gridSpan w:val="7"/>
          </w:tcPr>
          <w:p w14:paraId="66CB27CE" w14:textId="77777777" w:rsidR="00C25DD0" w:rsidRPr="00C25DD0" w:rsidRDefault="00C25DD0" w:rsidP="00C25DD0">
            <w:r w:rsidRPr="00C25DD0">
              <w:t>The number of acute bed days increased in the July to September 2023 quarter compared to the same quarter in the previous year. The increase is shown across all ethnic groups with Pacific people showing the greatest increase of 4.6% in the July to September 2023 quarter compared to the same quarter in 2022. Work is underway to understand in more detail the driver for system increases. The capacity and availability of community services, including primary care and age residential care, are important for preventing the need for acute hospital care and avoiding unnecessary hospital stays. This metric is not yet available with an ethnicity breakdown that includes Asian.</w:t>
            </w:r>
          </w:p>
        </w:tc>
      </w:tr>
    </w:tbl>
    <w:p w14:paraId="1FC057B3" w14:textId="4DEED0AD" w:rsidR="00846E1E" w:rsidRDefault="00846E1E" w:rsidP="00846E1E">
      <w:pPr>
        <w:pStyle w:val="TableText"/>
      </w:pPr>
    </w:p>
    <w:tbl>
      <w:tblPr>
        <w:tblStyle w:val="TeWhatuOra"/>
        <w:tblW w:w="5000" w:type="pct"/>
        <w:tblLook w:val="0420" w:firstRow="1" w:lastRow="0" w:firstColumn="0" w:lastColumn="0" w:noHBand="0" w:noVBand="1"/>
      </w:tblPr>
      <w:tblGrid>
        <w:gridCol w:w="4956"/>
        <w:gridCol w:w="2166"/>
        <w:gridCol w:w="1326"/>
        <w:gridCol w:w="1245"/>
        <w:gridCol w:w="1288"/>
        <w:gridCol w:w="1314"/>
        <w:gridCol w:w="1447"/>
        <w:gridCol w:w="7791"/>
      </w:tblGrid>
      <w:tr w:rsidR="00C25DD0" w:rsidRPr="00C25DD0" w14:paraId="0A7BE759" w14:textId="77777777" w:rsidTr="00A95C80">
        <w:trPr>
          <w:cnfStyle w:val="100000000000" w:firstRow="1" w:lastRow="0" w:firstColumn="0" w:lastColumn="0" w:oddVBand="0" w:evenVBand="0" w:oddHBand="0" w:evenHBand="0" w:firstRowFirstColumn="0" w:firstRowLastColumn="0" w:lastRowFirstColumn="0" w:lastRowLastColumn="0"/>
          <w:trHeight w:val="433"/>
        </w:trPr>
        <w:tc>
          <w:tcPr>
            <w:tcW w:w="1151" w:type="pct"/>
          </w:tcPr>
          <w:p w14:paraId="3224125C" w14:textId="62A3DCBA" w:rsidR="00C25DD0" w:rsidRPr="00C25DD0" w:rsidRDefault="00846E1E" w:rsidP="00C25DD0">
            <w:r>
              <w:br w:type="page"/>
            </w:r>
            <w:r w:rsidR="00C25DD0" w:rsidRPr="00C25DD0">
              <w:rPr>
                <w:lang w:val="en-GB"/>
              </w:rPr>
              <w:t>Measure</w:t>
            </w:r>
          </w:p>
        </w:tc>
        <w:tc>
          <w:tcPr>
            <w:tcW w:w="503" w:type="pct"/>
          </w:tcPr>
          <w:p w14:paraId="2CE11AD4" w14:textId="77777777" w:rsidR="00C25DD0" w:rsidRPr="00C25DD0" w:rsidRDefault="00C25DD0" w:rsidP="00C25DD0">
            <w:pPr>
              <w:rPr>
                <w:lang w:val="en-GB"/>
              </w:rPr>
            </w:pPr>
            <w:r w:rsidRPr="00C25DD0">
              <w:rPr>
                <w:bCs/>
                <w:lang w:val="en-GB"/>
              </w:rPr>
              <w:t>Ethnic Group</w:t>
            </w:r>
          </w:p>
        </w:tc>
        <w:tc>
          <w:tcPr>
            <w:tcW w:w="308" w:type="pct"/>
          </w:tcPr>
          <w:p w14:paraId="52CF14D3" w14:textId="77777777" w:rsidR="00C25DD0" w:rsidRPr="00C25DD0" w:rsidRDefault="00C25DD0" w:rsidP="00C25DD0">
            <w:pPr>
              <w:rPr>
                <w:bCs/>
                <w:lang w:val="en-GB"/>
              </w:rPr>
            </w:pPr>
            <w:r w:rsidRPr="00C25DD0">
              <w:rPr>
                <w:bCs/>
                <w:lang w:val="en-GB"/>
              </w:rPr>
              <w:t>Q1</w:t>
            </w:r>
          </w:p>
          <w:p w14:paraId="6D5ECC60" w14:textId="77777777" w:rsidR="00C25DD0" w:rsidRPr="00C25DD0" w:rsidRDefault="00C25DD0" w:rsidP="00C25DD0">
            <w:pPr>
              <w:rPr>
                <w:bCs/>
                <w:lang w:val="en-GB"/>
              </w:rPr>
            </w:pPr>
            <w:r w:rsidRPr="00C25DD0">
              <w:rPr>
                <w:bCs/>
                <w:lang w:val="en-GB"/>
              </w:rPr>
              <w:t>2022-23</w:t>
            </w:r>
          </w:p>
        </w:tc>
        <w:tc>
          <w:tcPr>
            <w:tcW w:w="289" w:type="pct"/>
          </w:tcPr>
          <w:p w14:paraId="68D36407" w14:textId="77777777" w:rsidR="00C25DD0" w:rsidRPr="00C25DD0" w:rsidRDefault="00C25DD0" w:rsidP="00C25DD0">
            <w:pPr>
              <w:rPr>
                <w:bCs/>
                <w:lang w:val="en-GB"/>
              </w:rPr>
            </w:pPr>
            <w:r w:rsidRPr="00C25DD0">
              <w:rPr>
                <w:bCs/>
                <w:lang w:val="en-GB"/>
              </w:rPr>
              <w:t>Q2</w:t>
            </w:r>
          </w:p>
          <w:p w14:paraId="10B142C7" w14:textId="77777777" w:rsidR="00C25DD0" w:rsidRPr="00C25DD0" w:rsidRDefault="00C25DD0" w:rsidP="00C25DD0">
            <w:pPr>
              <w:rPr>
                <w:bCs/>
                <w:lang w:val="en-GB"/>
              </w:rPr>
            </w:pPr>
            <w:r w:rsidRPr="00C25DD0">
              <w:rPr>
                <w:bCs/>
                <w:lang w:val="en-GB"/>
              </w:rPr>
              <w:t>2022-23</w:t>
            </w:r>
          </w:p>
        </w:tc>
        <w:tc>
          <w:tcPr>
            <w:tcW w:w="299" w:type="pct"/>
          </w:tcPr>
          <w:p w14:paraId="7B5B84C9" w14:textId="77777777" w:rsidR="00C25DD0" w:rsidRPr="00C25DD0" w:rsidRDefault="00C25DD0" w:rsidP="00C25DD0">
            <w:pPr>
              <w:rPr>
                <w:bCs/>
                <w:lang w:val="en-GB"/>
              </w:rPr>
            </w:pPr>
            <w:r w:rsidRPr="00C25DD0">
              <w:rPr>
                <w:bCs/>
                <w:lang w:val="en-GB"/>
              </w:rPr>
              <w:t>Q3</w:t>
            </w:r>
          </w:p>
          <w:p w14:paraId="01021194" w14:textId="77777777" w:rsidR="00C25DD0" w:rsidRPr="00C25DD0" w:rsidRDefault="00C25DD0" w:rsidP="00C25DD0">
            <w:pPr>
              <w:rPr>
                <w:bCs/>
                <w:lang w:val="en-GB"/>
              </w:rPr>
            </w:pPr>
            <w:r w:rsidRPr="00C25DD0">
              <w:rPr>
                <w:bCs/>
                <w:lang w:val="en-GB"/>
              </w:rPr>
              <w:t>2022-23</w:t>
            </w:r>
          </w:p>
        </w:tc>
        <w:tc>
          <w:tcPr>
            <w:tcW w:w="305" w:type="pct"/>
          </w:tcPr>
          <w:p w14:paraId="4769064D" w14:textId="77777777" w:rsidR="00C25DD0" w:rsidRPr="00C25DD0" w:rsidRDefault="00C25DD0" w:rsidP="00C25DD0">
            <w:pPr>
              <w:rPr>
                <w:bCs/>
                <w:lang w:val="en-GB"/>
              </w:rPr>
            </w:pPr>
            <w:r w:rsidRPr="00C25DD0">
              <w:rPr>
                <w:bCs/>
                <w:lang w:val="en-GB"/>
              </w:rPr>
              <w:t>Q4</w:t>
            </w:r>
          </w:p>
          <w:p w14:paraId="23237FE8" w14:textId="77777777" w:rsidR="00C25DD0" w:rsidRPr="00C25DD0" w:rsidRDefault="00C25DD0" w:rsidP="00C25DD0">
            <w:pPr>
              <w:rPr>
                <w:bCs/>
                <w:lang w:val="en-GB"/>
              </w:rPr>
            </w:pPr>
            <w:r w:rsidRPr="00C25DD0">
              <w:rPr>
                <w:bCs/>
                <w:lang w:val="en-GB"/>
              </w:rPr>
              <w:t>2022-23</w:t>
            </w:r>
          </w:p>
        </w:tc>
        <w:tc>
          <w:tcPr>
            <w:tcW w:w="336" w:type="pct"/>
          </w:tcPr>
          <w:p w14:paraId="23EEB49C" w14:textId="77777777" w:rsidR="00C25DD0" w:rsidRPr="00C25DD0" w:rsidRDefault="00C25DD0" w:rsidP="00C25DD0">
            <w:pPr>
              <w:rPr>
                <w:bCs/>
                <w:lang w:val="en-GB"/>
              </w:rPr>
            </w:pPr>
            <w:r w:rsidRPr="00C25DD0">
              <w:rPr>
                <w:bCs/>
                <w:lang w:val="en-GB"/>
              </w:rPr>
              <w:t>Q1</w:t>
            </w:r>
          </w:p>
          <w:p w14:paraId="17938989" w14:textId="77777777" w:rsidR="00C25DD0" w:rsidRPr="00C25DD0" w:rsidRDefault="00C25DD0" w:rsidP="00C25DD0">
            <w:pPr>
              <w:rPr>
                <w:bCs/>
                <w:lang w:val="en-GB"/>
              </w:rPr>
            </w:pPr>
            <w:r w:rsidRPr="00C25DD0">
              <w:rPr>
                <w:bCs/>
                <w:lang w:val="en-GB"/>
              </w:rPr>
              <w:t>2023-24</w:t>
            </w:r>
          </w:p>
        </w:tc>
        <w:tc>
          <w:tcPr>
            <w:tcW w:w="1809" w:type="pct"/>
            <w:vMerge w:val="restart"/>
            <w:shd w:val="clear" w:color="auto" w:fill="auto"/>
          </w:tcPr>
          <w:p w14:paraId="120FFD7A" w14:textId="77777777" w:rsidR="00C25DD0" w:rsidRPr="00C25DD0" w:rsidRDefault="00C25DD0" w:rsidP="00C25DD0">
            <w:pPr>
              <w:rPr>
                <w:lang w:val="en-GB"/>
              </w:rPr>
            </w:pPr>
            <w:r w:rsidRPr="00C25DD0">
              <w:rPr>
                <w:noProof/>
                <w:lang w:val="en-GB"/>
              </w:rPr>
              <w:drawing>
                <wp:inline distT="0" distB="0" distL="0" distR="0" wp14:anchorId="3CF07782" wp14:editId="79805C10">
                  <wp:extent cx="4522763" cy="2715065"/>
                  <wp:effectExtent l="0" t="0" r="0" b="0"/>
                  <wp:docPr id="31" name="Chart 31" descr="Chart showing Number of planned care interventions delivered against target, including: inpatient surgical discharges; minor procedures delivered in inpatient, outpatient and community settings; and non-surgical interven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C25DD0" w:rsidRPr="00C25DD0" w14:paraId="0D8440C7" w14:textId="77777777" w:rsidTr="00A95C80">
        <w:trPr>
          <w:trHeight w:val="2158"/>
        </w:trPr>
        <w:tc>
          <w:tcPr>
            <w:tcW w:w="1151" w:type="pct"/>
          </w:tcPr>
          <w:p w14:paraId="4E66F362" w14:textId="77777777" w:rsidR="00C25DD0" w:rsidRPr="00C25DD0" w:rsidRDefault="00C25DD0" w:rsidP="00C25DD0">
            <w:pPr>
              <w:rPr>
                <w:vertAlign w:val="superscript"/>
              </w:rPr>
            </w:pPr>
            <w:r w:rsidRPr="00C25DD0">
              <w:t xml:space="preserve">Number of planned care interventions delivered against target, including: inpatient surgical discharges; minor procedures delivered in inpatient, outpatient and community settings; and non-surgical interventions </w:t>
            </w:r>
            <w:r w:rsidRPr="00C25DD0">
              <w:rPr>
                <w:vertAlign w:val="superscript"/>
              </w:rPr>
              <w:t>6</w:t>
            </w:r>
            <w:r w:rsidRPr="00C25DD0">
              <w:t>.</w:t>
            </w:r>
          </w:p>
          <w:p w14:paraId="5E93DD54" w14:textId="77777777" w:rsidR="00C25DD0" w:rsidRPr="00C25DD0" w:rsidRDefault="00C25DD0" w:rsidP="00C25DD0"/>
          <w:p w14:paraId="699EBA7A" w14:textId="77777777" w:rsidR="00C25DD0" w:rsidRPr="00C25DD0" w:rsidRDefault="00C25DD0" w:rsidP="00C25DD0">
            <w:r w:rsidRPr="00C25DD0">
              <w:t>Target: Maintain delivery of planned care intervention volumes in line with delivery plans</w:t>
            </w:r>
          </w:p>
        </w:tc>
        <w:tc>
          <w:tcPr>
            <w:tcW w:w="503" w:type="pct"/>
          </w:tcPr>
          <w:p w14:paraId="0964C7CB" w14:textId="77777777" w:rsidR="00C25DD0" w:rsidRPr="00C25DD0" w:rsidRDefault="00C25DD0" w:rsidP="00C25DD0">
            <w:pPr>
              <w:rPr>
                <w:lang w:val="en-GB"/>
              </w:rPr>
            </w:pPr>
            <w:r w:rsidRPr="00C25DD0">
              <w:rPr>
                <w:lang w:val="en-GB"/>
              </w:rPr>
              <w:t>Total</w:t>
            </w:r>
          </w:p>
        </w:tc>
        <w:tc>
          <w:tcPr>
            <w:tcW w:w="308" w:type="pct"/>
          </w:tcPr>
          <w:p w14:paraId="7A5178AE" w14:textId="77777777" w:rsidR="00C25DD0" w:rsidRPr="00C25DD0" w:rsidRDefault="00C25DD0" w:rsidP="00C25DD0">
            <w:pPr>
              <w:rPr>
                <w:lang w:val="en-GB"/>
              </w:rPr>
            </w:pPr>
            <w:r w:rsidRPr="00C25DD0">
              <w:rPr>
                <w:lang w:val="en-GB"/>
              </w:rPr>
              <w:t>79,680</w:t>
            </w:r>
          </w:p>
        </w:tc>
        <w:tc>
          <w:tcPr>
            <w:tcW w:w="289" w:type="pct"/>
          </w:tcPr>
          <w:p w14:paraId="228FA56C" w14:textId="6326B0D8" w:rsidR="00C25DD0" w:rsidRPr="00C25DD0" w:rsidRDefault="00C25DD0" w:rsidP="00C25DD0">
            <w:pPr>
              <w:rPr>
                <w:lang w:val="en-GB"/>
              </w:rPr>
            </w:pPr>
            <w:r w:rsidRPr="00C25DD0">
              <w:rPr>
                <w:lang w:val="en-GB"/>
              </w:rPr>
              <w:t>79,051</w:t>
            </w:r>
            <w:r w:rsidR="000C7CFE">
              <w:rPr>
                <w:lang w:val="en-GB"/>
              </w:rPr>
              <w:t xml:space="preserve"> </w:t>
            </w:r>
            <w:r w:rsidRPr="00C25DD0">
              <w:rPr>
                <w:rFonts w:ascii="Wingdings" w:eastAsia="Wingdings" w:hAnsi="Wingdings" w:cs="Calibri"/>
                <w:color w:val="FF0000"/>
                <w:szCs w:val="24"/>
                <w:lang w:val="en-GB" w:eastAsia="en-NZ"/>
              </w:rPr>
              <w:t>Þ</w:t>
            </w:r>
          </w:p>
        </w:tc>
        <w:tc>
          <w:tcPr>
            <w:tcW w:w="299" w:type="pct"/>
          </w:tcPr>
          <w:p w14:paraId="7BC9DD99" w14:textId="10547D26" w:rsidR="00C25DD0" w:rsidRPr="00C25DD0" w:rsidRDefault="00C25DD0" w:rsidP="00C25DD0">
            <w:pPr>
              <w:rPr>
                <w:lang w:val="en-GB"/>
              </w:rPr>
            </w:pPr>
            <w:r w:rsidRPr="00C25DD0">
              <w:rPr>
                <w:lang w:val="en-GB"/>
              </w:rPr>
              <w:t xml:space="preserve">77,616 </w:t>
            </w:r>
            <w:r w:rsidRPr="00C25DD0">
              <w:rPr>
                <w:rFonts w:ascii="Wingdings" w:eastAsia="Wingdings" w:hAnsi="Wingdings" w:cs="Calibri"/>
                <w:color w:val="FF0000"/>
                <w:szCs w:val="24"/>
                <w:lang w:val="en-GB" w:eastAsia="en-NZ"/>
              </w:rPr>
              <w:t>Þ</w:t>
            </w:r>
          </w:p>
        </w:tc>
        <w:tc>
          <w:tcPr>
            <w:tcW w:w="305" w:type="pct"/>
          </w:tcPr>
          <w:p w14:paraId="0A472DB9" w14:textId="632FC76E" w:rsidR="00C25DD0" w:rsidRPr="00C25DD0" w:rsidRDefault="00C25DD0" w:rsidP="00C25DD0">
            <w:pPr>
              <w:rPr>
                <w:lang w:val="en-GB"/>
              </w:rPr>
            </w:pPr>
            <w:r w:rsidRPr="00C25DD0">
              <w:rPr>
                <w:lang w:val="en-GB"/>
              </w:rPr>
              <w:t>82,442</w:t>
            </w:r>
            <w:r w:rsidRPr="00C25DD0">
              <w:t xml:space="preserve"> </w:t>
            </w:r>
            <w:r w:rsidRPr="00C25DD0">
              <w:rPr>
                <w:rFonts w:ascii="Wingdings" w:eastAsia="Wingdings" w:hAnsi="Wingdings" w:cs="Wingdings"/>
                <w:color w:val="00B050"/>
                <w:szCs w:val="24"/>
              </w:rPr>
              <w:t>Ý</w:t>
            </w:r>
          </w:p>
        </w:tc>
        <w:tc>
          <w:tcPr>
            <w:tcW w:w="336" w:type="pct"/>
          </w:tcPr>
          <w:p w14:paraId="67B1BE7D" w14:textId="1451CB5C" w:rsidR="00C25DD0" w:rsidRPr="00C25DD0" w:rsidRDefault="00C25DD0" w:rsidP="00C25DD0">
            <w:pPr>
              <w:rPr>
                <w:lang w:val="en-GB"/>
              </w:rPr>
            </w:pPr>
            <w:r w:rsidRPr="00C25DD0">
              <w:rPr>
                <w:lang w:val="en-GB"/>
              </w:rPr>
              <w:t>84,039</w:t>
            </w:r>
            <w:r w:rsidRPr="00C25DD0">
              <w:t xml:space="preserve"> </w:t>
            </w:r>
            <w:r w:rsidRPr="00C25DD0">
              <w:rPr>
                <w:rFonts w:ascii="Wingdings" w:eastAsia="Wingdings" w:hAnsi="Wingdings" w:cs="Wingdings"/>
                <w:color w:val="00B050"/>
                <w:szCs w:val="24"/>
              </w:rPr>
              <w:t>Ý</w:t>
            </w:r>
          </w:p>
        </w:tc>
        <w:tc>
          <w:tcPr>
            <w:tcW w:w="1809" w:type="pct"/>
            <w:vMerge/>
            <w:shd w:val="clear" w:color="auto" w:fill="auto"/>
          </w:tcPr>
          <w:p w14:paraId="28E5A8AA" w14:textId="77777777" w:rsidR="00C25DD0" w:rsidRPr="00C25DD0" w:rsidRDefault="00C25DD0" w:rsidP="00C25DD0">
            <w:pPr>
              <w:rPr>
                <w:lang w:val="en-GB"/>
              </w:rPr>
            </w:pPr>
          </w:p>
        </w:tc>
      </w:tr>
      <w:tr w:rsidR="00C25DD0" w:rsidRPr="00C25DD0" w14:paraId="0FB56500" w14:textId="77777777" w:rsidTr="00A95C80">
        <w:trPr>
          <w:trHeight w:val="300"/>
        </w:trPr>
        <w:tc>
          <w:tcPr>
            <w:tcW w:w="1151" w:type="pct"/>
          </w:tcPr>
          <w:p w14:paraId="25B5BC8E" w14:textId="77777777" w:rsidR="00C25DD0" w:rsidRPr="00C25DD0" w:rsidRDefault="00C25DD0" w:rsidP="00C25DD0">
            <w:pPr>
              <w:rPr>
                <w:lang w:val="en-GB"/>
              </w:rPr>
            </w:pPr>
            <w:r w:rsidRPr="00C25DD0">
              <w:rPr>
                <w:bCs/>
                <w:lang w:val="en-GB"/>
              </w:rPr>
              <w:t>Comments</w:t>
            </w:r>
          </w:p>
        </w:tc>
        <w:tc>
          <w:tcPr>
            <w:tcW w:w="3849" w:type="pct"/>
            <w:gridSpan w:val="7"/>
          </w:tcPr>
          <w:p w14:paraId="480F5825" w14:textId="77777777" w:rsidR="00C25DD0" w:rsidRPr="00C25DD0" w:rsidRDefault="00C25DD0" w:rsidP="00C25DD0">
            <w:pPr>
              <w:rPr>
                <w:lang w:val="en-GB"/>
              </w:rPr>
            </w:pPr>
            <w:r w:rsidRPr="00C25DD0">
              <w:t>Although volume of interventions continues to rise, as previously reported, minor procedures contribute to this as use of outpatient workforce and facilities for minor procedures is maximised. We are unable to disaggregate this further by ethnicity at this time, and further analytical work will be required to do so to reconcile against baseline figures from the Statement of Performance Expectations.</w:t>
            </w:r>
          </w:p>
        </w:tc>
      </w:tr>
    </w:tbl>
    <w:p w14:paraId="0AE0681C" w14:textId="77777777" w:rsidR="00C25DD0" w:rsidRDefault="00C25DD0" w:rsidP="004E25D1">
      <w:pPr>
        <w:pStyle w:val="TableText"/>
      </w:pPr>
    </w:p>
    <w:tbl>
      <w:tblPr>
        <w:tblStyle w:val="TeWhatuOra"/>
        <w:tblW w:w="5000" w:type="pct"/>
        <w:tblLook w:val="0420" w:firstRow="1" w:lastRow="0" w:firstColumn="0" w:lastColumn="0" w:noHBand="0" w:noVBand="1"/>
      </w:tblPr>
      <w:tblGrid>
        <w:gridCol w:w="4958"/>
        <w:gridCol w:w="2235"/>
        <w:gridCol w:w="1305"/>
        <w:gridCol w:w="1137"/>
        <w:gridCol w:w="1326"/>
        <w:gridCol w:w="1365"/>
        <w:gridCol w:w="1421"/>
        <w:gridCol w:w="7786"/>
      </w:tblGrid>
      <w:tr w:rsidR="00A95C80" w:rsidRPr="00C25DD0" w14:paraId="49F45805" w14:textId="77777777" w:rsidTr="00A95C80">
        <w:trPr>
          <w:cnfStyle w:val="100000000000" w:firstRow="1" w:lastRow="0" w:firstColumn="0" w:lastColumn="0" w:oddVBand="0" w:evenVBand="0" w:oddHBand="0" w:evenHBand="0" w:firstRowFirstColumn="0" w:firstRowLastColumn="0" w:lastRowFirstColumn="0" w:lastRowLastColumn="0"/>
          <w:trHeight w:val="631"/>
        </w:trPr>
        <w:tc>
          <w:tcPr>
            <w:tcW w:w="1151" w:type="pct"/>
          </w:tcPr>
          <w:p w14:paraId="493A70A3" w14:textId="77777777" w:rsidR="00C25DD0" w:rsidRPr="00C25DD0" w:rsidRDefault="00C25DD0" w:rsidP="00C25DD0">
            <w:pPr>
              <w:spacing w:before="0" w:after="0" w:line="276" w:lineRule="auto"/>
              <w:textAlignment w:val="baseline"/>
              <w:rPr>
                <w:rFonts w:ascii="Arial" w:eastAsia="Calibri" w:hAnsi="Arial" w:cs="Arial"/>
                <w:color w:val="000000"/>
                <w:szCs w:val="24"/>
                <w:bdr w:val="none" w:sz="0" w:space="0" w:color="auto" w:frame="1"/>
              </w:rPr>
            </w:pPr>
            <w:r w:rsidRPr="00C25DD0">
              <w:rPr>
                <w:rFonts w:ascii="Arial" w:eastAsia="Times New Roman" w:hAnsi="Arial" w:cs="Arial"/>
                <w:bCs/>
                <w:szCs w:val="24"/>
                <w:lang w:val="en-GB" w:eastAsia="en-NZ"/>
              </w:rPr>
              <w:lastRenderedPageBreak/>
              <w:t>Measure</w:t>
            </w:r>
          </w:p>
        </w:tc>
        <w:tc>
          <w:tcPr>
            <w:tcW w:w="519" w:type="pct"/>
          </w:tcPr>
          <w:p w14:paraId="6200012B" w14:textId="77777777" w:rsidR="00C25DD0" w:rsidRPr="00C25DD0" w:rsidRDefault="00C25DD0" w:rsidP="00C25DD0">
            <w:pPr>
              <w:spacing w:before="0" w:after="0" w:line="276" w:lineRule="auto"/>
              <w:textAlignment w:val="baseline"/>
              <w:rPr>
                <w:rFonts w:ascii="Arial" w:eastAsia="Times New Roman" w:hAnsi="Arial" w:cs="Arial"/>
                <w:color w:val="000000"/>
                <w:szCs w:val="24"/>
                <w:lang w:val="en-GB" w:eastAsia="en-NZ"/>
              </w:rPr>
            </w:pPr>
            <w:r w:rsidRPr="00C25DD0">
              <w:rPr>
                <w:rFonts w:ascii="Arial" w:eastAsia="Times New Roman" w:hAnsi="Arial" w:cs="Arial"/>
                <w:bCs/>
                <w:szCs w:val="24"/>
                <w:lang w:val="en-GB" w:eastAsia="en-NZ"/>
              </w:rPr>
              <w:t>Ethnic Group</w:t>
            </w:r>
          </w:p>
        </w:tc>
        <w:tc>
          <w:tcPr>
            <w:tcW w:w="303" w:type="pct"/>
          </w:tcPr>
          <w:p w14:paraId="3539B44D" w14:textId="77777777" w:rsidR="00C25DD0" w:rsidRPr="00C25DD0" w:rsidRDefault="00C25DD0" w:rsidP="00C25DD0">
            <w:pPr>
              <w:spacing w:before="0" w:after="0" w:line="240"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Q1</w:t>
            </w:r>
          </w:p>
          <w:p w14:paraId="01C6B41C"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2022-23</w:t>
            </w:r>
          </w:p>
        </w:tc>
        <w:tc>
          <w:tcPr>
            <w:tcW w:w="264" w:type="pct"/>
          </w:tcPr>
          <w:p w14:paraId="3EF84A3F" w14:textId="77777777" w:rsidR="00C25DD0" w:rsidRPr="00C25DD0" w:rsidRDefault="00C25DD0" w:rsidP="00C25DD0">
            <w:pPr>
              <w:spacing w:before="0" w:after="0" w:line="240"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Q2</w:t>
            </w:r>
          </w:p>
          <w:p w14:paraId="564535F1"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2022-23</w:t>
            </w:r>
          </w:p>
        </w:tc>
        <w:tc>
          <w:tcPr>
            <w:tcW w:w="308" w:type="pct"/>
          </w:tcPr>
          <w:p w14:paraId="38335457" w14:textId="77777777" w:rsidR="00C25DD0" w:rsidRPr="00C25DD0" w:rsidRDefault="00C25DD0" w:rsidP="00C25DD0">
            <w:pPr>
              <w:spacing w:before="0" w:after="0" w:line="240"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Q3</w:t>
            </w:r>
          </w:p>
          <w:p w14:paraId="243755C3"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2022-23</w:t>
            </w:r>
          </w:p>
        </w:tc>
        <w:tc>
          <w:tcPr>
            <w:tcW w:w="317" w:type="pct"/>
          </w:tcPr>
          <w:p w14:paraId="79E1F09B" w14:textId="77777777" w:rsidR="00C25DD0" w:rsidRPr="00C25DD0" w:rsidRDefault="00C25DD0" w:rsidP="00C25DD0">
            <w:pPr>
              <w:spacing w:before="0" w:after="0" w:line="240"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Q4</w:t>
            </w:r>
          </w:p>
          <w:p w14:paraId="6BD8512F"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2022-23</w:t>
            </w:r>
          </w:p>
        </w:tc>
        <w:tc>
          <w:tcPr>
            <w:tcW w:w="330" w:type="pct"/>
          </w:tcPr>
          <w:p w14:paraId="64AF610C" w14:textId="77777777" w:rsidR="00C25DD0" w:rsidRPr="00C25DD0" w:rsidRDefault="00C25DD0" w:rsidP="00C25DD0">
            <w:pPr>
              <w:spacing w:before="0" w:after="0" w:line="240"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Q1</w:t>
            </w:r>
          </w:p>
          <w:p w14:paraId="372AF5A2"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2023-24</w:t>
            </w:r>
          </w:p>
        </w:tc>
        <w:tc>
          <w:tcPr>
            <w:tcW w:w="1808" w:type="pct"/>
            <w:vMerge w:val="restart"/>
            <w:shd w:val="clear" w:color="auto" w:fill="auto"/>
          </w:tcPr>
          <w:p w14:paraId="061E0D64" w14:textId="77777777" w:rsidR="00C25DD0" w:rsidRPr="00C25DD0" w:rsidRDefault="00C25DD0" w:rsidP="00815E07">
            <w:pPr>
              <w:spacing w:before="0" w:after="0" w:line="276" w:lineRule="auto"/>
              <w:textAlignment w:val="baseline"/>
              <w:rPr>
                <w:rFonts w:ascii="Wingdings" w:eastAsia="Wingdings" w:hAnsi="Wingdings" w:cs="Calibri"/>
                <w:color w:val="FF0000"/>
                <w:sz w:val="28"/>
                <w:szCs w:val="28"/>
                <w:lang w:val="en-GB" w:eastAsia="en-NZ"/>
              </w:rPr>
            </w:pPr>
            <w:r w:rsidRPr="00C25DD0">
              <w:rPr>
                <w:rFonts w:ascii="Wingdings" w:eastAsia="Wingdings" w:hAnsi="Wingdings" w:cs="Calibri"/>
                <w:noProof/>
                <w:color w:val="FF0000"/>
                <w:sz w:val="28"/>
                <w:szCs w:val="28"/>
                <w:lang w:val="en-GB" w:eastAsia="en-NZ"/>
              </w:rPr>
              <w:drawing>
                <wp:inline distT="0" distB="0" distL="0" distR="0" wp14:anchorId="7E1F46CA" wp14:editId="21A23DCC">
                  <wp:extent cx="4487594" cy="2398542"/>
                  <wp:effectExtent l="0" t="0" r="8255" b="1905"/>
                  <wp:docPr id="1825775864" name="Chart 1825775864" descr="Chart showing Percentage of patients admitted, discharged, or transferred from an ED within six hours (also referred to as Shorter Stays in ED)."/>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C25DD0" w:rsidRPr="00C25DD0" w14:paraId="32E96A4E" w14:textId="77777777" w:rsidTr="00A95C80">
        <w:trPr>
          <w:trHeight w:val="631"/>
        </w:trPr>
        <w:tc>
          <w:tcPr>
            <w:tcW w:w="1151" w:type="pct"/>
            <w:vMerge w:val="restart"/>
            <w:hideMark/>
          </w:tcPr>
          <w:p w14:paraId="3DE1957A" w14:textId="77777777" w:rsidR="00C25DD0" w:rsidRPr="00C25DD0" w:rsidRDefault="00C25DD0" w:rsidP="00C25DD0">
            <w:pPr>
              <w:spacing w:before="0" w:after="0" w:line="276" w:lineRule="auto"/>
              <w:textAlignment w:val="baseline"/>
              <w:rPr>
                <w:rFonts w:ascii="Arial" w:eastAsia="Calibri" w:hAnsi="Arial" w:cs="Arial"/>
                <w:color w:val="000000"/>
                <w:szCs w:val="24"/>
                <w:bdr w:val="none" w:sz="0" w:space="0" w:color="auto" w:frame="1"/>
              </w:rPr>
            </w:pPr>
            <w:r w:rsidRPr="00C25DD0">
              <w:rPr>
                <w:rFonts w:ascii="Arial" w:eastAsia="Calibri" w:hAnsi="Arial" w:cs="Arial"/>
                <w:color w:val="000000"/>
                <w:szCs w:val="24"/>
                <w:bdr w:val="none" w:sz="0" w:space="0" w:color="auto" w:frame="1"/>
              </w:rPr>
              <w:t>Percentage of patients admitted, discharged, or transferred from an ED within six hours (also referred to as Shorter Stays in ED)</w:t>
            </w:r>
            <w:r w:rsidRPr="00C25DD0">
              <w:rPr>
                <w:rFonts w:ascii="Arial" w:eastAsia="Calibri" w:hAnsi="Arial" w:cs="Arial"/>
                <w:color w:val="000000"/>
                <w:szCs w:val="24"/>
                <w:bdr w:val="none" w:sz="0" w:space="0" w:color="auto" w:frame="1"/>
                <w:vertAlign w:val="superscript"/>
              </w:rPr>
              <w:t xml:space="preserve"> 6</w:t>
            </w:r>
            <w:r w:rsidRPr="00C25DD0">
              <w:rPr>
                <w:rFonts w:ascii="Arial" w:eastAsia="Calibri" w:hAnsi="Arial" w:cs="Arial"/>
                <w:color w:val="000000"/>
                <w:szCs w:val="24"/>
                <w:bdr w:val="none" w:sz="0" w:space="0" w:color="auto" w:frame="1"/>
              </w:rPr>
              <w:t>.</w:t>
            </w:r>
          </w:p>
          <w:p w14:paraId="1230451C" w14:textId="77777777" w:rsidR="00C25DD0" w:rsidRPr="00C25DD0" w:rsidRDefault="00C25DD0" w:rsidP="00C25DD0">
            <w:pPr>
              <w:spacing w:before="0" w:after="0" w:line="276" w:lineRule="auto"/>
              <w:textAlignment w:val="baseline"/>
              <w:rPr>
                <w:rFonts w:ascii="Arial" w:eastAsia="Calibri" w:hAnsi="Arial" w:cs="Arial"/>
                <w:color w:val="000000"/>
                <w:szCs w:val="24"/>
                <w:bdr w:val="none" w:sz="0" w:space="0" w:color="auto" w:frame="1"/>
              </w:rPr>
            </w:pPr>
          </w:p>
          <w:p w14:paraId="60D80A34" w14:textId="77777777" w:rsidR="00C25DD0" w:rsidRPr="00C25DD0" w:rsidRDefault="00C25DD0" w:rsidP="00C25DD0">
            <w:pPr>
              <w:spacing w:before="0" w:after="0" w:line="276" w:lineRule="auto"/>
              <w:textAlignment w:val="baseline"/>
              <w:rPr>
                <w:rFonts w:ascii="Arial" w:eastAsia="Calibri" w:hAnsi="Arial" w:cs="Arial"/>
                <w:color w:val="000000"/>
                <w:szCs w:val="24"/>
                <w:bdr w:val="none" w:sz="0" w:space="0" w:color="auto" w:frame="1"/>
              </w:rPr>
            </w:pPr>
            <w:r w:rsidRPr="00C25DD0">
              <w:rPr>
                <w:rFonts w:ascii="Arial" w:eastAsia="Calibri" w:hAnsi="Arial" w:cs="Arial"/>
                <w:b/>
                <w:color w:val="000000"/>
                <w:szCs w:val="24"/>
                <w:bdr w:val="none" w:sz="0" w:space="0" w:color="auto" w:frame="1"/>
              </w:rPr>
              <w:t>Target:</w:t>
            </w:r>
            <w:r w:rsidRPr="00C25DD0">
              <w:rPr>
                <w:rFonts w:ascii="Arial" w:eastAsia="Calibri" w:hAnsi="Arial" w:cs="Arial"/>
                <w:color w:val="000000"/>
                <w:szCs w:val="24"/>
                <w:bdr w:val="none" w:sz="0" w:space="0" w:color="auto" w:frame="1"/>
              </w:rPr>
              <w:t xml:space="preserve"> 95% - This is a longer-term target and will not be achieved within 2023-24.</w:t>
            </w:r>
          </w:p>
        </w:tc>
        <w:tc>
          <w:tcPr>
            <w:tcW w:w="519" w:type="pct"/>
            <w:hideMark/>
          </w:tcPr>
          <w:p w14:paraId="5B0C4E39" w14:textId="77777777" w:rsidR="00C25DD0" w:rsidRPr="00C25DD0" w:rsidRDefault="00C25DD0" w:rsidP="00C25DD0">
            <w:pPr>
              <w:spacing w:before="0" w:after="0" w:line="276" w:lineRule="auto"/>
              <w:textAlignment w:val="baseline"/>
              <w:rPr>
                <w:rFonts w:ascii="Arial" w:eastAsia="Times New Roman" w:hAnsi="Arial" w:cs="Arial"/>
                <w:szCs w:val="24"/>
                <w:lang w:val="en-GB" w:eastAsia="en-NZ"/>
              </w:rPr>
            </w:pPr>
            <w:r w:rsidRPr="00C25DD0">
              <w:rPr>
                <w:rFonts w:ascii="Arial" w:eastAsia="Times New Roman" w:hAnsi="Arial" w:cs="Arial"/>
                <w:color w:val="000000"/>
                <w:szCs w:val="24"/>
                <w:lang w:val="en-GB" w:eastAsia="en-NZ"/>
              </w:rPr>
              <w:t>Māori</w:t>
            </w:r>
          </w:p>
        </w:tc>
        <w:tc>
          <w:tcPr>
            <w:tcW w:w="303" w:type="pct"/>
          </w:tcPr>
          <w:p w14:paraId="0221B8AD"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76%</w:t>
            </w:r>
          </w:p>
        </w:tc>
        <w:tc>
          <w:tcPr>
            <w:tcW w:w="264" w:type="pct"/>
          </w:tcPr>
          <w:p w14:paraId="62B681C3" w14:textId="77777777"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76%</w:t>
            </w:r>
            <w:r w:rsidRPr="00C25DD0">
              <w:rPr>
                <w:rFonts w:ascii="Calibri" w:eastAsia="Times New Roman" w:hAnsi="Calibri" w:cs="Calibri"/>
                <w:szCs w:val="24"/>
                <w:lang w:val="en-GB" w:eastAsia="en-NZ"/>
              </w:rPr>
              <w:t xml:space="preserve"> </w:t>
            </w:r>
            <w:r w:rsidRPr="00CE0F64">
              <w:rPr>
                <w:rFonts w:ascii="Wingdings" w:eastAsia="Wingdings" w:hAnsi="Wingdings" w:cs="Calibri"/>
                <w:b/>
                <w:color w:val="FFC000"/>
                <w:szCs w:val="24"/>
                <w:lang w:val="en-GB" w:eastAsia="en-NZ"/>
              </w:rPr>
              <w:t>Ü</w:t>
            </w:r>
          </w:p>
        </w:tc>
        <w:tc>
          <w:tcPr>
            <w:tcW w:w="308" w:type="pct"/>
          </w:tcPr>
          <w:p w14:paraId="0E9D0989" w14:textId="77777777"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76%</w:t>
            </w:r>
            <w:r w:rsidRPr="00C25DD0">
              <w:rPr>
                <w:rFonts w:ascii="Calibri" w:eastAsia="Times New Roman" w:hAnsi="Calibri" w:cs="Calibri"/>
                <w:szCs w:val="24"/>
                <w:lang w:val="en-GB" w:eastAsia="en-NZ"/>
              </w:rPr>
              <w:t xml:space="preserve"> </w:t>
            </w:r>
            <w:r w:rsidRPr="00CE0F64">
              <w:rPr>
                <w:rFonts w:ascii="Wingdings" w:eastAsia="Wingdings" w:hAnsi="Wingdings" w:cs="Calibri"/>
                <w:b/>
                <w:color w:val="FFC000"/>
                <w:szCs w:val="24"/>
                <w:lang w:val="en-GB" w:eastAsia="en-NZ"/>
              </w:rPr>
              <w:t>Ü</w:t>
            </w:r>
          </w:p>
        </w:tc>
        <w:tc>
          <w:tcPr>
            <w:tcW w:w="317" w:type="pct"/>
          </w:tcPr>
          <w:p w14:paraId="39838245" w14:textId="77777777"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76%</w:t>
            </w:r>
            <w:r w:rsidRPr="00C25DD0">
              <w:rPr>
                <w:rFonts w:ascii="Calibri" w:eastAsia="Times New Roman" w:hAnsi="Calibri" w:cs="Calibri"/>
                <w:szCs w:val="24"/>
                <w:lang w:val="en-GB" w:eastAsia="en-NZ"/>
              </w:rPr>
              <w:t xml:space="preserve"> </w:t>
            </w:r>
            <w:r w:rsidRPr="00CE0F64">
              <w:rPr>
                <w:rFonts w:ascii="Wingdings" w:eastAsia="Wingdings" w:hAnsi="Wingdings" w:cs="Calibri"/>
                <w:b/>
                <w:color w:val="FFC000"/>
                <w:szCs w:val="24"/>
                <w:lang w:val="en-GB" w:eastAsia="en-NZ"/>
              </w:rPr>
              <w:t>Ü</w:t>
            </w:r>
          </w:p>
        </w:tc>
        <w:tc>
          <w:tcPr>
            <w:tcW w:w="330" w:type="pct"/>
          </w:tcPr>
          <w:p w14:paraId="05295F12" w14:textId="77777777"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71%</w:t>
            </w:r>
            <w:r w:rsidRPr="00C25DD0">
              <w:rPr>
                <w:rFonts w:ascii="Wingdings" w:eastAsia="Wingdings" w:hAnsi="Wingdings" w:cs="Calibri"/>
                <w:color w:val="FF0000"/>
                <w:szCs w:val="24"/>
                <w:lang w:val="en-GB" w:eastAsia="en-NZ"/>
              </w:rPr>
              <w:t>Þ</w:t>
            </w:r>
          </w:p>
        </w:tc>
        <w:tc>
          <w:tcPr>
            <w:tcW w:w="1808" w:type="pct"/>
            <w:vMerge/>
            <w:shd w:val="clear" w:color="auto" w:fill="auto"/>
          </w:tcPr>
          <w:p w14:paraId="1F30EC64"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p>
        </w:tc>
      </w:tr>
      <w:tr w:rsidR="00C25DD0" w:rsidRPr="00C25DD0" w14:paraId="35E92620" w14:textId="77777777" w:rsidTr="00A95C80">
        <w:trPr>
          <w:trHeight w:val="631"/>
        </w:trPr>
        <w:tc>
          <w:tcPr>
            <w:tcW w:w="1151" w:type="pct"/>
            <w:vMerge/>
            <w:hideMark/>
          </w:tcPr>
          <w:p w14:paraId="3FA01218" w14:textId="77777777" w:rsidR="00C25DD0" w:rsidRPr="00C25DD0" w:rsidRDefault="00C25DD0" w:rsidP="00C25DD0">
            <w:pPr>
              <w:spacing w:before="0" w:after="0" w:line="276" w:lineRule="auto"/>
              <w:jc w:val="center"/>
              <w:rPr>
                <w:rFonts w:ascii="Arial" w:eastAsia="Times New Roman" w:hAnsi="Arial" w:cs="Arial"/>
                <w:szCs w:val="24"/>
                <w:lang w:val="en-GB" w:eastAsia="en-NZ"/>
              </w:rPr>
            </w:pPr>
          </w:p>
        </w:tc>
        <w:tc>
          <w:tcPr>
            <w:tcW w:w="519" w:type="pct"/>
            <w:hideMark/>
          </w:tcPr>
          <w:p w14:paraId="7AE301CD" w14:textId="77777777" w:rsidR="00C25DD0" w:rsidRPr="00C25DD0" w:rsidRDefault="00C25DD0" w:rsidP="00C25DD0">
            <w:pPr>
              <w:spacing w:before="0" w:after="0" w:line="276" w:lineRule="auto"/>
              <w:textAlignment w:val="baseline"/>
              <w:rPr>
                <w:rFonts w:ascii="Arial" w:eastAsia="Times New Roman" w:hAnsi="Arial" w:cs="Arial"/>
                <w:szCs w:val="24"/>
                <w:lang w:val="en-GB" w:eastAsia="en-NZ"/>
              </w:rPr>
            </w:pPr>
            <w:r w:rsidRPr="00C25DD0">
              <w:rPr>
                <w:rFonts w:ascii="Arial" w:eastAsia="Times New Roman" w:hAnsi="Arial" w:cs="Arial"/>
                <w:color w:val="000000"/>
                <w:szCs w:val="24"/>
                <w:lang w:val="en-GB" w:eastAsia="en-NZ"/>
              </w:rPr>
              <w:t>Pacific</w:t>
            </w:r>
          </w:p>
        </w:tc>
        <w:tc>
          <w:tcPr>
            <w:tcW w:w="303" w:type="pct"/>
          </w:tcPr>
          <w:p w14:paraId="71C90291"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71%</w:t>
            </w:r>
          </w:p>
        </w:tc>
        <w:tc>
          <w:tcPr>
            <w:tcW w:w="264" w:type="pct"/>
          </w:tcPr>
          <w:p w14:paraId="4774607F" w14:textId="1300FB40"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69%</w:t>
            </w:r>
            <w:r w:rsidR="006E4B2A">
              <w:rPr>
                <w:rFonts w:ascii="Arial" w:eastAsia="Times New Roman" w:hAnsi="Arial" w:cs="Arial"/>
                <w:color w:val="000000"/>
                <w:szCs w:val="24"/>
                <w:lang w:val="en-GB" w:eastAsia="en-NZ"/>
              </w:rPr>
              <w:t xml:space="preserve"> </w:t>
            </w:r>
            <w:r w:rsidRPr="00C25DD0">
              <w:rPr>
                <w:rFonts w:ascii="Wingdings" w:eastAsia="Wingdings" w:hAnsi="Wingdings" w:cs="Calibri"/>
                <w:color w:val="FF0000"/>
                <w:szCs w:val="24"/>
                <w:lang w:val="en-GB" w:eastAsia="en-NZ"/>
              </w:rPr>
              <w:t>Þ</w:t>
            </w:r>
          </w:p>
        </w:tc>
        <w:tc>
          <w:tcPr>
            <w:tcW w:w="308" w:type="pct"/>
          </w:tcPr>
          <w:p w14:paraId="56A6D0A9" w14:textId="27B370BC"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70%</w:t>
            </w:r>
            <w:r w:rsidR="006E4B2A">
              <w:rPr>
                <w:rFonts w:ascii="Arial" w:eastAsia="Times New Roman" w:hAnsi="Arial" w:cs="Arial"/>
                <w:color w:val="000000"/>
                <w:szCs w:val="24"/>
                <w:lang w:val="en-GB" w:eastAsia="en-NZ"/>
              </w:rPr>
              <w:t xml:space="preserve"> </w:t>
            </w:r>
            <w:r w:rsidRPr="00C25DD0">
              <w:rPr>
                <w:rFonts w:ascii="Wingdings" w:eastAsia="Wingdings" w:hAnsi="Wingdings" w:cs="Wingdings"/>
                <w:color w:val="00B050"/>
                <w:szCs w:val="24"/>
              </w:rPr>
              <w:t>Ý</w:t>
            </w:r>
          </w:p>
        </w:tc>
        <w:tc>
          <w:tcPr>
            <w:tcW w:w="317" w:type="pct"/>
          </w:tcPr>
          <w:p w14:paraId="589FCC25" w14:textId="4561CF09"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70%</w:t>
            </w:r>
            <w:r w:rsidRPr="00C25DD0">
              <w:rPr>
                <w:rFonts w:ascii="Calibri" w:eastAsia="Times New Roman" w:hAnsi="Calibri" w:cs="Calibri"/>
                <w:szCs w:val="24"/>
                <w:lang w:val="en-GB" w:eastAsia="en-NZ"/>
              </w:rPr>
              <w:t xml:space="preserve"> </w:t>
            </w:r>
            <w:r w:rsidRPr="00CE0F64">
              <w:rPr>
                <w:rFonts w:ascii="Wingdings" w:eastAsia="Wingdings" w:hAnsi="Wingdings" w:cs="Calibri"/>
                <w:b/>
                <w:color w:val="FFC000"/>
                <w:szCs w:val="24"/>
                <w:lang w:val="en-GB" w:eastAsia="en-NZ"/>
              </w:rPr>
              <w:t>Ü</w:t>
            </w:r>
          </w:p>
        </w:tc>
        <w:tc>
          <w:tcPr>
            <w:tcW w:w="330" w:type="pct"/>
          </w:tcPr>
          <w:p w14:paraId="05677EBD" w14:textId="545053E6"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65%</w:t>
            </w:r>
            <w:r w:rsidR="006E4B2A">
              <w:rPr>
                <w:rFonts w:ascii="Arial" w:eastAsia="Times New Roman" w:hAnsi="Arial" w:cs="Arial"/>
                <w:color w:val="000000"/>
                <w:szCs w:val="24"/>
                <w:lang w:val="en-GB" w:eastAsia="en-NZ"/>
              </w:rPr>
              <w:t xml:space="preserve"> </w:t>
            </w:r>
            <w:r w:rsidRPr="00C25DD0">
              <w:rPr>
                <w:rFonts w:ascii="Wingdings" w:eastAsia="Wingdings" w:hAnsi="Wingdings" w:cs="Calibri"/>
                <w:color w:val="FF0000"/>
                <w:szCs w:val="24"/>
                <w:lang w:val="en-GB" w:eastAsia="en-NZ"/>
              </w:rPr>
              <w:t>Þ</w:t>
            </w:r>
          </w:p>
        </w:tc>
        <w:tc>
          <w:tcPr>
            <w:tcW w:w="1808" w:type="pct"/>
            <w:vMerge/>
            <w:shd w:val="clear" w:color="auto" w:fill="auto"/>
          </w:tcPr>
          <w:p w14:paraId="6E75BD39"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p>
        </w:tc>
      </w:tr>
      <w:tr w:rsidR="00C25DD0" w:rsidRPr="00C25DD0" w14:paraId="2B4FA6EE" w14:textId="77777777" w:rsidTr="00A95C80">
        <w:trPr>
          <w:trHeight w:val="631"/>
        </w:trPr>
        <w:tc>
          <w:tcPr>
            <w:tcW w:w="1151" w:type="pct"/>
            <w:vMerge/>
          </w:tcPr>
          <w:p w14:paraId="4C685B30" w14:textId="77777777" w:rsidR="00C25DD0" w:rsidRPr="00C25DD0" w:rsidRDefault="00C25DD0" w:rsidP="00C25DD0">
            <w:pPr>
              <w:spacing w:before="0" w:after="0" w:line="276" w:lineRule="auto"/>
              <w:jc w:val="center"/>
              <w:rPr>
                <w:rFonts w:ascii="Arial" w:eastAsia="Times New Roman" w:hAnsi="Arial" w:cs="Arial"/>
                <w:szCs w:val="24"/>
                <w:lang w:val="en-GB" w:eastAsia="en-NZ"/>
              </w:rPr>
            </w:pPr>
          </w:p>
        </w:tc>
        <w:tc>
          <w:tcPr>
            <w:tcW w:w="519" w:type="pct"/>
          </w:tcPr>
          <w:p w14:paraId="5A7F17CD" w14:textId="6106B1DE" w:rsidR="00C25DD0" w:rsidRPr="00C25DD0" w:rsidRDefault="00C25DD0" w:rsidP="00C25DD0">
            <w:pPr>
              <w:spacing w:before="0" w:after="0" w:line="276" w:lineRule="auto"/>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 xml:space="preserve">European and </w:t>
            </w:r>
            <w:r w:rsidR="009E072E">
              <w:rPr>
                <w:rFonts w:ascii="Arial" w:eastAsia="Times New Roman" w:hAnsi="Arial" w:cs="Arial"/>
                <w:color w:val="000000"/>
                <w:szCs w:val="24"/>
                <w:lang w:val="en-GB" w:eastAsia="en-NZ"/>
              </w:rPr>
              <w:t>all</w:t>
            </w:r>
            <w:r w:rsidRPr="00C25DD0">
              <w:rPr>
                <w:rFonts w:ascii="Arial" w:eastAsia="Times New Roman" w:hAnsi="Arial" w:cs="Arial"/>
                <w:color w:val="000000"/>
                <w:szCs w:val="24"/>
                <w:lang w:val="en-GB" w:eastAsia="en-NZ"/>
              </w:rPr>
              <w:t xml:space="preserve"> other ethnicities</w:t>
            </w:r>
          </w:p>
        </w:tc>
        <w:tc>
          <w:tcPr>
            <w:tcW w:w="303" w:type="pct"/>
          </w:tcPr>
          <w:p w14:paraId="58C10BBB"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71%</w:t>
            </w:r>
          </w:p>
        </w:tc>
        <w:tc>
          <w:tcPr>
            <w:tcW w:w="264" w:type="pct"/>
          </w:tcPr>
          <w:p w14:paraId="00EBF33B" w14:textId="28AF9146"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71%</w:t>
            </w:r>
            <w:r w:rsidR="006E4B2A">
              <w:rPr>
                <w:rFonts w:ascii="Arial" w:eastAsia="Times New Roman" w:hAnsi="Arial" w:cs="Arial"/>
                <w:color w:val="000000"/>
                <w:szCs w:val="24"/>
                <w:lang w:val="en-GB" w:eastAsia="en-NZ"/>
              </w:rPr>
              <w:t xml:space="preserve"> </w:t>
            </w:r>
            <w:r w:rsidRPr="00CE0F64">
              <w:rPr>
                <w:rFonts w:ascii="Wingdings" w:eastAsia="Wingdings" w:hAnsi="Wingdings" w:cs="Calibri"/>
                <w:b/>
                <w:color w:val="FFC000"/>
                <w:szCs w:val="24"/>
                <w:lang w:val="en-GB" w:eastAsia="en-NZ"/>
              </w:rPr>
              <w:t>Ü</w:t>
            </w:r>
          </w:p>
        </w:tc>
        <w:tc>
          <w:tcPr>
            <w:tcW w:w="308" w:type="pct"/>
          </w:tcPr>
          <w:p w14:paraId="76DEE04B" w14:textId="7264E16D"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70%</w:t>
            </w:r>
            <w:r w:rsidR="006E4B2A">
              <w:rPr>
                <w:rFonts w:ascii="Arial" w:eastAsia="Times New Roman" w:hAnsi="Arial" w:cs="Arial"/>
                <w:color w:val="000000"/>
                <w:szCs w:val="24"/>
                <w:lang w:val="en-GB" w:eastAsia="en-NZ"/>
              </w:rPr>
              <w:t xml:space="preserve"> </w:t>
            </w:r>
            <w:r w:rsidRPr="00C25DD0">
              <w:rPr>
                <w:rFonts w:ascii="Wingdings" w:eastAsia="Wingdings" w:hAnsi="Wingdings" w:cs="Calibri"/>
                <w:color w:val="FF0000"/>
                <w:szCs w:val="24"/>
                <w:lang w:val="en-GB" w:eastAsia="en-NZ"/>
              </w:rPr>
              <w:t>Þ</w:t>
            </w:r>
          </w:p>
        </w:tc>
        <w:tc>
          <w:tcPr>
            <w:tcW w:w="317" w:type="pct"/>
          </w:tcPr>
          <w:p w14:paraId="5F4F907C" w14:textId="2328F8E0"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69%</w:t>
            </w:r>
            <w:r w:rsidR="006E4B2A">
              <w:rPr>
                <w:rFonts w:ascii="Arial" w:eastAsia="Times New Roman" w:hAnsi="Arial" w:cs="Arial"/>
                <w:color w:val="000000"/>
                <w:szCs w:val="24"/>
                <w:lang w:val="en-GB" w:eastAsia="en-NZ"/>
              </w:rPr>
              <w:t xml:space="preserve"> </w:t>
            </w:r>
            <w:r w:rsidRPr="00C25DD0">
              <w:rPr>
                <w:rFonts w:ascii="Wingdings" w:eastAsia="Wingdings" w:hAnsi="Wingdings" w:cs="Calibri"/>
                <w:color w:val="FF0000"/>
                <w:szCs w:val="24"/>
                <w:lang w:val="en-GB" w:eastAsia="en-NZ"/>
              </w:rPr>
              <w:t>Þ</w:t>
            </w:r>
          </w:p>
        </w:tc>
        <w:tc>
          <w:tcPr>
            <w:tcW w:w="330" w:type="pct"/>
          </w:tcPr>
          <w:p w14:paraId="0A66D85D" w14:textId="75E080F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66%</w:t>
            </w:r>
            <w:r w:rsidR="006E4B2A">
              <w:rPr>
                <w:rFonts w:ascii="Arial" w:eastAsia="Times New Roman" w:hAnsi="Arial" w:cs="Arial"/>
                <w:color w:val="000000"/>
                <w:szCs w:val="24"/>
                <w:lang w:val="en-GB" w:eastAsia="en-NZ"/>
              </w:rPr>
              <w:t xml:space="preserve"> </w:t>
            </w:r>
            <w:r w:rsidRPr="00C25DD0">
              <w:rPr>
                <w:rFonts w:ascii="Wingdings" w:eastAsia="Wingdings" w:hAnsi="Wingdings" w:cs="Calibri"/>
                <w:color w:val="FF0000"/>
                <w:szCs w:val="24"/>
                <w:lang w:val="en-GB" w:eastAsia="en-NZ"/>
              </w:rPr>
              <w:t>Þ</w:t>
            </w:r>
          </w:p>
        </w:tc>
        <w:tc>
          <w:tcPr>
            <w:tcW w:w="1808" w:type="pct"/>
            <w:vMerge/>
            <w:shd w:val="clear" w:color="auto" w:fill="auto"/>
          </w:tcPr>
          <w:p w14:paraId="2687302B"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p>
        </w:tc>
      </w:tr>
      <w:tr w:rsidR="00C25DD0" w:rsidRPr="00C25DD0" w14:paraId="3D4CEA66" w14:textId="77777777" w:rsidTr="00A95C80">
        <w:trPr>
          <w:trHeight w:val="631"/>
        </w:trPr>
        <w:tc>
          <w:tcPr>
            <w:tcW w:w="1151" w:type="pct"/>
            <w:vMerge/>
          </w:tcPr>
          <w:p w14:paraId="29C3D2FA" w14:textId="77777777" w:rsidR="00C25DD0" w:rsidRPr="00C25DD0" w:rsidRDefault="00C25DD0" w:rsidP="00C25DD0">
            <w:pPr>
              <w:spacing w:before="0" w:after="0" w:line="276" w:lineRule="auto"/>
              <w:jc w:val="center"/>
              <w:rPr>
                <w:rFonts w:ascii="Arial" w:eastAsia="Times New Roman" w:hAnsi="Arial" w:cs="Arial"/>
                <w:szCs w:val="24"/>
                <w:lang w:val="en-GB" w:eastAsia="en-NZ"/>
              </w:rPr>
            </w:pPr>
          </w:p>
        </w:tc>
        <w:tc>
          <w:tcPr>
            <w:tcW w:w="519" w:type="pct"/>
          </w:tcPr>
          <w:p w14:paraId="5881847B" w14:textId="77777777" w:rsidR="00C25DD0" w:rsidRPr="00C25DD0" w:rsidRDefault="00C25DD0" w:rsidP="00C25DD0">
            <w:pPr>
              <w:spacing w:before="0" w:after="0" w:line="276" w:lineRule="auto"/>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Asian</w:t>
            </w:r>
          </w:p>
        </w:tc>
        <w:tc>
          <w:tcPr>
            <w:tcW w:w="303" w:type="pct"/>
          </w:tcPr>
          <w:p w14:paraId="7BC43D58"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76%</w:t>
            </w:r>
          </w:p>
        </w:tc>
        <w:tc>
          <w:tcPr>
            <w:tcW w:w="264" w:type="pct"/>
          </w:tcPr>
          <w:p w14:paraId="327250EE" w14:textId="40C06A88"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73%</w:t>
            </w:r>
            <w:r w:rsidR="006E4B2A">
              <w:rPr>
                <w:rFonts w:ascii="Arial" w:eastAsia="Times New Roman" w:hAnsi="Arial" w:cs="Arial"/>
                <w:color w:val="000000"/>
                <w:szCs w:val="24"/>
                <w:lang w:val="en-GB" w:eastAsia="en-NZ"/>
              </w:rPr>
              <w:t xml:space="preserve"> </w:t>
            </w:r>
            <w:r w:rsidRPr="00C25DD0">
              <w:rPr>
                <w:rFonts w:ascii="Wingdings" w:eastAsia="Wingdings" w:hAnsi="Wingdings" w:cs="Calibri"/>
                <w:color w:val="FF0000"/>
                <w:szCs w:val="24"/>
                <w:lang w:val="en-GB" w:eastAsia="en-NZ"/>
              </w:rPr>
              <w:t>Þ</w:t>
            </w:r>
          </w:p>
        </w:tc>
        <w:tc>
          <w:tcPr>
            <w:tcW w:w="308" w:type="pct"/>
          </w:tcPr>
          <w:p w14:paraId="66978CF4"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 xml:space="preserve">73% </w:t>
            </w:r>
            <w:r w:rsidRPr="00CE0F64">
              <w:rPr>
                <w:rFonts w:ascii="Wingdings" w:eastAsia="Wingdings" w:hAnsi="Wingdings" w:cs="Calibri"/>
                <w:b/>
                <w:color w:val="FFC000"/>
                <w:szCs w:val="24"/>
                <w:lang w:val="en-GB" w:eastAsia="en-NZ"/>
              </w:rPr>
              <w:t>Ü</w:t>
            </w:r>
          </w:p>
        </w:tc>
        <w:tc>
          <w:tcPr>
            <w:tcW w:w="317" w:type="pct"/>
          </w:tcPr>
          <w:p w14:paraId="5F076C51" w14:textId="30C3C55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74%</w:t>
            </w:r>
            <w:r w:rsidR="006E4B2A">
              <w:rPr>
                <w:rFonts w:ascii="Arial" w:eastAsia="Times New Roman" w:hAnsi="Arial" w:cs="Arial"/>
                <w:color w:val="000000"/>
                <w:szCs w:val="24"/>
                <w:lang w:val="en-GB" w:eastAsia="en-NZ"/>
              </w:rPr>
              <w:t xml:space="preserve"> </w:t>
            </w:r>
            <w:r w:rsidRPr="00C25DD0">
              <w:rPr>
                <w:rFonts w:ascii="Wingdings" w:eastAsia="Wingdings" w:hAnsi="Wingdings" w:cs="Wingdings"/>
                <w:color w:val="00B050"/>
                <w:szCs w:val="24"/>
              </w:rPr>
              <w:t>Ý</w:t>
            </w:r>
          </w:p>
        </w:tc>
        <w:tc>
          <w:tcPr>
            <w:tcW w:w="330" w:type="pct"/>
          </w:tcPr>
          <w:p w14:paraId="3AD34D0C" w14:textId="61765D9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70%</w:t>
            </w:r>
            <w:r w:rsidR="006E4B2A">
              <w:rPr>
                <w:rFonts w:ascii="Arial" w:eastAsia="Times New Roman" w:hAnsi="Arial" w:cs="Arial"/>
                <w:color w:val="000000"/>
                <w:szCs w:val="24"/>
                <w:lang w:val="en-GB" w:eastAsia="en-NZ"/>
              </w:rPr>
              <w:t xml:space="preserve"> </w:t>
            </w:r>
            <w:r w:rsidRPr="00C25DD0">
              <w:rPr>
                <w:rFonts w:ascii="Wingdings" w:eastAsia="Wingdings" w:hAnsi="Wingdings" w:cs="Calibri"/>
                <w:color w:val="FF0000"/>
                <w:szCs w:val="24"/>
                <w:lang w:val="en-GB" w:eastAsia="en-NZ"/>
              </w:rPr>
              <w:t>Þ</w:t>
            </w:r>
          </w:p>
        </w:tc>
        <w:tc>
          <w:tcPr>
            <w:tcW w:w="1808" w:type="pct"/>
            <w:vMerge/>
            <w:shd w:val="clear" w:color="auto" w:fill="auto"/>
          </w:tcPr>
          <w:p w14:paraId="573F953B"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p>
        </w:tc>
      </w:tr>
      <w:tr w:rsidR="00C25DD0" w:rsidRPr="00C25DD0" w14:paraId="2773C1F1" w14:textId="77777777" w:rsidTr="00A95C80">
        <w:trPr>
          <w:trHeight w:val="631"/>
        </w:trPr>
        <w:tc>
          <w:tcPr>
            <w:tcW w:w="1151" w:type="pct"/>
            <w:vMerge/>
            <w:hideMark/>
          </w:tcPr>
          <w:p w14:paraId="4AC92F75" w14:textId="77777777" w:rsidR="00C25DD0" w:rsidRPr="00C25DD0" w:rsidRDefault="00C25DD0" w:rsidP="00C25DD0">
            <w:pPr>
              <w:spacing w:before="0" w:after="0" w:line="276" w:lineRule="auto"/>
              <w:jc w:val="center"/>
              <w:rPr>
                <w:rFonts w:ascii="Arial" w:eastAsia="Times New Roman" w:hAnsi="Arial" w:cs="Arial"/>
                <w:szCs w:val="24"/>
                <w:lang w:val="en-GB" w:eastAsia="en-NZ"/>
              </w:rPr>
            </w:pPr>
          </w:p>
        </w:tc>
        <w:tc>
          <w:tcPr>
            <w:tcW w:w="519" w:type="pct"/>
            <w:hideMark/>
          </w:tcPr>
          <w:p w14:paraId="232E84A1" w14:textId="77777777" w:rsidR="00C25DD0" w:rsidRPr="00C25DD0" w:rsidRDefault="00C25DD0" w:rsidP="00C25DD0">
            <w:pPr>
              <w:spacing w:before="0" w:after="0" w:line="276" w:lineRule="auto"/>
              <w:textAlignment w:val="baseline"/>
              <w:rPr>
                <w:rFonts w:ascii="Arial" w:eastAsia="Times New Roman" w:hAnsi="Arial" w:cs="Arial"/>
                <w:szCs w:val="24"/>
                <w:lang w:val="en-GB" w:eastAsia="en-NZ"/>
              </w:rPr>
            </w:pPr>
            <w:r w:rsidRPr="00C25DD0">
              <w:rPr>
                <w:rFonts w:ascii="Arial" w:eastAsia="Times New Roman" w:hAnsi="Arial" w:cs="Arial"/>
                <w:color w:val="000000"/>
                <w:szCs w:val="24"/>
                <w:lang w:val="en-GB" w:eastAsia="en-NZ"/>
              </w:rPr>
              <w:t>Total</w:t>
            </w:r>
          </w:p>
        </w:tc>
        <w:tc>
          <w:tcPr>
            <w:tcW w:w="303" w:type="pct"/>
          </w:tcPr>
          <w:p w14:paraId="4AA2E842"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72%</w:t>
            </w:r>
          </w:p>
        </w:tc>
        <w:tc>
          <w:tcPr>
            <w:tcW w:w="264" w:type="pct"/>
          </w:tcPr>
          <w:p w14:paraId="66B508A9" w14:textId="14F15289"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72%</w:t>
            </w:r>
            <w:r w:rsidR="006E4B2A">
              <w:rPr>
                <w:rFonts w:ascii="Arial" w:eastAsia="Times New Roman" w:hAnsi="Arial" w:cs="Arial"/>
                <w:color w:val="000000"/>
                <w:szCs w:val="24"/>
                <w:lang w:val="en-GB" w:eastAsia="en-NZ"/>
              </w:rPr>
              <w:t xml:space="preserve"> </w:t>
            </w:r>
            <w:r w:rsidRPr="00CE0F64">
              <w:rPr>
                <w:rFonts w:ascii="Wingdings" w:eastAsia="Wingdings" w:hAnsi="Wingdings" w:cs="Calibri"/>
                <w:b/>
                <w:color w:val="FFC000"/>
                <w:szCs w:val="24"/>
                <w:lang w:val="en-GB" w:eastAsia="en-NZ"/>
              </w:rPr>
              <w:t>Ü</w:t>
            </w:r>
          </w:p>
        </w:tc>
        <w:tc>
          <w:tcPr>
            <w:tcW w:w="308" w:type="pct"/>
          </w:tcPr>
          <w:p w14:paraId="4A1A2FAF" w14:textId="08F7FBBC"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72%</w:t>
            </w:r>
            <w:r w:rsidR="006E4B2A">
              <w:rPr>
                <w:rFonts w:ascii="Arial" w:eastAsia="Times New Roman" w:hAnsi="Arial" w:cs="Arial"/>
                <w:color w:val="000000"/>
                <w:szCs w:val="24"/>
                <w:lang w:val="en-GB" w:eastAsia="en-NZ"/>
              </w:rPr>
              <w:t xml:space="preserve"> </w:t>
            </w:r>
            <w:r w:rsidRPr="00CE0F64">
              <w:rPr>
                <w:rFonts w:ascii="Wingdings" w:eastAsia="Wingdings" w:hAnsi="Wingdings" w:cs="Calibri"/>
                <w:b/>
                <w:color w:val="FFC000"/>
                <w:szCs w:val="24"/>
                <w:lang w:val="en-GB" w:eastAsia="en-NZ"/>
              </w:rPr>
              <w:t>Ü</w:t>
            </w:r>
          </w:p>
        </w:tc>
        <w:tc>
          <w:tcPr>
            <w:tcW w:w="317" w:type="pct"/>
          </w:tcPr>
          <w:p w14:paraId="69A422D1" w14:textId="2C8103FC"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71%</w:t>
            </w:r>
            <w:r w:rsidR="006E4B2A">
              <w:rPr>
                <w:rFonts w:ascii="Arial" w:eastAsia="Times New Roman" w:hAnsi="Arial" w:cs="Arial"/>
                <w:color w:val="000000"/>
                <w:szCs w:val="24"/>
                <w:lang w:val="en-GB" w:eastAsia="en-NZ"/>
              </w:rPr>
              <w:t xml:space="preserve"> </w:t>
            </w:r>
            <w:r w:rsidRPr="00C25DD0">
              <w:rPr>
                <w:rFonts w:ascii="Wingdings" w:eastAsia="Wingdings" w:hAnsi="Wingdings" w:cs="Calibri"/>
                <w:color w:val="FF0000"/>
                <w:szCs w:val="24"/>
                <w:lang w:val="en-GB" w:eastAsia="en-NZ"/>
              </w:rPr>
              <w:t>Þ</w:t>
            </w:r>
          </w:p>
        </w:tc>
        <w:tc>
          <w:tcPr>
            <w:tcW w:w="330" w:type="pct"/>
          </w:tcPr>
          <w:p w14:paraId="58D88863" w14:textId="6C82A639"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68%</w:t>
            </w:r>
            <w:r w:rsidR="006E4B2A">
              <w:rPr>
                <w:rFonts w:ascii="Arial" w:eastAsia="Times New Roman" w:hAnsi="Arial" w:cs="Arial"/>
                <w:color w:val="000000"/>
                <w:szCs w:val="24"/>
                <w:lang w:val="en-GB" w:eastAsia="en-NZ"/>
              </w:rPr>
              <w:t xml:space="preserve"> </w:t>
            </w:r>
            <w:r w:rsidRPr="00C25DD0">
              <w:rPr>
                <w:rFonts w:ascii="Wingdings" w:eastAsia="Wingdings" w:hAnsi="Wingdings" w:cs="Calibri"/>
                <w:color w:val="FF0000"/>
                <w:szCs w:val="24"/>
                <w:lang w:val="en-GB" w:eastAsia="en-NZ"/>
              </w:rPr>
              <w:t>Þ</w:t>
            </w:r>
          </w:p>
        </w:tc>
        <w:tc>
          <w:tcPr>
            <w:tcW w:w="1808" w:type="pct"/>
            <w:vMerge/>
            <w:shd w:val="clear" w:color="auto" w:fill="auto"/>
          </w:tcPr>
          <w:p w14:paraId="05F51D5A"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p>
        </w:tc>
      </w:tr>
      <w:tr w:rsidR="00C25DD0" w:rsidRPr="00C25DD0" w14:paraId="48519DCB" w14:textId="77777777" w:rsidTr="00A95C80">
        <w:trPr>
          <w:trHeight w:val="300"/>
        </w:trPr>
        <w:tc>
          <w:tcPr>
            <w:tcW w:w="1151" w:type="pct"/>
          </w:tcPr>
          <w:p w14:paraId="1EE3EF87" w14:textId="77777777" w:rsidR="00C25DD0" w:rsidRPr="00C25DD0" w:rsidRDefault="00C25DD0" w:rsidP="00C25DD0">
            <w:pPr>
              <w:spacing w:before="0" w:after="0" w:line="276" w:lineRule="auto"/>
              <w:rPr>
                <w:rFonts w:ascii="Arial" w:eastAsia="Times New Roman" w:hAnsi="Arial" w:cs="Arial"/>
                <w:szCs w:val="24"/>
                <w:lang w:val="en-GB" w:eastAsia="en-NZ"/>
              </w:rPr>
            </w:pPr>
            <w:r w:rsidRPr="00C25DD0">
              <w:rPr>
                <w:rFonts w:ascii="Arial" w:eastAsia="Times New Roman" w:hAnsi="Arial" w:cs="Arial"/>
                <w:b/>
                <w:bCs/>
                <w:szCs w:val="24"/>
                <w:lang w:val="en-GB" w:eastAsia="en-NZ"/>
              </w:rPr>
              <w:t>Comments</w:t>
            </w:r>
          </w:p>
        </w:tc>
        <w:tc>
          <w:tcPr>
            <w:tcW w:w="3849" w:type="pct"/>
            <w:gridSpan w:val="7"/>
          </w:tcPr>
          <w:p w14:paraId="2968D1A1" w14:textId="77777777" w:rsidR="00C25DD0" w:rsidRPr="00C25DD0" w:rsidRDefault="00C25DD0" w:rsidP="00C25DD0">
            <w:pPr>
              <w:spacing w:before="0" w:after="0" w:line="276" w:lineRule="auto"/>
              <w:rPr>
                <w:rFonts w:ascii="Arial" w:eastAsia="Wingdings" w:hAnsi="Arial" w:cs="Arial"/>
                <w:color w:val="000000"/>
                <w:szCs w:val="24"/>
                <w:lang w:val="en-GB" w:eastAsia="en-NZ"/>
              </w:rPr>
            </w:pPr>
            <w:r w:rsidRPr="00C25DD0">
              <w:rPr>
                <w:rFonts w:ascii="Arial" w:eastAsia="Wingdings" w:hAnsi="Arial" w:cs="Arial"/>
                <w:color w:val="000000"/>
                <w:szCs w:val="24"/>
                <w:lang w:val="en-GB" w:eastAsia="en-NZ"/>
              </w:rPr>
              <w:t xml:space="preserve">There is a continued decrease in performance against the ED length of stay target quarter one. This is driven largely by admitted patients cohort where access to inpatient beds is delayed. This is the result of capacity and resource constraints in the hospitals. </w:t>
            </w:r>
          </w:p>
          <w:p w14:paraId="353EE12F" w14:textId="77777777" w:rsidR="00C25DD0" w:rsidRPr="00C25DD0" w:rsidRDefault="00C25DD0" w:rsidP="00C25DD0">
            <w:pPr>
              <w:spacing w:before="0" w:after="0" w:line="276" w:lineRule="auto"/>
              <w:rPr>
                <w:rFonts w:ascii="Calibri" w:eastAsia="Calibri" w:hAnsi="Calibri" w:cs="Calibri"/>
                <w:szCs w:val="24"/>
                <w:lang w:val="en-GB"/>
              </w:rPr>
            </w:pPr>
            <w:r w:rsidRPr="00C25DD0">
              <w:rPr>
                <w:rFonts w:ascii="Arial" w:eastAsia="Wingdings" w:hAnsi="Arial" w:cs="Arial"/>
                <w:color w:val="000000"/>
                <w:szCs w:val="24"/>
                <w:lang w:val="en-GB" w:eastAsia="en-NZ"/>
              </w:rPr>
              <w:t xml:space="preserve">Te Whatu Ora Hospital and Health Services Delivery Unit has developed a plan for Acute Care. This plan </w:t>
            </w:r>
            <w:r w:rsidRPr="00C25DD0">
              <w:rPr>
                <w:rFonts w:ascii="Arial" w:eastAsia="Calibri" w:hAnsi="Arial" w:cs="Arial"/>
                <w:szCs w:val="24"/>
                <w:lang w:val="en-GB"/>
              </w:rPr>
              <w:t>is focused on improving flow, optimising resources and technology, and implementing national frameworks and guidelines, underpinned by strong clinical leadership.</w:t>
            </w:r>
            <w:r w:rsidRPr="00C25DD0">
              <w:rPr>
                <w:rFonts w:ascii="Calibri" w:eastAsia="Calibri" w:hAnsi="Calibri" w:cs="Calibri"/>
                <w:szCs w:val="24"/>
                <w:lang w:val="en-GB"/>
              </w:rPr>
              <w:t xml:space="preserve"> </w:t>
            </w:r>
          </w:p>
        </w:tc>
      </w:tr>
    </w:tbl>
    <w:p w14:paraId="3E151103" w14:textId="77777777" w:rsidR="00C25DD0" w:rsidRDefault="00C25DD0" w:rsidP="004E25D1">
      <w:pPr>
        <w:pStyle w:val="TableText"/>
      </w:pPr>
    </w:p>
    <w:tbl>
      <w:tblPr>
        <w:tblStyle w:val="TeWhatuOra"/>
        <w:tblW w:w="5000" w:type="pct"/>
        <w:tblLook w:val="0420" w:firstRow="1" w:lastRow="0" w:firstColumn="0" w:lastColumn="0" w:noHBand="0" w:noVBand="1"/>
      </w:tblPr>
      <w:tblGrid>
        <w:gridCol w:w="4957"/>
        <w:gridCol w:w="2227"/>
        <w:gridCol w:w="1318"/>
        <w:gridCol w:w="1171"/>
        <w:gridCol w:w="1318"/>
        <w:gridCol w:w="1318"/>
        <w:gridCol w:w="1438"/>
        <w:gridCol w:w="7786"/>
      </w:tblGrid>
      <w:tr w:rsidR="00D330D1" w:rsidRPr="00C25DD0" w14:paraId="50AEA84D" w14:textId="77777777" w:rsidTr="00D330D1">
        <w:trPr>
          <w:cnfStyle w:val="100000000000" w:firstRow="1" w:lastRow="0" w:firstColumn="0" w:lastColumn="0" w:oddVBand="0" w:evenVBand="0" w:oddHBand="0" w:evenHBand="0" w:firstRowFirstColumn="0" w:firstRowLastColumn="0" w:lastRowFirstColumn="0" w:lastRowLastColumn="0"/>
          <w:trHeight w:val="639"/>
        </w:trPr>
        <w:tc>
          <w:tcPr>
            <w:tcW w:w="1151" w:type="pct"/>
          </w:tcPr>
          <w:p w14:paraId="4FE7725B" w14:textId="77777777" w:rsidR="00C25DD0" w:rsidRPr="00C25DD0" w:rsidRDefault="00C25DD0" w:rsidP="00C25DD0">
            <w:pPr>
              <w:spacing w:before="0" w:after="0" w:line="276" w:lineRule="auto"/>
              <w:textAlignment w:val="baseline"/>
              <w:rPr>
                <w:rFonts w:ascii="Calibri" w:eastAsia="Times New Roman" w:hAnsi="Calibri" w:cs="Arial"/>
                <w:bCs/>
                <w:sz w:val="22"/>
                <w:lang w:val="en-GB" w:eastAsia="en-NZ"/>
              </w:rPr>
            </w:pPr>
            <w:r w:rsidRPr="00C25DD0">
              <w:rPr>
                <w:rFonts w:ascii="Arial" w:eastAsia="Times New Roman" w:hAnsi="Arial" w:cs="Arial"/>
                <w:bCs/>
                <w:szCs w:val="24"/>
                <w:lang w:val="en-GB" w:eastAsia="en-NZ"/>
              </w:rPr>
              <w:t>Measure</w:t>
            </w:r>
          </w:p>
        </w:tc>
        <w:tc>
          <w:tcPr>
            <w:tcW w:w="517" w:type="pct"/>
          </w:tcPr>
          <w:p w14:paraId="7D1ADD14" w14:textId="77777777" w:rsidR="00C25DD0" w:rsidRPr="00C25DD0" w:rsidRDefault="00C25DD0" w:rsidP="00C25DD0">
            <w:pPr>
              <w:spacing w:before="0" w:after="0" w:line="276" w:lineRule="auto"/>
              <w:textAlignment w:val="baseline"/>
              <w:rPr>
                <w:rFonts w:ascii="Arial" w:eastAsia="Times New Roman" w:hAnsi="Arial" w:cs="Arial"/>
                <w:color w:val="000000"/>
                <w:szCs w:val="24"/>
                <w:lang w:val="en-GB" w:eastAsia="en-NZ"/>
              </w:rPr>
            </w:pPr>
            <w:r w:rsidRPr="00C25DD0">
              <w:rPr>
                <w:rFonts w:ascii="Arial" w:eastAsia="Times New Roman" w:hAnsi="Arial" w:cs="Arial"/>
                <w:bCs/>
                <w:szCs w:val="24"/>
                <w:lang w:val="en-GB" w:eastAsia="en-NZ"/>
              </w:rPr>
              <w:t>Ethnic Group</w:t>
            </w:r>
          </w:p>
        </w:tc>
        <w:tc>
          <w:tcPr>
            <w:tcW w:w="306" w:type="pct"/>
          </w:tcPr>
          <w:p w14:paraId="0AA0482C"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Q1</w:t>
            </w:r>
          </w:p>
          <w:p w14:paraId="41FD75DC"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2022-23</w:t>
            </w:r>
          </w:p>
        </w:tc>
        <w:tc>
          <w:tcPr>
            <w:tcW w:w="272" w:type="pct"/>
          </w:tcPr>
          <w:p w14:paraId="339F4367"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Q2</w:t>
            </w:r>
          </w:p>
          <w:p w14:paraId="7FE98F05"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2022-23</w:t>
            </w:r>
          </w:p>
        </w:tc>
        <w:tc>
          <w:tcPr>
            <w:tcW w:w="306" w:type="pct"/>
          </w:tcPr>
          <w:p w14:paraId="3E20B365"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Q3</w:t>
            </w:r>
          </w:p>
          <w:p w14:paraId="078EF7D8"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2022-23</w:t>
            </w:r>
          </w:p>
        </w:tc>
        <w:tc>
          <w:tcPr>
            <w:tcW w:w="306" w:type="pct"/>
          </w:tcPr>
          <w:p w14:paraId="12C6DE42"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Q4</w:t>
            </w:r>
          </w:p>
          <w:p w14:paraId="724933B5"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2022-23</w:t>
            </w:r>
          </w:p>
        </w:tc>
        <w:tc>
          <w:tcPr>
            <w:tcW w:w="334" w:type="pct"/>
          </w:tcPr>
          <w:p w14:paraId="7D51AD9F"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Q1</w:t>
            </w:r>
          </w:p>
          <w:p w14:paraId="417EAB2A"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2023-24</w:t>
            </w:r>
          </w:p>
        </w:tc>
        <w:tc>
          <w:tcPr>
            <w:tcW w:w="1808" w:type="pct"/>
            <w:vMerge w:val="restart"/>
            <w:shd w:val="clear" w:color="auto" w:fill="auto"/>
          </w:tcPr>
          <w:p w14:paraId="33795495" w14:textId="77777777" w:rsidR="00C25DD0" w:rsidRPr="00C25DD0" w:rsidRDefault="00C25DD0" w:rsidP="00815E07">
            <w:pPr>
              <w:spacing w:before="0" w:after="0" w:line="276" w:lineRule="auto"/>
              <w:textAlignment w:val="baseline"/>
              <w:rPr>
                <w:rFonts w:ascii="Wingdings" w:eastAsia="Wingdings" w:hAnsi="Wingdings" w:cs="Calibri"/>
                <w:color w:val="FF0000"/>
                <w:sz w:val="28"/>
                <w:szCs w:val="28"/>
                <w:lang w:val="en-GB" w:eastAsia="en-NZ"/>
              </w:rPr>
            </w:pPr>
            <w:r w:rsidRPr="00C25DD0">
              <w:rPr>
                <w:rFonts w:ascii="Wingdings" w:eastAsia="Wingdings" w:hAnsi="Wingdings" w:cs="Calibri"/>
                <w:noProof/>
                <w:color w:val="FF0000"/>
                <w:sz w:val="28"/>
                <w:szCs w:val="28"/>
                <w:lang w:val="en-GB" w:eastAsia="en-NZ"/>
              </w:rPr>
              <w:drawing>
                <wp:inline distT="0" distB="0" distL="0" distR="0" wp14:anchorId="0E761865" wp14:editId="6829861C">
                  <wp:extent cx="4376641" cy="2727297"/>
                  <wp:effectExtent l="0" t="0" r="5080" b="0"/>
                  <wp:docPr id="1825775865" name="Chart 1825775865" descr="Chart showing Number of people with an inpatient length of stay of greater than 7 days."/>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D330D1" w:rsidRPr="00C25DD0" w14:paraId="40007D2C" w14:textId="77777777" w:rsidTr="00D330D1">
        <w:trPr>
          <w:trHeight w:val="640"/>
        </w:trPr>
        <w:tc>
          <w:tcPr>
            <w:tcW w:w="1151" w:type="pct"/>
            <w:vMerge w:val="restart"/>
            <w:hideMark/>
          </w:tcPr>
          <w:p w14:paraId="577B7973" w14:textId="77777777" w:rsidR="00C25DD0" w:rsidRPr="00C25DD0" w:rsidRDefault="00C25DD0" w:rsidP="00C25DD0">
            <w:pPr>
              <w:spacing w:before="0" w:after="0" w:line="276" w:lineRule="auto"/>
              <w:textAlignment w:val="baseline"/>
              <w:rPr>
                <w:rFonts w:ascii="Arial" w:eastAsia="Calibri" w:hAnsi="Arial" w:cs="Arial"/>
                <w:color w:val="000000"/>
                <w:szCs w:val="24"/>
                <w:bdr w:val="none" w:sz="0" w:space="0" w:color="auto" w:frame="1"/>
                <w:vertAlign w:val="superscript"/>
              </w:rPr>
            </w:pPr>
            <w:r w:rsidRPr="00C25DD0">
              <w:rPr>
                <w:rFonts w:ascii="Arial" w:eastAsia="Calibri" w:hAnsi="Arial" w:cs="Arial"/>
                <w:color w:val="000000"/>
                <w:szCs w:val="24"/>
                <w:bdr w:val="none" w:sz="0" w:space="0" w:color="auto" w:frame="1"/>
              </w:rPr>
              <w:t xml:space="preserve">Number of people with an inpatient length of stay of greater than 7 days </w:t>
            </w:r>
            <w:r w:rsidRPr="00C25DD0">
              <w:rPr>
                <w:rFonts w:ascii="Arial" w:eastAsia="Calibri" w:hAnsi="Arial" w:cs="Arial"/>
                <w:color w:val="000000"/>
                <w:szCs w:val="24"/>
                <w:bdr w:val="none" w:sz="0" w:space="0" w:color="auto" w:frame="1"/>
                <w:vertAlign w:val="superscript"/>
              </w:rPr>
              <w:t>6</w:t>
            </w:r>
            <w:r w:rsidRPr="00C25DD0">
              <w:rPr>
                <w:rFonts w:ascii="Arial" w:eastAsia="Calibri" w:hAnsi="Arial" w:cs="Arial"/>
                <w:color w:val="000000"/>
                <w:szCs w:val="24"/>
                <w:bdr w:val="none" w:sz="0" w:space="0" w:color="auto" w:frame="1"/>
              </w:rPr>
              <w:t>.</w:t>
            </w:r>
          </w:p>
          <w:p w14:paraId="36EF04B3" w14:textId="77777777" w:rsidR="00C25DD0" w:rsidRPr="00C25DD0" w:rsidRDefault="00C25DD0" w:rsidP="00C25DD0">
            <w:pPr>
              <w:spacing w:before="0" w:after="0" w:line="276" w:lineRule="auto"/>
              <w:textAlignment w:val="baseline"/>
              <w:rPr>
                <w:rFonts w:ascii="Arial" w:eastAsia="Calibri" w:hAnsi="Arial" w:cs="Arial"/>
                <w:b/>
                <w:color w:val="000000"/>
                <w:szCs w:val="24"/>
                <w:bdr w:val="none" w:sz="0" w:space="0" w:color="auto" w:frame="1"/>
              </w:rPr>
            </w:pPr>
          </w:p>
          <w:p w14:paraId="0A940B4A" w14:textId="77777777" w:rsidR="00C25DD0" w:rsidRPr="00C25DD0" w:rsidRDefault="00C25DD0" w:rsidP="00C25DD0">
            <w:pPr>
              <w:spacing w:before="0" w:after="0" w:line="276" w:lineRule="auto"/>
              <w:textAlignment w:val="baseline"/>
              <w:rPr>
                <w:rFonts w:ascii="Arial" w:eastAsia="Times New Roman" w:hAnsi="Arial" w:cs="Arial"/>
                <w:szCs w:val="24"/>
                <w:lang w:val="en-GB" w:eastAsia="en-NZ"/>
              </w:rPr>
            </w:pPr>
            <w:r w:rsidRPr="00C25DD0">
              <w:rPr>
                <w:rFonts w:ascii="Arial" w:eastAsia="Calibri" w:hAnsi="Arial" w:cs="Arial"/>
                <w:b/>
                <w:color w:val="000000"/>
                <w:szCs w:val="24"/>
                <w:bdr w:val="none" w:sz="0" w:space="0" w:color="auto" w:frame="1"/>
              </w:rPr>
              <w:t>Target:</w:t>
            </w:r>
            <w:r w:rsidRPr="00C25DD0">
              <w:rPr>
                <w:rFonts w:ascii="Arial" w:eastAsia="Calibri" w:hAnsi="Arial" w:cs="Arial"/>
                <w:color w:val="000000"/>
                <w:szCs w:val="24"/>
                <w:bdr w:val="none" w:sz="0" w:space="0" w:color="auto" w:frame="1"/>
              </w:rPr>
              <w:t xml:space="preserve"> Target to be established</w:t>
            </w:r>
          </w:p>
        </w:tc>
        <w:tc>
          <w:tcPr>
            <w:tcW w:w="517" w:type="pct"/>
            <w:hideMark/>
          </w:tcPr>
          <w:p w14:paraId="6C81DB90" w14:textId="77777777" w:rsidR="00C25DD0" w:rsidRPr="00C25DD0" w:rsidRDefault="00C25DD0" w:rsidP="00C25DD0">
            <w:pPr>
              <w:spacing w:before="0" w:after="0" w:line="276" w:lineRule="auto"/>
              <w:textAlignment w:val="baseline"/>
              <w:rPr>
                <w:rFonts w:ascii="Arial" w:eastAsia="Times New Roman" w:hAnsi="Arial" w:cs="Arial"/>
                <w:szCs w:val="24"/>
                <w:lang w:val="en-GB" w:eastAsia="en-NZ"/>
              </w:rPr>
            </w:pPr>
            <w:r w:rsidRPr="00C25DD0">
              <w:rPr>
                <w:rFonts w:ascii="Arial" w:eastAsia="Times New Roman" w:hAnsi="Arial" w:cs="Arial"/>
                <w:color w:val="000000"/>
                <w:szCs w:val="24"/>
                <w:lang w:val="en-GB" w:eastAsia="en-NZ"/>
              </w:rPr>
              <w:t>Māori</w:t>
            </w:r>
          </w:p>
        </w:tc>
        <w:tc>
          <w:tcPr>
            <w:tcW w:w="306" w:type="pct"/>
          </w:tcPr>
          <w:p w14:paraId="4CD120AB"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6.9%</w:t>
            </w:r>
          </w:p>
        </w:tc>
        <w:tc>
          <w:tcPr>
            <w:tcW w:w="272" w:type="pct"/>
          </w:tcPr>
          <w:p w14:paraId="0DDF159E" w14:textId="4769BCF2"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6.7%</w:t>
            </w:r>
            <w:r w:rsidR="006E4B2A">
              <w:rPr>
                <w:rFonts w:ascii="Arial" w:eastAsia="Times New Roman" w:hAnsi="Arial" w:cs="Arial"/>
                <w:color w:val="000000"/>
                <w:szCs w:val="24"/>
                <w:lang w:val="en-GB" w:eastAsia="en-NZ"/>
              </w:rPr>
              <w:t xml:space="preserve"> </w:t>
            </w:r>
            <w:r w:rsidRPr="00C25DD0">
              <w:rPr>
                <w:rFonts w:ascii="Wingdings" w:eastAsia="Wingdings" w:hAnsi="Wingdings" w:cs="Calibri"/>
                <w:color w:val="00B050"/>
                <w:szCs w:val="24"/>
                <w:lang w:val="en-GB" w:eastAsia="en-NZ"/>
              </w:rPr>
              <w:t>Þ</w:t>
            </w:r>
          </w:p>
        </w:tc>
        <w:tc>
          <w:tcPr>
            <w:tcW w:w="306" w:type="pct"/>
          </w:tcPr>
          <w:p w14:paraId="424D0B8A" w14:textId="3E826662"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7%</w:t>
            </w:r>
            <w:r w:rsidR="006E4B2A">
              <w:rPr>
                <w:rFonts w:ascii="Arial" w:eastAsia="Times New Roman" w:hAnsi="Arial" w:cs="Arial"/>
                <w:color w:val="000000"/>
                <w:szCs w:val="24"/>
                <w:lang w:val="en-GB" w:eastAsia="en-NZ"/>
              </w:rPr>
              <w:t xml:space="preserve"> </w:t>
            </w:r>
            <w:r w:rsidRPr="00C25DD0" w:rsidDel="002D0B14">
              <w:rPr>
                <w:rFonts w:ascii="Wingdings" w:eastAsia="Wingdings" w:hAnsi="Wingdings" w:cs="Wingdings"/>
                <w:color w:val="FF0000"/>
                <w:szCs w:val="24"/>
              </w:rPr>
              <w:t>Ý</w:t>
            </w:r>
          </w:p>
        </w:tc>
        <w:tc>
          <w:tcPr>
            <w:tcW w:w="306" w:type="pct"/>
          </w:tcPr>
          <w:p w14:paraId="20C08F5E" w14:textId="2B9E889B"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7.1%</w:t>
            </w:r>
            <w:r w:rsidR="006E4B2A">
              <w:rPr>
                <w:rFonts w:ascii="Arial" w:eastAsia="Times New Roman" w:hAnsi="Arial" w:cs="Arial"/>
                <w:color w:val="000000"/>
                <w:szCs w:val="24"/>
                <w:lang w:val="en-GB" w:eastAsia="en-NZ"/>
              </w:rPr>
              <w:t xml:space="preserve"> </w:t>
            </w:r>
            <w:r w:rsidRPr="00C25DD0" w:rsidDel="002D0B14">
              <w:rPr>
                <w:rFonts w:ascii="Wingdings" w:eastAsia="Wingdings" w:hAnsi="Wingdings" w:cs="Wingdings"/>
                <w:color w:val="FF0000"/>
                <w:szCs w:val="24"/>
              </w:rPr>
              <w:t>Ý</w:t>
            </w:r>
          </w:p>
        </w:tc>
        <w:tc>
          <w:tcPr>
            <w:tcW w:w="334" w:type="pct"/>
          </w:tcPr>
          <w:p w14:paraId="1648C1A6" w14:textId="7BEB7553"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6.7%</w:t>
            </w:r>
            <w:r w:rsidR="006E4B2A">
              <w:rPr>
                <w:rFonts w:ascii="Arial" w:eastAsia="Times New Roman" w:hAnsi="Arial" w:cs="Arial"/>
                <w:color w:val="000000"/>
                <w:szCs w:val="24"/>
                <w:lang w:val="en-GB" w:eastAsia="en-NZ"/>
              </w:rPr>
              <w:t xml:space="preserve"> </w:t>
            </w:r>
            <w:r w:rsidRPr="00C25DD0">
              <w:rPr>
                <w:rFonts w:ascii="Wingdings" w:eastAsia="Wingdings" w:hAnsi="Wingdings" w:cs="Calibri"/>
                <w:color w:val="00B050"/>
                <w:szCs w:val="24"/>
                <w:lang w:val="en-GB" w:eastAsia="en-NZ"/>
              </w:rPr>
              <w:t>Þ</w:t>
            </w:r>
          </w:p>
        </w:tc>
        <w:tc>
          <w:tcPr>
            <w:tcW w:w="1808" w:type="pct"/>
            <w:vMerge/>
            <w:shd w:val="clear" w:color="auto" w:fill="auto"/>
          </w:tcPr>
          <w:p w14:paraId="0039AF23"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p>
        </w:tc>
      </w:tr>
      <w:tr w:rsidR="00D330D1" w:rsidRPr="00C25DD0" w14:paraId="095C3048" w14:textId="77777777" w:rsidTr="00D330D1">
        <w:trPr>
          <w:trHeight w:val="639"/>
        </w:trPr>
        <w:tc>
          <w:tcPr>
            <w:tcW w:w="1151" w:type="pct"/>
            <w:vMerge/>
            <w:hideMark/>
          </w:tcPr>
          <w:p w14:paraId="6DCEE84F" w14:textId="77777777" w:rsidR="00C25DD0" w:rsidRPr="00C25DD0" w:rsidRDefault="00C25DD0" w:rsidP="00C25DD0">
            <w:pPr>
              <w:spacing w:before="0" w:after="0" w:line="276" w:lineRule="auto"/>
              <w:jc w:val="center"/>
              <w:rPr>
                <w:rFonts w:ascii="Arial" w:eastAsia="Times New Roman" w:hAnsi="Arial" w:cs="Arial"/>
                <w:szCs w:val="24"/>
                <w:lang w:val="en-GB" w:eastAsia="en-NZ"/>
              </w:rPr>
            </w:pPr>
          </w:p>
        </w:tc>
        <w:tc>
          <w:tcPr>
            <w:tcW w:w="517" w:type="pct"/>
            <w:hideMark/>
          </w:tcPr>
          <w:p w14:paraId="35B3196F" w14:textId="77777777" w:rsidR="00C25DD0" w:rsidRPr="00C25DD0" w:rsidRDefault="00C25DD0" w:rsidP="00C25DD0">
            <w:pPr>
              <w:spacing w:before="0" w:after="0" w:line="276" w:lineRule="auto"/>
              <w:textAlignment w:val="baseline"/>
              <w:rPr>
                <w:rFonts w:ascii="Arial" w:eastAsia="Times New Roman" w:hAnsi="Arial" w:cs="Arial"/>
                <w:szCs w:val="24"/>
                <w:lang w:val="en-GB" w:eastAsia="en-NZ"/>
              </w:rPr>
            </w:pPr>
            <w:r w:rsidRPr="00C25DD0">
              <w:rPr>
                <w:rFonts w:ascii="Arial" w:eastAsia="Times New Roman" w:hAnsi="Arial" w:cs="Arial"/>
                <w:color w:val="000000"/>
                <w:szCs w:val="24"/>
                <w:lang w:val="en-GB" w:eastAsia="en-NZ"/>
              </w:rPr>
              <w:t>Pacific</w:t>
            </w:r>
          </w:p>
        </w:tc>
        <w:tc>
          <w:tcPr>
            <w:tcW w:w="306" w:type="pct"/>
          </w:tcPr>
          <w:p w14:paraId="32E37F2E"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7.8%</w:t>
            </w:r>
          </w:p>
        </w:tc>
        <w:tc>
          <w:tcPr>
            <w:tcW w:w="272" w:type="pct"/>
          </w:tcPr>
          <w:p w14:paraId="5C92E8F7" w14:textId="77777777"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7.7%</w:t>
            </w:r>
            <w:r w:rsidRPr="00C25DD0">
              <w:rPr>
                <w:rFonts w:ascii="Calibri" w:eastAsia="Times New Roman" w:hAnsi="Calibri" w:cs="Calibri"/>
                <w:szCs w:val="24"/>
                <w:lang w:val="en-GB" w:eastAsia="en-NZ"/>
              </w:rPr>
              <w:t xml:space="preserve"> </w:t>
            </w:r>
            <w:r w:rsidRPr="00C25DD0">
              <w:rPr>
                <w:rFonts w:ascii="Wingdings" w:eastAsia="Wingdings" w:hAnsi="Wingdings" w:cs="Calibri"/>
                <w:color w:val="00B050"/>
                <w:szCs w:val="24"/>
                <w:lang w:val="en-GB" w:eastAsia="en-NZ"/>
              </w:rPr>
              <w:t>Þ</w:t>
            </w:r>
          </w:p>
        </w:tc>
        <w:tc>
          <w:tcPr>
            <w:tcW w:w="306" w:type="pct"/>
          </w:tcPr>
          <w:p w14:paraId="0B004318" w14:textId="77777777"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7.9%</w:t>
            </w:r>
            <w:r w:rsidRPr="00C25DD0">
              <w:rPr>
                <w:rFonts w:ascii="Calibri" w:eastAsia="Times New Roman" w:hAnsi="Calibri" w:cs="Calibri"/>
                <w:szCs w:val="24"/>
                <w:lang w:val="en-GB" w:eastAsia="en-NZ"/>
              </w:rPr>
              <w:t xml:space="preserve"> </w:t>
            </w:r>
            <w:r w:rsidRPr="00C25DD0" w:rsidDel="002D0B14">
              <w:rPr>
                <w:rFonts w:ascii="Wingdings" w:eastAsia="Wingdings" w:hAnsi="Wingdings" w:cs="Wingdings"/>
                <w:color w:val="FF0000"/>
                <w:szCs w:val="24"/>
              </w:rPr>
              <w:t>Ý</w:t>
            </w:r>
          </w:p>
        </w:tc>
        <w:tc>
          <w:tcPr>
            <w:tcW w:w="306" w:type="pct"/>
          </w:tcPr>
          <w:p w14:paraId="241AB0C2" w14:textId="77777777"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7.8%</w:t>
            </w:r>
            <w:r w:rsidRPr="00C25DD0">
              <w:rPr>
                <w:rFonts w:ascii="Wingdings" w:eastAsia="Wingdings" w:hAnsi="Wingdings" w:cs="Calibri"/>
                <w:color w:val="00B050"/>
                <w:szCs w:val="24"/>
                <w:lang w:val="en-GB" w:eastAsia="en-NZ"/>
              </w:rPr>
              <w:t>Þ</w:t>
            </w:r>
          </w:p>
        </w:tc>
        <w:tc>
          <w:tcPr>
            <w:tcW w:w="334" w:type="pct"/>
          </w:tcPr>
          <w:p w14:paraId="2EFBCF6E" w14:textId="77777777"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7.6%</w:t>
            </w:r>
            <w:r w:rsidRPr="00C25DD0">
              <w:rPr>
                <w:rFonts w:ascii="Calibri" w:eastAsia="Times New Roman" w:hAnsi="Calibri" w:cs="Calibri"/>
                <w:szCs w:val="24"/>
                <w:lang w:val="en-GB" w:eastAsia="en-NZ"/>
              </w:rPr>
              <w:t xml:space="preserve"> </w:t>
            </w:r>
            <w:r w:rsidRPr="00C25DD0">
              <w:rPr>
                <w:rFonts w:ascii="Wingdings" w:eastAsia="Wingdings" w:hAnsi="Wingdings" w:cs="Calibri"/>
                <w:color w:val="00B050"/>
                <w:szCs w:val="24"/>
                <w:lang w:val="en-GB" w:eastAsia="en-NZ"/>
              </w:rPr>
              <w:t>Þ</w:t>
            </w:r>
          </w:p>
        </w:tc>
        <w:tc>
          <w:tcPr>
            <w:tcW w:w="1808" w:type="pct"/>
            <w:vMerge/>
            <w:shd w:val="clear" w:color="auto" w:fill="auto"/>
          </w:tcPr>
          <w:p w14:paraId="0D517758"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p>
        </w:tc>
      </w:tr>
      <w:tr w:rsidR="00D330D1" w:rsidRPr="00C25DD0" w14:paraId="558BD2DB" w14:textId="77777777" w:rsidTr="00D330D1">
        <w:trPr>
          <w:trHeight w:val="640"/>
        </w:trPr>
        <w:tc>
          <w:tcPr>
            <w:tcW w:w="1151" w:type="pct"/>
            <w:vMerge/>
          </w:tcPr>
          <w:p w14:paraId="30B4EE4F" w14:textId="77777777" w:rsidR="00C25DD0" w:rsidRPr="00C25DD0" w:rsidRDefault="00C25DD0" w:rsidP="00C25DD0">
            <w:pPr>
              <w:spacing w:before="0" w:after="0" w:line="276" w:lineRule="auto"/>
              <w:jc w:val="center"/>
              <w:rPr>
                <w:rFonts w:ascii="Arial" w:eastAsia="Times New Roman" w:hAnsi="Arial" w:cs="Arial"/>
                <w:szCs w:val="24"/>
                <w:lang w:val="en-GB" w:eastAsia="en-NZ"/>
              </w:rPr>
            </w:pPr>
          </w:p>
        </w:tc>
        <w:tc>
          <w:tcPr>
            <w:tcW w:w="517" w:type="pct"/>
          </w:tcPr>
          <w:p w14:paraId="2827105C" w14:textId="3317206C" w:rsidR="00C25DD0" w:rsidRPr="00C25DD0" w:rsidRDefault="00C25DD0" w:rsidP="00C25DD0">
            <w:pPr>
              <w:spacing w:before="0" w:after="0" w:line="276" w:lineRule="auto"/>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 xml:space="preserve">European and </w:t>
            </w:r>
            <w:r w:rsidR="009E072E">
              <w:rPr>
                <w:rFonts w:ascii="Arial" w:eastAsia="Times New Roman" w:hAnsi="Arial" w:cs="Arial"/>
                <w:color w:val="000000"/>
                <w:szCs w:val="24"/>
                <w:lang w:val="en-GB" w:eastAsia="en-NZ"/>
              </w:rPr>
              <w:t>all</w:t>
            </w:r>
            <w:r w:rsidRPr="00C25DD0">
              <w:rPr>
                <w:rFonts w:ascii="Arial" w:eastAsia="Times New Roman" w:hAnsi="Arial" w:cs="Arial"/>
                <w:color w:val="000000"/>
                <w:szCs w:val="24"/>
                <w:lang w:val="en-GB" w:eastAsia="en-NZ"/>
              </w:rPr>
              <w:t xml:space="preserve"> other ethnicities</w:t>
            </w:r>
          </w:p>
        </w:tc>
        <w:tc>
          <w:tcPr>
            <w:tcW w:w="306" w:type="pct"/>
          </w:tcPr>
          <w:p w14:paraId="7DAB7415"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10.3%</w:t>
            </w:r>
          </w:p>
        </w:tc>
        <w:tc>
          <w:tcPr>
            <w:tcW w:w="272" w:type="pct"/>
          </w:tcPr>
          <w:p w14:paraId="35914197"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9.7%</w:t>
            </w:r>
            <w:r w:rsidRPr="00C25DD0">
              <w:rPr>
                <w:rFonts w:ascii="Calibri" w:eastAsia="Times New Roman" w:hAnsi="Calibri" w:cs="Calibri"/>
                <w:color w:val="000000"/>
                <w:szCs w:val="24"/>
                <w:lang w:val="en-GB" w:eastAsia="en-NZ"/>
              </w:rPr>
              <w:t xml:space="preserve"> </w:t>
            </w:r>
            <w:r w:rsidRPr="00C25DD0">
              <w:rPr>
                <w:rFonts w:ascii="Wingdings" w:eastAsia="Wingdings" w:hAnsi="Wingdings" w:cs="Calibri"/>
                <w:color w:val="00B050"/>
                <w:szCs w:val="24"/>
                <w:lang w:val="en-GB" w:eastAsia="en-NZ"/>
              </w:rPr>
              <w:t>Þ</w:t>
            </w:r>
          </w:p>
        </w:tc>
        <w:tc>
          <w:tcPr>
            <w:tcW w:w="306" w:type="pct"/>
          </w:tcPr>
          <w:p w14:paraId="208E105B"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9.8%</w:t>
            </w:r>
            <w:r w:rsidRPr="00C25DD0">
              <w:rPr>
                <w:rFonts w:ascii="Calibri" w:eastAsia="Times New Roman" w:hAnsi="Calibri" w:cs="Calibri"/>
                <w:color w:val="000000"/>
                <w:szCs w:val="24"/>
                <w:lang w:val="en-GB" w:eastAsia="en-NZ"/>
              </w:rPr>
              <w:t xml:space="preserve"> </w:t>
            </w:r>
            <w:r w:rsidRPr="00C25DD0" w:rsidDel="002D0B14">
              <w:rPr>
                <w:rFonts w:ascii="Wingdings" w:eastAsia="Wingdings" w:hAnsi="Wingdings" w:cs="Wingdings"/>
                <w:color w:val="FF0000"/>
                <w:szCs w:val="24"/>
              </w:rPr>
              <w:t>Ý</w:t>
            </w:r>
          </w:p>
        </w:tc>
        <w:tc>
          <w:tcPr>
            <w:tcW w:w="306" w:type="pct"/>
          </w:tcPr>
          <w:p w14:paraId="05162604"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10.1%</w:t>
            </w:r>
            <w:r w:rsidRPr="00C25DD0">
              <w:rPr>
                <w:rFonts w:ascii="Calibri" w:eastAsia="Times New Roman" w:hAnsi="Calibri" w:cs="Calibri"/>
                <w:color w:val="000000"/>
                <w:szCs w:val="24"/>
                <w:lang w:val="en-GB" w:eastAsia="en-NZ"/>
              </w:rPr>
              <w:t xml:space="preserve"> </w:t>
            </w:r>
            <w:r w:rsidRPr="00C25DD0" w:rsidDel="002D0B14">
              <w:rPr>
                <w:rFonts w:ascii="Wingdings" w:eastAsia="Wingdings" w:hAnsi="Wingdings" w:cs="Wingdings"/>
                <w:color w:val="FF0000"/>
                <w:szCs w:val="24"/>
              </w:rPr>
              <w:t>Ý</w:t>
            </w:r>
          </w:p>
        </w:tc>
        <w:tc>
          <w:tcPr>
            <w:tcW w:w="334" w:type="pct"/>
          </w:tcPr>
          <w:p w14:paraId="3DBD0859"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10.4%</w:t>
            </w:r>
            <w:r w:rsidRPr="00C25DD0" w:rsidDel="002D0B14">
              <w:rPr>
                <w:rFonts w:ascii="Wingdings" w:eastAsia="Wingdings" w:hAnsi="Wingdings" w:cs="Wingdings"/>
                <w:color w:val="FF0000"/>
                <w:szCs w:val="24"/>
              </w:rPr>
              <w:t>Ý</w:t>
            </w:r>
          </w:p>
        </w:tc>
        <w:tc>
          <w:tcPr>
            <w:tcW w:w="1808" w:type="pct"/>
            <w:vMerge/>
            <w:shd w:val="clear" w:color="auto" w:fill="auto"/>
          </w:tcPr>
          <w:p w14:paraId="17F60E35"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p>
        </w:tc>
      </w:tr>
      <w:tr w:rsidR="00D330D1" w:rsidRPr="00C25DD0" w14:paraId="424E29F6" w14:textId="77777777" w:rsidTr="00D330D1">
        <w:trPr>
          <w:trHeight w:val="639"/>
        </w:trPr>
        <w:tc>
          <w:tcPr>
            <w:tcW w:w="1151" w:type="pct"/>
            <w:vMerge/>
          </w:tcPr>
          <w:p w14:paraId="7024FFF6" w14:textId="77777777" w:rsidR="00C25DD0" w:rsidRPr="00C25DD0" w:rsidRDefault="00C25DD0" w:rsidP="00C25DD0">
            <w:pPr>
              <w:spacing w:before="0" w:after="0" w:line="276" w:lineRule="auto"/>
              <w:jc w:val="center"/>
              <w:rPr>
                <w:rFonts w:ascii="Arial" w:eastAsia="Times New Roman" w:hAnsi="Arial" w:cs="Arial"/>
                <w:szCs w:val="24"/>
                <w:lang w:val="en-GB" w:eastAsia="en-NZ"/>
              </w:rPr>
            </w:pPr>
          </w:p>
        </w:tc>
        <w:tc>
          <w:tcPr>
            <w:tcW w:w="517" w:type="pct"/>
          </w:tcPr>
          <w:p w14:paraId="567C697E" w14:textId="77777777" w:rsidR="00C25DD0" w:rsidRPr="00C25DD0" w:rsidRDefault="00C25DD0" w:rsidP="00C25DD0">
            <w:pPr>
              <w:spacing w:before="0" w:after="0" w:line="276" w:lineRule="auto"/>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Asian</w:t>
            </w:r>
          </w:p>
        </w:tc>
        <w:tc>
          <w:tcPr>
            <w:tcW w:w="306" w:type="pct"/>
          </w:tcPr>
          <w:p w14:paraId="7DE7DA9D"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6.5%</w:t>
            </w:r>
          </w:p>
        </w:tc>
        <w:tc>
          <w:tcPr>
            <w:tcW w:w="272" w:type="pct"/>
          </w:tcPr>
          <w:p w14:paraId="42BAC30E"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6.1%</w:t>
            </w:r>
            <w:r w:rsidRPr="00C25DD0">
              <w:rPr>
                <w:rFonts w:ascii="Calibri" w:eastAsia="Times New Roman" w:hAnsi="Calibri" w:cs="Calibri"/>
                <w:color w:val="000000"/>
                <w:szCs w:val="24"/>
                <w:lang w:val="en-GB" w:eastAsia="en-NZ"/>
              </w:rPr>
              <w:t xml:space="preserve"> </w:t>
            </w:r>
            <w:r w:rsidRPr="00C25DD0">
              <w:rPr>
                <w:rFonts w:ascii="Wingdings" w:eastAsia="Wingdings" w:hAnsi="Wingdings" w:cs="Calibri"/>
                <w:color w:val="00B050"/>
                <w:szCs w:val="24"/>
                <w:lang w:val="en-GB" w:eastAsia="en-NZ"/>
              </w:rPr>
              <w:t>Þ</w:t>
            </w:r>
          </w:p>
        </w:tc>
        <w:tc>
          <w:tcPr>
            <w:tcW w:w="306" w:type="pct"/>
          </w:tcPr>
          <w:p w14:paraId="11D9BA0B"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6.7%</w:t>
            </w:r>
            <w:r w:rsidRPr="00C25DD0" w:rsidDel="002D0B14">
              <w:rPr>
                <w:rFonts w:ascii="Wingdings" w:eastAsia="Wingdings" w:hAnsi="Wingdings" w:cs="Wingdings"/>
                <w:color w:val="FF0000"/>
                <w:szCs w:val="24"/>
              </w:rPr>
              <w:t>Ý</w:t>
            </w:r>
          </w:p>
        </w:tc>
        <w:tc>
          <w:tcPr>
            <w:tcW w:w="306" w:type="pct"/>
          </w:tcPr>
          <w:p w14:paraId="68C2F62F" w14:textId="7A575CC9"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6.1%</w:t>
            </w:r>
            <w:r w:rsidR="00C40946">
              <w:rPr>
                <w:rFonts w:ascii="Arial" w:eastAsia="Times New Roman" w:hAnsi="Arial" w:cs="Arial"/>
                <w:color w:val="000000"/>
                <w:szCs w:val="24"/>
                <w:lang w:val="en-GB" w:eastAsia="en-NZ"/>
              </w:rPr>
              <w:t xml:space="preserve"> </w:t>
            </w:r>
            <w:r w:rsidRPr="00C25DD0">
              <w:rPr>
                <w:rFonts w:ascii="Wingdings" w:eastAsia="Wingdings" w:hAnsi="Wingdings" w:cs="Calibri"/>
                <w:color w:val="00B050"/>
                <w:szCs w:val="24"/>
                <w:lang w:val="en-GB" w:eastAsia="en-NZ"/>
              </w:rPr>
              <w:t>Þ</w:t>
            </w:r>
          </w:p>
        </w:tc>
        <w:tc>
          <w:tcPr>
            <w:tcW w:w="334" w:type="pct"/>
          </w:tcPr>
          <w:p w14:paraId="1A6B6023"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5.9%</w:t>
            </w:r>
            <w:r w:rsidRPr="00C25DD0">
              <w:rPr>
                <w:rFonts w:ascii="Calibri" w:eastAsia="Times New Roman" w:hAnsi="Calibri" w:cs="Calibri"/>
                <w:color w:val="000000"/>
                <w:szCs w:val="24"/>
                <w:lang w:val="en-GB" w:eastAsia="en-NZ"/>
              </w:rPr>
              <w:t xml:space="preserve"> </w:t>
            </w:r>
            <w:r w:rsidRPr="00C25DD0">
              <w:rPr>
                <w:rFonts w:ascii="Wingdings" w:eastAsia="Wingdings" w:hAnsi="Wingdings" w:cs="Calibri"/>
                <w:color w:val="00B050"/>
                <w:szCs w:val="24"/>
                <w:lang w:val="en-GB" w:eastAsia="en-NZ"/>
              </w:rPr>
              <w:t>Þ</w:t>
            </w:r>
          </w:p>
        </w:tc>
        <w:tc>
          <w:tcPr>
            <w:tcW w:w="1808" w:type="pct"/>
            <w:vMerge/>
            <w:shd w:val="clear" w:color="auto" w:fill="auto"/>
          </w:tcPr>
          <w:p w14:paraId="2453EA3F"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p>
        </w:tc>
      </w:tr>
      <w:tr w:rsidR="00D330D1" w:rsidRPr="00C25DD0" w14:paraId="4F039EE8" w14:textId="77777777" w:rsidTr="00D330D1">
        <w:trPr>
          <w:trHeight w:val="640"/>
        </w:trPr>
        <w:tc>
          <w:tcPr>
            <w:tcW w:w="1151" w:type="pct"/>
            <w:vMerge/>
            <w:hideMark/>
          </w:tcPr>
          <w:p w14:paraId="4BAC8940" w14:textId="77777777" w:rsidR="00C25DD0" w:rsidRPr="00C25DD0" w:rsidRDefault="00C25DD0" w:rsidP="00C25DD0">
            <w:pPr>
              <w:spacing w:before="0" w:after="0" w:line="276" w:lineRule="auto"/>
              <w:jc w:val="center"/>
              <w:rPr>
                <w:rFonts w:ascii="Arial" w:eastAsia="Times New Roman" w:hAnsi="Arial" w:cs="Arial"/>
                <w:szCs w:val="24"/>
                <w:lang w:val="en-GB" w:eastAsia="en-NZ"/>
              </w:rPr>
            </w:pPr>
          </w:p>
        </w:tc>
        <w:tc>
          <w:tcPr>
            <w:tcW w:w="517" w:type="pct"/>
            <w:hideMark/>
          </w:tcPr>
          <w:p w14:paraId="351A2FA5" w14:textId="77777777" w:rsidR="00C25DD0" w:rsidRPr="00C25DD0" w:rsidRDefault="00C25DD0" w:rsidP="00C25DD0">
            <w:pPr>
              <w:spacing w:before="0" w:after="0" w:line="276" w:lineRule="auto"/>
              <w:textAlignment w:val="baseline"/>
              <w:rPr>
                <w:rFonts w:ascii="Arial" w:eastAsia="Times New Roman" w:hAnsi="Arial" w:cs="Arial"/>
                <w:szCs w:val="24"/>
                <w:lang w:val="en-GB" w:eastAsia="en-NZ"/>
              </w:rPr>
            </w:pPr>
            <w:r w:rsidRPr="00C25DD0">
              <w:rPr>
                <w:rFonts w:ascii="Arial" w:eastAsia="Times New Roman" w:hAnsi="Arial" w:cs="Arial"/>
                <w:color w:val="000000"/>
                <w:szCs w:val="24"/>
                <w:lang w:val="en-GB" w:eastAsia="en-NZ"/>
              </w:rPr>
              <w:t>Total</w:t>
            </w:r>
          </w:p>
        </w:tc>
        <w:tc>
          <w:tcPr>
            <w:tcW w:w="306" w:type="pct"/>
          </w:tcPr>
          <w:p w14:paraId="48A2AD26"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9.1%</w:t>
            </w:r>
          </w:p>
        </w:tc>
        <w:tc>
          <w:tcPr>
            <w:tcW w:w="272" w:type="pct"/>
          </w:tcPr>
          <w:p w14:paraId="23D96D56" w14:textId="77777777"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8.7%</w:t>
            </w:r>
            <w:r w:rsidRPr="00C25DD0">
              <w:rPr>
                <w:rFonts w:ascii="Calibri" w:eastAsia="Times New Roman" w:hAnsi="Calibri" w:cs="Calibri"/>
                <w:szCs w:val="24"/>
                <w:lang w:val="en-GB" w:eastAsia="en-NZ"/>
              </w:rPr>
              <w:t xml:space="preserve"> </w:t>
            </w:r>
            <w:r w:rsidRPr="00C25DD0">
              <w:rPr>
                <w:rFonts w:ascii="Wingdings" w:eastAsia="Wingdings" w:hAnsi="Wingdings" w:cs="Calibri"/>
                <w:color w:val="00B050"/>
                <w:szCs w:val="24"/>
                <w:lang w:val="en-GB" w:eastAsia="en-NZ"/>
              </w:rPr>
              <w:t>Þ</w:t>
            </w:r>
          </w:p>
        </w:tc>
        <w:tc>
          <w:tcPr>
            <w:tcW w:w="306" w:type="pct"/>
          </w:tcPr>
          <w:p w14:paraId="6744509C" w14:textId="77777777"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8.8%</w:t>
            </w:r>
            <w:r w:rsidRPr="00C25DD0">
              <w:rPr>
                <w:rFonts w:ascii="Calibri" w:eastAsia="Times New Roman" w:hAnsi="Calibri" w:cs="Calibri"/>
                <w:szCs w:val="24"/>
                <w:lang w:val="en-GB" w:eastAsia="en-NZ"/>
              </w:rPr>
              <w:t xml:space="preserve"> </w:t>
            </w:r>
            <w:r w:rsidRPr="00C25DD0" w:rsidDel="002D0B14">
              <w:rPr>
                <w:rFonts w:ascii="Wingdings" w:eastAsia="Wingdings" w:hAnsi="Wingdings" w:cs="Wingdings"/>
                <w:color w:val="FF0000"/>
                <w:szCs w:val="24"/>
              </w:rPr>
              <w:t>Ý</w:t>
            </w:r>
          </w:p>
        </w:tc>
        <w:tc>
          <w:tcPr>
            <w:tcW w:w="306" w:type="pct"/>
          </w:tcPr>
          <w:p w14:paraId="42D55EBE" w14:textId="77777777"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8.9%</w:t>
            </w:r>
            <w:r w:rsidRPr="00C25DD0">
              <w:rPr>
                <w:rFonts w:ascii="Calibri" w:eastAsia="Times New Roman" w:hAnsi="Calibri" w:cs="Calibri"/>
                <w:szCs w:val="24"/>
                <w:lang w:val="en-GB" w:eastAsia="en-NZ"/>
              </w:rPr>
              <w:t xml:space="preserve"> </w:t>
            </w:r>
            <w:r w:rsidRPr="00C25DD0" w:rsidDel="002D0B14">
              <w:rPr>
                <w:rFonts w:ascii="Wingdings" w:eastAsia="Wingdings" w:hAnsi="Wingdings" w:cs="Wingdings"/>
                <w:color w:val="FF0000"/>
                <w:szCs w:val="24"/>
              </w:rPr>
              <w:t>Ý</w:t>
            </w:r>
          </w:p>
        </w:tc>
        <w:tc>
          <w:tcPr>
            <w:tcW w:w="334" w:type="pct"/>
          </w:tcPr>
          <w:p w14:paraId="0EA07259" w14:textId="77777777"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9%</w:t>
            </w:r>
            <w:r w:rsidRPr="00C25DD0">
              <w:rPr>
                <w:rFonts w:ascii="Calibri" w:eastAsia="Times New Roman" w:hAnsi="Calibri" w:cs="Calibri"/>
                <w:szCs w:val="24"/>
                <w:lang w:val="en-GB" w:eastAsia="en-NZ"/>
              </w:rPr>
              <w:t xml:space="preserve"> </w:t>
            </w:r>
            <w:r w:rsidRPr="00C25DD0" w:rsidDel="002D0B14">
              <w:rPr>
                <w:rFonts w:ascii="Wingdings" w:eastAsia="Wingdings" w:hAnsi="Wingdings" w:cs="Wingdings"/>
                <w:color w:val="FF0000"/>
                <w:szCs w:val="24"/>
              </w:rPr>
              <w:t>Ý</w:t>
            </w:r>
          </w:p>
        </w:tc>
        <w:tc>
          <w:tcPr>
            <w:tcW w:w="1808" w:type="pct"/>
            <w:vMerge/>
            <w:shd w:val="clear" w:color="auto" w:fill="auto"/>
          </w:tcPr>
          <w:p w14:paraId="3C4F7335"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p>
        </w:tc>
      </w:tr>
      <w:tr w:rsidR="00C25DD0" w:rsidRPr="00C25DD0" w14:paraId="692368BD" w14:textId="77777777" w:rsidTr="00D330D1">
        <w:trPr>
          <w:trHeight w:val="300"/>
        </w:trPr>
        <w:tc>
          <w:tcPr>
            <w:tcW w:w="1151" w:type="pct"/>
          </w:tcPr>
          <w:p w14:paraId="58F3FE46" w14:textId="77777777" w:rsidR="00C25DD0" w:rsidRPr="00C25DD0" w:rsidRDefault="00C25DD0" w:rsidP="00C25DD0">
            <w:pPr>
              <w:spacing w:before="0" w:after="0" w:line="276" w:lineRule="auto"/>
              <w:rPr>
                <w:rFonts w:ascii="Arial" w:eastAsia="Times New Roman" w:hAnsi="Arial" w:cs="Arial"/>
                <w:szCs w:val="24"/>
                <w:lang w:val="en-GB" w:eastAsia="en-NZ"/>
              </w:rPr>
            </w:pPr>
            <w:r w:rsidRPr="00C25DD0">
              <w:rPr>
                <w:rFonts w:ascii="Arial" w:eastAsia="Times New Roman" w:hAnsi="Arial" w:cs="Arial"/>
                <w:b/>
                <w:bCs/>
                <w:szCs w:val="24"/>
                <w:lang w:val="en-GB" w:eastAsia="en-NZ"/>
              </w:rPr>
              <w:t>Comments</w:t>
            </w:r>
          </w:p>
        </w:tc>
        <w:tc>
          <w:tcPr>
            <w:tcW w:w="3849" w:type="pct"/>
            <w:gridSpan w:val="7"/>
          </w:tcPr>
          <w:p w14:paraId="236EB506" w14:textId="77777777" w:rsidR="00C25DD0" w:rsidRPr="00C25DD0" w:rsidRDefault="00C25DD0" w:rsidP="00C25DD0">
            <w:pPr>
              <w:spacing w:before="0" w:after="0" w:line="276" w:lineRule="auto"/>
              <w:textAlignment w:val="baseline"/>
              <w:rPr>
                <w:rFonts w:ascii="Arial" w:eastAsia="Wingdings" w:hAnsi="Arial" w:cs="Arial"/>
                <w:color w:val="FF0000"/>
                <w:szCs w:val="24"/>
                <w:lang w:val="en-GB" w:eastAsia="en-NZ"/>
              </w:rPr>
            </w:pPr>
            <w:r w:rsidRPr="00C25DD0">
              <w:rPr>
                <w:rFonts w:ascii="Arial" w:eastAsia="Wingdings" w:hAnsi="Arial" w:cs="Arial"/>
                <w:color w:val="000000"/>
                <w:szCs w:val="24"/>
                <w:lang w:val="en-GB" w:eastAsia="en-NZ"/>
              </w:rPr>
              <w:t xml:space="preserve">The length of Stay greater than 7 days remains stable, and it is an indicator of system performance in relation to hospital flow. This is one of the core measures and areas of action for the acute care Plan. </w:t>
            </w:r>
          </w:p>
        </w:tc>
      </w:tr>
    </w:tbl>
    <w:p w14:paraId="6E07268D" w14:textId="6326E92B" w:rsidR="00846E1E" w:rsidRDefault="00846E1E" w:rsidP="004E25D1">
      <w:pPr>
        <w:pStyle w:val="TableText"/>
      </w:pPr>
    </w:p>
    <w:p w14:paraId="3543186F" w14:textId="77777777" w:rsidR="00D955CA" w:rsidRDefault="00D955CA" w:rsidP="004E25D1">
      <w:pPr>
        <w:pStyle w:val="TableText"/>
      </w:pPr>
    </w:p>
    <w:tbl>
      <w:tblPr>
        <w:tblStyle w:val="TeWhatuOra"/>
        <w:tblW w:w="5000" w:type="pct"/>
        <w:tblLook w:val="0420" w:firstRow="1" w:lastRow="0" w:firstColumn="0" w:lastColumn="0" w:noHBand="0" w:noVBand="1"/>
      </w:tblPr>
      <w:tblGrid>
        <w:gridCol w:w="4956"/>
        <w:gridCol w:w="2269"/>
        <w:gridCol w:w="1275"/>
        <w:gridCol w:w="1133"/>
        <w:gridCol w:w="1417"/>
        <w:gridCol w:w="1279"/>
        <w:gridCol w:w="1413"/>
        <w:gridCol w:w="7791"/>
      </w:tblGrid>
      <w:tr w:rsidR="00D330D1" w:rsidRPr="00C25DD0" w14:paraId="7DF0EE65" w14:textId="77777777" w:rsidTr="00FE282C">
        <w:trPr>
          <w:cnfStyle w:val="100000000000" w:firstRow="1" w:lastRow="0" w:firstColumn="0" w:lastColumn="0" w:oddVBand="0" w:evenVBand="0" w:oddHBand="0" w:evenHBand="0" w:firstRowFirstColumn="0" w:firstRowLastColumn="0" w:lastRowFirstColumn="0" w:lastRowLastColumn="0"/>
          <w:trHeight w:val="647"/>
        </w:trPr>
        <w:tc>
          <w:tcPr>
            <w:tcW w:w="1151" w:type="pct"/>
          </w:tcPr>
          <w:p w14:paraId="4DA6DDCE" w14:textId="50673FCE" w:rsidR="00C25DD0" w:rsidRPr="00C25DD0" w:rsidRDefault="00846E1E" w:rsidP="00C25DD0">
            <w:pPr>
              <w:spacing w:before="0" w:after="0" w:line="276" w:lineRule="auto"/>
              <w:textAlignment w:val="baseline"/>
              <w:rPr>
                <w:rFonts w:ascii="Arial" w:eastAsia="Times New Roman" w:hAnsi="Arial" w:cs="Arial"/>
                <w:bCs/>
                <w:szCs w:val="24"/>
                <w:lang w:val="en-GB" w:eastAsia="en-NZ"/>
              </w:rPr>
            </w:pPr>
            <w:r>
              <w:lastRenderedPageBreak/>
              <w:br w:type="page"/>
            </w:r>
            <w:r w:rsidR="00C25DD0" w:rsidRPr="00C25DD0">
              <w:rPr>
                <w:rFonts w:ascii="Arial" w:eastAsia="Times New Roman" w:hAnsi="Arial" w:cs="Arial"/>
                <w:bCs/>
                <w:szCs w:val="24"/>
                <w:lang w:val="en-GB" w:eastAsia="en-NZ"/>
              </w:rPr>
              <w:t>Measure</w:t>
            </w:r>
          </w:p>
        </w:tc>
        <w:tc>
          <w:tcPr>
            <w:tcW w:w="527" w:type="pct"/>
          </w:tcPr>
          <w:p w14:paraId="159805E0" w14:textId="77777777" w:rsidR="00C25DD0" w:rsidRPr="00C25DD0" w:rsidRDefault="00C25DD0" w:rsidP="00C25DD0">
            <w:pPr>
              <w:spacing w:before="0" w:after="0" w:line="276" w:lineRule="auto"/>
              <w:textAlignment w:val="baseline"/>
              <w:rPr>
                <w:rFonts w:ascii="Arial" w:eastAsia="Times New Roman" w:hAnsi="Arial" w:cs="Arial"/>
                <w:bCs/>
                <w:szCs w:val="24"/>
                <w:lang w:val="en-GB" w:eastAsia="en-NZ"/>
              </w:rPr>
            </w:pPr>
            <w:r w:rsidRPr="00C25DD0">
              <w:rPr>
                <w:rFonts w:ascii="Arial" w:eastAsia="Times New Roman" w:hAnsi="Arial" w:cs="Arial"/>
                <w:bCs/>
                <w:szCs w:val="24"/>
                <w:lang w:val="en-GB" w:eastAsia="en-NZ"/>
              </w:rPr>
              <w:t>Ethnic Group </w:t>
            </w:r>
          </w:p>
        </w:tc>
        <w:tc>
          <w:tcPr>
            <w:tcW w:w="296" w:type="pct"/>
          </w:tcPr>
          <w:p w14:paraId="04261448" w14:textId="77777777" w:rsidR="00C25DD0" w:rsidRPr="00C25DD0" w:rsidRDefault="00C25DD0" w:rsidP="00C25DD0">
            <w:pPr>
              <w:spacing w:before="0" w:after="0" w:line="240" w:lineRule="auto"/>
              <w:jc w:val="center"/>
              <w:textAlignment w:val="baseline"/>
              <w:rPr>
                <w:rFonts w:ascii="Arial" w:eastAsia="Times New Roman" w:hAnsi="Arial" w:cs="Arial"/>
                <w:bCs/>
                <w:szCs w:val="24"/>
                <w:lang w:val="en-GB" w:eastAsia="en-NZ"/>
              </w:rPr>
            </w:pPr>
            <w:r w:rsidRPr="00C25DD0">
              <w:rPr>
                <w:rFonts w:ascii="Arial" w:eastAsia="Times New Roman" w:hAnsi="Arial" w:cs="Arial"/>
                <w:bCs/>
                <w:szCs w:val="24"/>
                <w:lang w:val="en-GB" w:eastAsia="en-NZ"/>
              </w:rPr>
              <w:t>Q1</w:t>
            </w:r>
          </w:p>
          <w:p w14:paraId="43E4C095" w14:textId="77777777" w:rsidR="00C25DD0" w:rsidRPr="00C25DD0" w:rsidRDefault="00C25DD0" w:rsidP="00C25DD0">
            <w:pPr>
              <w:spacing w:before="0" w:after="0" w:line="276" w:lineRule="auto"/>
              <w:jc w:val="center"/>
              <w:textAlignment w:val="baseline"/>
              <w:rPr>
                <w:rFonts w:ascii="Arial" w:eastAsia="Times New Roman" w:hAnsi="Arial" w:cs="Arial"/>
                <w:bCs/>
                <w:szCs w:val="24"/>
                <w:lang w:val="en-GB" w:eastAsia="en-NZ"/>
              </w:rPr>
            </w:pPr>
            <w:r w:rsidRPr="00C25DD0">
              <w:rPr>
                <w:rFonts w:ascii="Arial" w:eastAsia="Times New Roman" w:hAnsi="Arial" w:cs="Arial"/>
                <w:bCs/>
                <w:szCs w:val="24"/>
                <w:lang w:val="en-GB" w:eastAsia="en-NZ"/>
              </w:rPr>
              <w:t>2022-23</w:t>
            </w:r>
          </w:p>
        </w:tc>
        <w:tc>
          <w:tcPr>
            <w:tcW w:w="263" w:type="pct"/>
          </w:tcPr>
          <w:p w14:paraId="39BCF756" w14:textId="77777777" w:rsidR="00C25DD0" w:rsidRPr="00C25DD0" w:rsidRDefault="00C25DD0" w:rsidP="00C25DD0">
            <w:pPr>
              <w:spacing w:before="0" w:after="0" w:line="240" w:lineRule="auto"/>
              <w:jc w:val="center"/>
              <w:textAlignment w:val="baseline"/>
              <w:rPr>
                <w:rFonts w:ascii="Arial" w:eastAsia="Times New Roman" w:hAnsi="Arial" w:cs="Arial"/>
                <w:bCs/>
                <w:szCs w:val="24"/>
                <w:lang w:val="en-GB" w:eastAsia="en-NZ"/>
              </w:rPr>
            </w:pPr>
            <w:r w:rsidRPr="00C25DD0">
              <w:rPr>
                <w:rFonts w:ascii="Arial" w:eastAsia="Times New Roman" w:hAnsi="Arial" w:cs="Arial"/>
                <w:bCs/>
                <w:szCs w:val="24"/>
                <w:lang w:val="en-GB" w:eastAsia="en-NZ"/>
              </w:rPr>
              <w:t>Q2</w:t>
            </w:r>
          </w:p>
          <w:p w14:paraId="2169649A" w14:textId="77777777" w:rsidR="00C25DD0" w:rsidRPr="00C25DD0" w:rsidRDefault="00C25DD0" w:rsidP="00C25DD0">
            <w:pPr>
              <w:spacing w:before="0" w:after="0" w:line="276" w:lineRule="auto"/>
              <w:jc w:val="center"/>
              <w:textAlignment w:val="baseline"/>
              <w:rPr>
                <w:rFonts w:ascii="Arial" w:eastAsia="Times New Roman" w:hAnsi="Arial" w:cs="Arial"/>
                <w:bCs/>
                <w:szCs w:val="24"/>
                <w:lang w:val="en-GB" w:eastAsia="en-NZ"/>
              </w:rPr>
            </w:pPr>
            <w:r w:rsidRPr="00C25DD0">
              <w:rPr>
                <w:rFonts w:ascii="Arial" w:eastAsia="Times New Roman" w:hAnsi="Arial" w:cs="Arial"/>
                <w:bCs/>
                <w:szCs w:val="24"/>
                <w:lang w:val="en-GB" w:eastAsia="en-NZ"/>
              </w:rPr>
              <w:t>2022-23</w:t>
            </w:r>
          </w:p>
        </w:tc>
        <w:tc>
          <w:tcPr>
            <w:tcW w:w="329" w:type="pct"/>
          </w:tcPr>
          <w:p w14:paraId="634530EC" w14:textId="77777777" w:rsidR="00C25DD0" w:rsidRPr="00C25DD0" w:rsidRDefault="00C25DD0" w:rsidP="00C25DD0">
            <w:pPr>
              <w:spacing w:before="0" w:after="0" w:line="240" w:lineRule="auto"/>
              <w:jc w:val="center"/>
              <w:textAlignment w:val="baseline"/>
              <w:rPr>
                <w:rFonts w:ascii="Arial" w:eastAsia="Times New Roman" w:hAnsi="Arial" w:cs="Arial"/>
                <w:bCs/>
                <w:szCs w:val="24"/>
                <w:lang w:val="en-GB" w:eastAsia="en-NZ"/>
              </w:rPr>
            </w:pPr>
            <w:r w:rsidRPr="00C25DD0">
              <w:rPr>
                <w:rFonts w:ascii="Arial" w:eastAsia="Times New Roman" w:hAnsi="Arial" w:cs="Arial"/>
                <w:bCs/>
                <w:szCs w:val="24"/>
                <w:lang w:val="en-GB" w:eastAsia="en-NZ"/>
              </w:rPr>
              <w:t>Q3</w:t>
            </w:r>
          </w:p>
          <w:p w14:paraId="7072CAC9" w14:textId="77777777" w:rsidR="00C25DD0" w:rsidRPr="00C25DD0" w:rsidRDefault="00C25DD0" w:rsidP="00C25DD0">
            <w:pPr>
              <w:spacing w:before="0" w:after="0" w:line="276" w:lineRule="auto"/>
              <w:jc w:val="center"/>
              <w:textAlignment w:val="baseline"/>
              <w:rPr>
                <w:rFonts w:ascii="Arial" w:eastAsia="Times New Roman" w:hAnsi="Arial" w:cs="Arial"/>
                <w:bCs/>
                <w:szCs w:val="24"/>
                <w:lang w:val="en-GB" w:eastAsia="en-NZ"/>
              </w:rPr>
            </w:pPr>
            <w:r w:rsidRPr="00C25DD0">
              <w:rPr>
                <w:rFonts w:ascii="Arial" w:eastAsia="Times New Roman" w:hAnsi="Arial" w:cs="Arial"/>
                <w:bCs/>
                <w:szCs w:val="24"/>
                <w:lang w:val="en-GB" w:eastAsia="en-NZ"/>
              </w:rPr>
              <w:t>2022-23</w:t>
            </w:r>
          </w:p>
        </w:tc>
        <w:tc>
          <w:tcPr>
            <w:tcW w:w="297" w:type="pct"/>
          </w:tcPr>
          <w:p w14:paraId="7EDA874A" w14:textId="77777777" w:rsidR="00C25DD0" w:rsidRPr="00C25DD0" w:rsidRDefault="00C25DD0" w:rsidP="00C25DD0">
            <w:pPr>
              <w:spacing w:before="0" w:after="0" w:line="240" w:lineRule="auto"/>
              <w:jc w:val="center"/>
              <w:textAlignment w:val="baseline"/>
              <w:rPr>
                <w:rFonts w:ascii="Arial" w:eastAsia="Times New Roman" w:hAnsi="Arial" w:cs="Arial"/>
                <w:bCs/>
                <w:szCs w:val="24"/>
                <w:lang w:val="en-GB" w:eastAsia="en-NZ"/>
              </w:rPr>
            </w:pPr>
            <w:r w:rsidRPr="00C25DD0">
              <w:rPr>
                <w:rFonts w:ascii="Arial" w:eastAsia="Times New Roman" w:hAnsi="Arial" w:cs="Arial"/>
                <w:bCs/>
                <w:szCs w:val="24"/>
                <w:lang w:val="en-GB" w:eastAsia="en-NZ"/>
              </w:rPr>
              <w:t>Q4</w:t>
            </w:r>
          </w:p>
          <w:p w14:paraId="20850EE8" w14:textId="77777777" w:rsidR="00C25DD0" w:rsidRPr="00C25DD0" w:rsidRDefault="00C25DD0" w:rsidP="00C25DD0">
            <w:pPr>
              <w:spacing w:before="0" w:after="0" w:line="276" w:lineRule="auto"/>
              <w:jc w:val="center"/>
              <w:textAlignment w:val="baseline"/>
              <w:rPr>
                <w:rFonts w:ascii="Arial" w:eastAsia="Times New Roman" w:hAnsi="Arial" w:cs="Arial"/>
                <w:bCs/>
                <w:szCs w:val="24"/>
                <w:lang w:val="en-GB" w:eastAsia="en-NZ"/>
              </w:rPr>
            </w:pPr>
            <w:r w:rsidRPr="00C25DD0">
              <w:rPr>
                <w:rFonts w:ascii="Arial" w:eastAsia="Times New Roman" w:hAnsi="Arial" w:cs="Arial"/>
                <w:bCs/>
                <w:szCs w:val="24"/>
                <w:lang w:val="en-GB" w:eastAsia="en-NZ"/>
              </w:rPr>
              <w:t>2022-23</w:t>
            </w:r>
          </w:p>
        </w:tc>
        <w:tc>
          <w:tcPr>
            <w:tcW w:w="328" w:type="pct"/>
          </w:tcPr>
          <w:p w14:paraId="2B9998D9" w14:textId="77777777" w:rsidR="00C25DD0" w:rsidRPr="00C25DD0" w:rsidRDefault="00C25DD0" w:rsidP="00C25DD0">
            <w:pPr>
              <w:spacing w:before="0" w:after="0" w:line="240" w:lineRule="auto"/>
              <w:jc w:val="center"/>
              <w:textAlignment w:val="baseline"/>
              <w:rPr>
                <w:rFonts w:ascii="Arial" w:eastAsia="Times New Roman" w:hAnsi="Arial" w:cs="Arial"/>
                <w:bCs/>
                <w:szCs w:val="24"/>
                <w:lang w:val="en-GB" w:eastAsia="en-NZ"/>
              </w:rPr>
            </w:pPr>
            <w:r w:rsidRPr="00C25DD0">
              <w:rPr>
                <w:rFonts w:ascii="Arial" w:eastAsia="Times New Roman" w:hAnsi="Arial" w:cs="Arial"/>
                <w:bCs/>
                <w:szCs w:val="24"/>
                <w:lang w:val="en-GB" w:eastAsia="en-NZ"/>
              </w:rPr>
              <w:t>Q1</w:t>
            </w:r>
          </w:p>
          <w:p w14:paraId="3E898A02" w14:textId="77777777" w:rsidR="00C25DD0" w:rsidRPr="00C25DD0" w:rsidRDefault="00C25DD0" w:rsidP="00C25DD0">
            <w:pPr>
              <w:spacing w:before="0" w:after="0" w:line="276" w:lineRule="auto"/>
              <w:jc w:val="center"/>
              <w:textAlignment w:val="baseline"/>
              <w:rPr>
                <w:rFonts w:ascii="Arial" w:eastAsia="Times New Roman" w:hAnsi="Arial" w:cs="Arial"/>
                <w:bCs/>
                <w:szCs w:val="24"/>
                <w:lang w:val="en-GB" w:eastAsia="en-NZ"/>
              </w:rPr>
            </w:pPr>
            <w:r w:rsidRPr="00C25DD0">
              <w:rPr>
                <w:rFonts w:ascii="Arial" w:eastAsia="Times New Roman" w:hAnsi="Arial" w:cs="Arial"/>
                <w:bCs/>
                <w:szCs w:val="24"/>
                <w:lang w:val="en-GB" w:eastAsia="en-NZ"/>
              </w:rPr>
              <w:t>2023-24</w:t>
            </w:r>
          </w:p>
        </w:tc>
        <w:tc>
          <w:tcPr>
            <w:tcW w:w="1809" w:type="pct"/>
            <w:vMerge w:val="restart"/>
            <w:shd w:val="clear" w:color="auto" w:fill="auto"/>
          </w:tcPr>
          <w:p w14:paraId="3D804C03" w14:textId="77777777" w:rsidR="00C25DD0" w:rsidRPr="00C25DD0" w:rsidRDefault="00C25DD0" w:rsidP="00815E07">
            <w:pPr>
              <w:spacing w:before="0" w:after="0" w:line="276" w:lineRule="auto"/>
              <w:textAlignment w:val="baseline"/>
              <w:rPr>
                <w:rFonts w:ascii="Calibri" w:eastAsia="Times New Roman" w:hAnsi="Calibri" w:cs="Calibri"/>
                <w:noProof/>
                <w:color w:val="000000"/>
                <w:szCs w:val="24"/>
                <w:lang w:val="en-GB" w:eastAsia="en-NZ"/>
              </w:rPr>
            </w:pPr>
            <w:r w:rsidRPr="00C25DD0">
              <w:rPr>
                <w:rFonts w:ascii="Calibri" w:eastAsia="Times New Roman" w:hAnsi="Calibri" w:cs="Calibri"/>
                <w:noProof/>
                <w:color w:val="000000"/>
                <w:szCs w:val="24"/>
                <w:lang w:val="en-GB" w:eastAsia="en-NZ"/>
              </w:rPr>
              <w:drawing>
                <wp:inline distT="0" distB="0" distL="0" distR="0" wp14:anchorId="73C3F10B" wp14:editId="1C0AD98F">
                  <wp:extent cx="4483818" cy="2830664"/>
                  <wp:effectExtent l="0" t="0" r="0" b="8255"/>
                  <wp:docPr id="1825775868" name="Chart 1825775868" descr="Chart showing Missed appointments for specialist care, reported by ethnicity and geographic area."/>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D330D1" w:rsidRPr="00C25DD0" w14:paraId="04ACDE4F" w14:textId="77777777" w:rsidTr="00FE282C">
        <w:trPr>
          <w:trHeight w:val="647"/>
        </w:trPr>
        <w:tc>
          <w:tcPr>
            <w:tcW w:w="1151" w:type="pct"/>
            <w:vMerge w:val="restart"/>
            <w:hideMark/>
          </w:tcPr>
          <w:p w14:paraId="1EF69AB2" w14:textId="77777777" w:rsidR="00C25DD0" w:rsidRPr="00C25DD0" w:rsidRDefault="00C25DD0" w:rsidP="00C25DD0">
            <w:pPr>
              <w:spacing w:before="0" w:after="0" w:line="276" w:lineRule="auto"/>
              <w:textAlignment w:val="baseline"/>
              <w:rPr>
                <w:rFonts w:ascii="Arial" w:eastAsia="Calibri" w:hAnsi="Arial" w:cs="Arial"/>
                <w:color w:val="000000"/>
                <w:szCs w:val="24"/>
                <w:bdr w:val="none" w:sz="0" w:space="0" w:color="auto" w:frame="1"/>
                <w:vertAlign w:val="superscript"/>
              </w:rPr>
            </w:pPr>
            <w:r w:rsidRPr="00C25DD0">
              <w:rPr>
                <w:rFonts w:ascii="Arial" w:eastAsia="Calibri" w:hAnsi="Arial" w:cs="Arial"/>
                <w:color w:val="000000"/>
                <w:szCs w:val="24"/>
                <w:bdr w:val="none" w:sz="0" w:space="0" w:color="auto" w:frame="1"/>
              </w:rPr>
              <w:t xml:space="preserve">Missed appointments for specialist care, reported by ethnicity and geographic area </w:t>
            </w:r>
            <w:r w:rsidRPr="00C25DD0">
              <w:rPr>
                <w:rFonts w:ascii="Arial" w:eastAsia="Calibri" w:hAnsi="Arial" w:cs="Arial"/>
                <w:color w:val="000000"/>
                <w:szCs w:val="24"/>
                <w:bdr w:val="none" w:sz="0" w:space="0" w:color="auto" w:frame="1"/>
                <w:vertAlign w:val="superscript"/>
              </w:rPr>
              <w:t>9,10</w:t>
            </w:r>
            <w:r w:rsidRPr="00C25DD0">
              <w:rPr>
                <w:rFonts w:ascii="Arial" w:eastAsia="Calibri" w:hAnsi="Arial" w:cs="Arial"/>
                <w:color w:val="000000"/>
                <w:szCs w:val="24"/>
                <w:bdr w:val="none" w:sz="0" w:space="0" w:color="auto" w:frame="1"/>
              </w:rPr>
              <w:t>.</w:t>
            </w:r>
          </w:p>
          <w:p w14:paraId="759957D5" w14:textId="77777777" w:rsidR="00C25DD0" w:rsidRPr="00C25DD0" w:rsidRDefault="00C25DD0" w:rsidP="00C25DD0">
            <w:pPr>
              <w:spacing w:before="0" w:after="0" w:line="276" w:lineRule="auto"/>
              <w:textAlignment w:val="baseline"/>
              <w:rPr>
                <w:rFonts w:ascii="Arial" w:eastAsia="Calibri" w:hAnsi="Arial" w:cs="Arial"/>
                <w:b/>
                <w:color w:val="000000"/>
                <w:szCs w:val="24"/>
                <w:bdr w:val="none" w:sz="0" w:space="0" w:color="auto" w:frame="1"/>
              </w:rPr>
            </w:pPr>
          </w:p>
          <w:p w14:paraId="16CB76ED" w14:textId="77777777" w:rsidR="00C25DD0" w:rsidRPr="00C25DD0" w:rsidRDefault="00C25DD0" w:rsidP="00C25DD0">
            <w:pPr>
              <w:spacing w:before="0" w:after="0" w:line="276" w:lineRule="auto"/>
              <w:textAlignment w:val="baseline"/>
              <w:rPr>
                <w:rFonts w:ascii="Arial" w:eastAsia="Times New Roman" w:hAnsi="Arial" w:cs="Arial"/>
                <w:b/>
                <w:szCs w:val="24"/>
                <w:lang w:val="en-GB" w:eastAsia="en-NZ"/>
              </w:rPr>
            </w:pPr>
            <w:r w:rsidRPr="00C25DD0">
              <w:rPr>
                <w:rFonts w:ascii="Arial" w:eastAsia="Calibri" w:hAnsi="Arial" w:cs="Arial"/>
                <w:b/>
                <w:color w:val="000000"/>
                <w:szCs w:val="24"/>
                <w:bdr w:val="none" w:sz="0" w:space="0" w:color="auto" w:frame="1"/>
              </w:rPr>
              <w:t xml:space="preserve">Target: </w:t>
            </w:r>
            <w:r w:rsidRPr="00C25DD0">
              <w:rPr>
                <w:rFonts w:ascii="Arial" w:eastAsia="Calibri" w:hAnsi="Arial" w:cs="Arial"/>
                <w:bCs/>
                <w:color w:val="000000"/>
                <w:szCs w:val="24"/>
                <w:bdr w:val="none" w:sz="0" w:space="0" w:color="auto" w:frame="1"/>
              </w:rPr>
              <w:t>trend to decrease</w:t>
            </w:r>
          </w:p>
        </w:tc>
        <w:tc>
          <w:tcPr>
            <w:tcW w:w="527" w:type="pct"/>
            <w:hideMark/>
          </w:tcPr>
          <w:p w14:paraId="169E0EFC" w14:textId="77777777" w:rsidR="00C25DD0" w:rsidRPr="00C25DD0" w:rsidRDefault="00C25DD0" w:rsidP="00C25DD0">
            <w:pPr>
              <w:spacing w:before="0" w:after="0" w:line="276" w:lineRule="auto"/>
              <w:textAlignment w:val="baseline"/>
              <w:rPr>
                <w:rFonts w:ascii="Arial" w:eastAsia="Times New Roman" w:hAnsi="Arial" w:cs="Arial"/>
                <w:szCs w:val="24"/>
                <w:lang w:val="en-GB" w:eastAsia="en-NZ"/>
              </w:rPr>
            </w:pPr>
            <w:r w:rsidRPr="00C25DD0">
              <w:rPr>
                <w:rFonts w:ascii="Arial" w:eastAsia="Times New Roman" w:hAnsi="Arial" w:cs="Arial"/>
                <w:color w:val="000000"/>
                <w:szCs w:val="24"/>
                <w:lang w:val="en-GB" w:eastAsia="en-NZ"/>
              </w:rPr>
              <w:t>Māori</w:t>
            </w:r>
          </w:p>
        </w:tc>
        <w:tc>
          <w:tcPr>
            <w:tcW w:w="296" w:type="pct"/>
          </w:tcPr>
          <w:p w14:paraId="48B18574"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16%</w:t>
            </w:r>
          </w:p>
        </w:tc>
        <w:tc>
          <w:tcPr>
            <w:tcW w:w="263" w:type="pct"/>
          </w:tcPr>
          <w:p w14:paraId="5D599DE9" w14:textId="77777777"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16%</w:t>
            </w:r>
            <w:r w:rsidRPr="00C25DD0">
              <w:rPr>
                <w:rFonts w:ascii="Calibri" w:eastAsia="Times New Roman" w:hAnsi="Calibri" w:cs="Calibri"/>
                <w:szCs w:val="24"/>
                <w:lang w:val="en-GB" w:eastAsia="en-NZ"/>
              </w:rPr>
              <w:t xml:space="preserve"> </w:t>
            </w:r>
            <w:r w:rsidRPr="00CE0F64">
              <w:rPr>
                <w:rFonts w:ascii="Wingdings" w:eastAsia="Wingdings" w:hAnsi="Wingdings" w:cs="Calibri"/>
                <w:b/>
                <w:color w:val="FFC000"/>
                <w:szCs w:val="24"/>
                <w:lang w:val="en-GB" w:eastAsia="en-NZ"/>
              </w:rPr>
              <w:t>Ü</w:t>
            </w:r>
          </w:p>
        </w:tc>
        <w:tc>
          <w:tcPr>
            <w:tcW w:w="329" w:type="pct"/>
          </w:tcPr>
          <w:p w14:paraId="520BEDA1" w14:textId="77777777"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16%</w:t>
            </w:r>
            <w:r w:rsidRPr="00C25DD0">
              <w:rPr>
                <w:rFonts w:ascii="Calibri" w:eastAsia="Times New Roman" w:hAnsi="Calibri" w:cs="Calibri"/>
                <w:szCs w:val="24"/>
                <w:lang w:val="en-GB" w:eastAsia="en-NZ"/>
              </w:rPr>
              <w:t xml:space="preserve"> </w:t>
            </w:r>
            <w:r w:rsidRPr="00CE0F64">
              <w:rPr>
                <w:rFonts w:ascii="Wingdings" w:eastAsia="Wingdings" w:hAnsi="Wingdings" w:cs="Calibri"/>
                <w:b/>
                <w:color w:val="FFC000"/>
                <w:szCs w:val="24"/>
                <w:lang w:val="en-GB" w:eastAsia="en-NZ"/>
              </w:rPr>
              <w:t>Ü</w:t>
            </w:r>
          </w:p>
        </w:tc>
        <w:tc>
          <w:tcPr>
            <w:tcW w:w="297" w:type="pct"/>
          </w:tcPr>
          <w:p w14:paraId="2EA8083D" w14:textId="77777777" w:rsidR="00C25DD0" w:rsidRPr="00C25DD0" w:rsidRDefault="00C25DD0" w:rsidP="00C25DD0">
            <w:pPr>
              <w:spacing w:before="0" w:after="0" w:line="276" w:lineRule="auto"/>
              <w:jc w:val="center"/>
              <w:textAlignment w:val="baseline"/>
              <w:rPr>
                <w:rFonts w:ascii="Calibri" w:eastAsia="Calibri" w:hAnsi="Calibri" w:cs="Calibri"/>
                <w:szCs w:val="24"/>
                <w:lang w:val="en-GB"/>
              </w:rPr>
            </w:pPr>
            <w:r w:rsidRPr="00C25DD0">
              <w:rPr>
                <w:rFonts w:ascii="Arial" w:eastAsia="Times New Roman" w:hAnsi="Arial" w:cs="Arial"/>
                <w:color w:val="000000"/>
                <w:szCs w:val="24"/>
                <w:lang w:val="en-GB" w:eastAsia="en-NZ"/>
              </w:rPr>
              <w:t>15%</w:t>
            </w:r>
            <w:r w:rsidRPr="00C25DD0">
              <w:rPr>
                <w:rFonts w:ascii="Wingdings" w:eastAsia="Wingdings" w:hAnsi="Wingdings" w:cs="Wingdings"/>
                <w:color w:val="00B050"/>
                <w:szCs w:val="24"/>
                <w:lang w:val="en-GB"/>
              </w:rPr>
              <w:t>Þ</w:t>
            </w:r>
          </w:p>
        </w:tc>
        <w:tc>
          <w:tcPr>
            <w:tcW w:w="328" w:type="pct"/>
          </w:tcPr>
          <w:p w14:paraId="7F50E253" w14:textId="77777777"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15%</w:t>
            </w:r>
            <w:r w:rsidRPr="00CE0F64">
              <w:rPr>
                <w:rFonts w:ascii="Wingdings" w:eastAsia="Wingdings" w:hAnsi="Wingdings" w:cs="Calibri"/>
                <w:b/>
                <w:color w:val="FFC000"/>
                <w:szCs w:val="24"/>
                <w:lang w:val="en-GB" w:eastAsia="en-NZ"/>
              </w:rPr>
              <w:t>Ü</w:t>
            </w:r>
          </w:p>
        </w:tc>
        <w:tc>
          <w:tcPr>
            <w:tcW w:w="1809" w:type="pct"/>
            <w:vMerge/>
            <w:shd w:val="clear" w:color="auto" w:fill="auto"/>
          </w:tcPr>
          <w:p w14:paraId="5D078602"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p>
        </w:tc>
      </w:tr>
      <w:tr w:rsidR="00D330D1" w:rsidRPr="00C25DD0" w14:paraId="1D65CD70" w14:textId="77777777" w:rsidTr="00FE282C">
        <w:trPr>
          <w:trHeight w:val="647"/>
        </w:trPr>
        <w:tc>
          <w:tcPr>
            <w:tcW w:w="1151" w:type="pct"/>
            <w:vMerge/>
            <w:hideMark/>
          </w:tcPr>
          <w:p w14:paraId="76D93F88" w14:textId="77777777" w:rsidR="00C25DD0" w:rsidRPr="00C25DD0" w:rsidRDefault="00C25DD0" w:rsidP="00C25DD0">
            <w:pPr>
              <w:spacing w:before="0" w:after="0" w:line="276" w:lineRule="auto"/>
              <w:jc w:val="center"/>
              <w:rPr>
                <w:rFonts w:ascii="Arial" w:eastAsia="Times New Roman" w:hAnsi="Arial" w:cs="Arial"/>
                <w:szCs w:val="24"/>
                <w:lang w:val="en-GB" w:eastAsia="en-NZ"/>
              </w:rPr>
            </w:pPr>
          </w:p>
        </w:tc>
        <w:tc>
          <w:tcPr>
            <w:tcW w:w="527" w:type="pct"/>
            <w:hideMark/>
          </w:tcPr>
          <w:p w14:paraId="07674583" w14:textId="77777777" w:rsidR="00C25DD0" w:rsidRPr="00C25DD0" w:rsidRDefault="00C25DD0" w:rsidP="00C25DD0">
            <w:pPr>
              <w:spacing w:before="0" w:after="0" w:line="276" w:lineRule="auto"/>
              <w:textAlignment w:val="baseline"/>
              <w:rPr>
                <w:rFonts w:ascii="Arial" w:eastAsia="Times New Roman" w:hAnsi="Arial" w:cs="Arial"/>
                <w:szCs w:val="24"/>
                <w:lang w:val="en-GB" w:eastAsia="en-NZ"/>
              </w:rPr>
            </w:pPr>
            <w:r w:rsidRPr="00C25DD0">
              <w:rPr>
                <w:rFonts w:ascii="Arial" w:eastAsia="Times New Roman" w:hAnsi="Arial" w:cs="Arial"/>
                <w:color w:val="000000"/>
                <w:szCs w:val="24"/>
                <w:lang w:val="en-GB" w:eastAsia="en-NZ"/>
              </w:rPr>
              <w:t>Pacific</w:t>
            </w:r>
          </w:p>
        </w:tc>
        <w:tc>
          <w:tcPr>
            <w:tcW w:w="296" w:type="pct"/>
          </w:tcPr>
          <w:p w14:paraId="1FE264DE"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17%</w:t>
            </w:r>
          </w:p>
        </w:tc>
        <w:tc>
          <w:tcPr>
            <w:tcW w:w="263" w:type="pct"/>
          </w:tcPr>
          <w:p w14:paraId="4B446DEB" w14:textId="4983B550" w:rsidR="00C25DD0" w:rsidRPr="00C25DD0" w:rsidRDefault="00C25DD0" w:rsidP="00C25DD0">
            <w:pPr>
              <w:spacing w:before="0" w:after="0" w:line="276" w:lineRule="auto"/>
              <w:jc w:val="center"/>
              <w:textAlignment w:val="baseline"/>
              <w:rPr>
                <w:rFonts w:ascii="Calibri" w:eastAsia="Calibri" w:hAnsi="Calibri" w:cs="Calibri"/>
                <w:szCs w:val="24"/>
                <w:lang w:val="en-GB"/>
              </w:rPr>
            </w:pPr>
            <w:r w:rsidRPr="00C25DD0">
              <w:rPr>
                <w:rFonts w:ascii="Arial" w:eastAsia="Times New Roman" w:hAnsi="Arial" w:cs="Arial"/>
                <w:color w:val="000000"/>
                <w:szCs w:val="24"/>
                <w:lang w:val="en-GB" w:eastAsia="en-NZ"/>
              </w:rPr>
              <w:t>18%</w:t>
            </w:r>
            <w:r w:rsidR="00FE282C">
              <w:rPr>
                <w:rFonts w:ascii="Arial" w:eastAsia="Times New Roman" w:hAnsi="Arial" w:cs="Arial"/>
                <w:color w:val="000000"/>
                <w:szCs w:val="24"/>
                <w:lang w:val="en-GB" w:eastAsia="en-NZ"/>
              </w:rPr>
              <w:t xml:space="preserve"> </w:t>
            </w:r>
            <w:r w:rsidRPr="00C25DD0">
              <w:rPr>
                <w:rFonts w:ascii="Wingdings" w:eastAsia="Wingdings" w:hAnsi="Wingdings" w:cs="Wingdings"/>
                <w:color w:val="D13438"/>
                <w:szCs w:val="24"/>
                <w:lang w:val="en-GB"/>
              </w:rPr>
              <w:t>Ý</w:t>
            </w:r>
          </w:p>
        </w:tc>
        <w:tc>
          <w:tcPr>
            <w:tcW w:w="329" w:type="pct"/>
          </w:tcPr>
          <w:p w14:paraId="1B399EF9" w14:textId="77777777"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18%</w:t>
            </w:r>
            <w:r w:rsidRPr="00C25DD0">
              <w:rPr>
                <w:rFonts w:ascii="Calibri" w:eastAsia="Times New Roman" w:hAnsi="Calibri" w:cs="Calibri"/>
                <w:szCs w:val="24"/>
                <w:lang w:val="en-GB" w:eastAsia="en-NZ"/>
              </w:rPr>
              <w:t xml:space="preserve"> </w:t>
            </w:r>
            <w:r w:rsidRPr="00CE0F64">
              <w:rPr>
                <w:rFonts w:ascii="Wingdings" w:eastAsia="Wingdings" w:hAnsi="Wingdings" w:cs="Calibri"/>
                <w:b/>
                <w:color w:val="FFC000"/>
                <w:szCs w:val="24"/>
                <w:lang w:val="en-GB" w:eastAsia="en-NZ"/>
              </w:rPr>
              <w:t>Ü</w:t>
            </w:r>
          </w:p>
        </w:tc>
        <w:tc>
          <w:tcPr>
            <w:tcW w:w="297" w:type="pct"/>
          </w:tcPr>
          <w:p w14:paraId="0C947EB1" w14:textId="5CCF9A13" w:rsidR="00C25DD0" w:rsidRPr="00C25DD0" w:rsidRDefault="00C25DD0" w:rsidP="00C25DD0">
            <w:pPr>
              <w:spacing w:before="0" w:after="0" w:line="276" w:lineRule="auto"/>
              <w:jc w:val="center"/>
              <w:textAlignment w:val="baseline"/>
              <w:rPr>
                <w:rFonts w:ascii="Calibri" w:eastAsia="Calibri" w:hAnsi="Calibri" w:cs="Calibri"/>
                <w:szCs w:val="24"/>
                <w:lang w:val="en-GB"/>
              </w:rPr>
            </w:pPr>
            <w:r w:rsidRPr="00C25DD0">
              <w:rPr>
                <w:rFonts w:ascii="Arial" w:eastAsia="Times New Roman" w:hAnsi="Arial" w:cs="Arial"/>
                <w:color w:val="000000"/>
                <w:szCs w:val="24"/>
                <w:lang w:val="en-GB" w:eastAsia="en-NZ"/>
              </w:rPr>
              <w:t>19%</w:t>
            </w:r>
            <w:r w:rsidR="00FE282C">
              <w:rPr>
                <w:rFonts w:ascii="Arial" w:eastAsia="Times New Roman" w:hAnsi="Arial" w:cs="Arial"/>
                <w:color w:val="000000"/>
                <w:szCs w:val="24"/>
                <w:lang w:val="en-GB" w:eastAsia="en-NZ"/>
              </w:rPr>
              <w:t xml:space="preserve"> </w:t>
            </w:r>
            <w:r w:rsidRPr="00C25DD0">
              <w:rPr>
                <w:rFonts w:ascii="Wingdings" w:eastAsia="Wingdings" w:hAnsi="Wingdings" w:cs="Wingdings"/>
                <w:color w:val="D13438"/>
                <w:szCs w:val="24"/>
                <w:lang w:val="en-GB"/>
              </w:rPr>
              <w:t>Ý</w:t>
            </w:r>
          </w:p>
        </w:tc>
        <w:tc>
          <w:tcPr>
            <w:tcW w:w="328" w:type="pct"/>
          </w:tcPr>
          <w:p w14:paraId="37CD03AC" w14:textId="2356A6D7" w:rsidR="00C25DD0" w:rsidRPr="00C25DD0" w:rsidRDefault="00C25DD0" w:rsidP="00C25DD0">
            <w:pPr>
              <w:spacing w:before="0" w:after="0" w:line="276" w:lineRule="auto"/>
              <w:jc w:val="center"/>
              <w:textAlignment w:val="baseline"/>
              <w:rPr>
                <w:rFonts w:ascii="Calibri" w:eastAsia="Calibri" w:hAnsi="Calibri" w:cs="Calibri"/>
                <w:szCs w:val="24"/>
                <w:lang w:val="en-GB"/>
              </w:rPr>
            </w:pPr>
            <w:r w:rsidRPr="00C25DD0">
              <w:rPr>
                <w:rFonts w:ascii="Arial" w:eastAsia="Times New Roman" w:hAnsi="Arial" w:cs="Arial"/>
                <w:color w:val="000000"/>
                <w:szCs w:val="24"/>
                <w:lang w:val="en-GB" w:eastAsia="en-NZ"/>
              </w:rPr>
              <w:t>17%</w:t>
            </w:r>
            <w:r w:rsidR="00FE282C">
              <w:rPr>
                <w:rFonts w:ascii="Arial" w:eastAsia="Times New Roman" w:hAnsi="Arial" w:cs="Arial"/>
                <w:color w:val="000000"/>
                <w:szCs w:val="24"/>
                <w:lang w:val="en-GB" w:eastAsia="en-NZ"/>
              </w:rPr>
              <w:t xml:space="preserve"> </w:t>
            </w:r>
            <w:r w:rsidRPr="00C25DD0">
              <w:rPr>
                <w:rFonts w:ascii="Wingdings" w:eastAsia="Wingdings" w:hAnsi="Wingdings" w:cs="Wingdings"/>
                <w:color w:val="00B050"/>
                <w:szCs w:val="24"/>
                <w:lang w:val="en-GB"/>
              </w:rPr>
              <w:t>Þ</w:t>
            </w:r>
          </w:p>
        </w:tc>
        <w:tc>
          <w:tcPr>
            <w:tcW w:w="1809" w:type="pct"/>
            <w:vMerge/>
            <w:shd w:val="clear" w:color="auto" w:fill="auto"/>
          </w:tcPr>
          <w:p w14:paraId="4F12C03D"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p>
        </w:tc>
      </w:tr>
      <w:tr w:rsidR="00D330D1" w:rsidRPr="00C25DD0" w14:paraId="3696AC09" w14:textId="77777777" w:rsidTr="00FE282C">
        <w:trPr>
          <w:trHeight w:val="647"/>
        </w:trPr>
        <w:tc>
          <w:tcPr>
            <w:tcW w:w="1151" w:type="pct"/>
            <w:vMerge/>
          </w:tcPr>
          <w:p w14:paraId="6586FD07" w14:textId="77777777" w:rsidR="00C25DD0" w:rsidRPr="00C25DD0" w:rsidRDefault="00C25DD0" w:rsidP="00C25DD0">
            <w:pPr>
              <w:spacing w:before="0" w:after="0" w:line="276" w:lineRule="auto"/>
              <w:jc w:val="center"/>
              <w:rPr>
                <w:rFonts w:ascii="Arial" w:eastAsia="Times New Roman" w:hAnsi="Arial" w:cs="Arial"/>
                <w:szCs w:val="24"/>
                <w:lang w:val="en-GB" w:eastAsia="en-NZ"/>
              </w:rPr>
            </w:pPr>
          </w:p>
        </w:tc>
        <w:tc>
          <w:tcPr>
            <w:tcW w:w="527" w:type="pct"/>
          </w:tcPr>
          <w:p w14:paraId="06A5F05B" w14:textId="77777777" w:rsidR="00C25DD0" w:rsidRPr="00C25DD0" w:rsidRDefault="00C25DD0" w:rsidP="00C25DD0">
            <w:pPr>
              <w:spacing w:before="0" w:after="0" w:line="276" w:lineRule="auto"/>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European/</w:t>
            </w:r>
          </w:p>
          <w:p w14:paraId="27027B5F" w14:textId="63F6B37D" w:rsidR="00C25DD0" w:rsidRPr="00C25DD0" w:rsidRDefault="009E072E" w:rsidP="00C25DD0">
            <w:pPr>
              <w:spacing w:before="0" w:after="0" w:line="276" w:lineRule="auto"/>
              <w:textAlignment w:val="baseline"/>
              <w:rPr>
                <w:rFonts w:ascii="Arial" w:eastAsia="Times New Roman" w:hAnsi="Arial" w:cs="Arial"/>
                <w:color w:val="000000"/>
                <w:szCs w:val="24"/>
                <w:lang w:val="en-GB" w:eastAsia="en-NZ"/>
              </w:rPr>
            </w:pPr>
            <w:r>
              <w:rPr>
                <w:rFonts w:ascii="Arial" w:eastAsia="Times New Roman" w:hAnsi="Arial" w:cs="Arial"/>
                <w:color w:val="000000"/>
                <w:szCs w:val="24"/>
                <w:lang w:val="en-GB" w:eastAsia="en-NZ"/>
              </w:rPr>
              <w:t>A</w:t>
            </w:r>
            <w:r w:rsidR="00C25DD0" w:rsidRPr="00C25DD0">
              <w:rPr>
                <w:rFonts w:ascii="Arial" w:eastAsia="Times New Roman" w:hAnsi="Arial" w:cs="Arial"/>
                <w:color w:val="000000"/>
                <w:szCs w:val="24"/>
                <w:lang w:val="en-GB" w:eastAsia="en-NZ"/>
              </w:rPr>
              <w:t>ll other ethnicities</w:t>
            </w:r>
          </w:p>
        </w:tc>
        <w:tc>
          <w:tcPr>
            <w:tcW w:w="296" w:type="pct"/>
          </w:tcPr>
          <w:p w14:paraId="2543BAB6"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5%</w:t>
            </w:r>
          </w:p>
        </w:tc>
        <w:tc>
          <w:tcPr>
            <w:tcW w:w="263" w:type="pct"/>
          </w:tcPr>
          <w:p w14:paraId="325EB1BC"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5%</w:t>
            </w:r>
            <w:r w:rsidRPr="00C25DD0">
              <w:rPr>
                <w:rFonts w:ascii="Calibri" w:eastAsia="Times New Roman" w:hAnsi="Calibri" w:cs="Calibri"/>
                <w:color w:val="000000"/>
                <w:szCs w:val="24"/>
                <w:lang w:val="en-GB" w:eastAsia="en-NZ"/>
              </w:rPr>
              <w:t xml:space="preserve"> </w:t>
            </w:r>
            <w:r w:rsidRPr="00CE0F64">
              <w:rPr>
                <w:rFonts w:ascii="Wingdings" w:eastAsia="Wingdings" w:hAnsi="Wingdings" w:cs="Calibri"/>
                <w:b/>
                <w:color w:val="FFC000"/>
                <w:szCs w:val="24"/>
                <w:lang w:val="en-GB" w:eastAsia="en-NZ"/>
              </w:rPr>
              <w:t>Ü</w:t>
            </w:r>
          </w:p>
        </w:tc>
        <w:tc>
          <w:tcPr>
            <w:tcW w:w="329" w:type="pct"/>
          </w:tcPr>
          <w:p w14:paraId="75D53610"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5%</w:t>
            </w:r>
            <w:r w:rsidRPr="00C25DD0">
              <w:rPr>
                <w:rFonts w:ascii="Calibri" w:eastAsia="Times New Roman" w:hAnsi="Calibri" w:cs="Calibri"/>
                <w:color w:val="000000"/>
                <w:szCs w:val="24"/>
                <w:lang w:val="en-GB" w:eastAsia="en-NZ"/>
              </w:rPr>
              <w:t xml:space="preserve"> </w:t>
            </w:r>
            <w:r w:rsidRPr="00CE0F64">
              <w:rPr>
                <w:rFonts w:ascii="Wingdings" w:eastAsia="Wingdings" w:hAnsi="Wingdings" w:cs="Calibri"/>
                <w:b/>
                <w:color w:val="FFC000"/>
                <w:szCs w:val="24"/>
                <w:lang w:val="en-GB" w:eastAsia="en-NZ"/>
              </w:rPr>
              <w:t>Ü</w:t>
            </w:r>
          </w:p>
        </w:tc>
        <w:tc>
          <w:tcPr>
            <w:tcW w:w="297" w:type="pct"/>
          </w:tcPr>
          <w:p w14:paraId="0F87E992"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5%</w:t>
            </w:r>
            <w:r w:rsidRPr="00C25DD0">
              <w:rPr>
                <w:rFonts w:ascii="Calibri" w:eastAsia="Times New Roman" w:hAnsi="Calibri" w:cs="Calibri"/>
                <w:color w:val="000000"/>
                <w:szCs w:val="24"/>
                <w:lang w:val="en-GB" w:eastAsia="en-NZ"/>
              </w:rPr>
              <w:t xml:space="preserve"> </w:t>
            </w:r>
            <w:r w:rsidRPr="00CE0F64">
              <w:rPr>
                <w:rFonts w:ascii="Wingdings" w:eastAsia="Wingdings" w:hAnsi="Wingdings" w:cs="Calibri"/>
                <w:b/>
                <w:color w:val="FFC000"/>
                <w:szCs w:val="24"/>
                <w:lang w:val="en-GB" w:eastAsia="en-NZ"/>
              </w:rPr>
              <w:t>Ü</w:t>
            </w:r>
          </w:p>
        </w:tc>
        <w:tc>
          <w:tcPr>
            <w:tcW w:w="328" w:type="pct"/>
          </w:tcPr>
          <w:p w14:paraId="6C182CED" w14:textId="4E4B5B13" w:rsidR="00C25DD0" w:rsidRPr="00C25DD0" w:rsidRDefault="00C25DD0" w:rsidP="00C25DD0">
            <w:pPr>
              <w:spacing w:before="0" w:after="0" w:line="276" w:lineRule="auto"/>
              <w:jc w:val="center"/>
              <w:textAlignment w:val="baseline"/>
              <w:rPr>
                <w:rFonts w:ascii="Calibri" w:eastAsia="Calibri" w:hAnsi="Calibri" w:cs="Calibri"/>
                <w:szCs w:val="24"/>
                <w:lang w:val="en-GB"/>
              </w:rPr>
            </w:pPr>
            <w:r w:rsidRPr="00C25DD0">
              <w:rPr>
                <w:rFonts w:ascii="Arial" w:eastAsia="Times New Roman" w:hAnsi="Arial" w:cs="Arial"/>
                <w:color w:val="000000"/>
                <w:szCs w:val="24"/>
                <w:lang w:val="en-GB" w:eastAsia="en-NZ"/>
              </w:rPr>
              <w:t>4%</w:t>
            </w:r>
            <w:r w:rsidR="00FE282C">
              <w:rPr>
                <w:rFonts w:ascii="Arial" w:eastAsia="Times New Roman" w:hAnsi="Arial" w:cs="Arial"/>
                <w:color w:val="000000"/>
                <w:szCs w:val="24"/>
                <w:lang w:val="en-GB" w:eastAsia="en-NZ"/>
              </w:rPr>
              <w:t xml:space="preserve"> </w:t>
            </w:r>
            <w:r w:rsidRPr="00C25DD0">
              <w:rPr>
                <w:rFonts w:ascii="Wingdings" w:eastAsia="Wingdings" w:hAnsi="Wingdings" w:cs="Wingdings"/>
                <w:color w:val="00B050"/>
                <w:szCs w:val="24"/>
                <w:lang w:val="en-GB"/>
              </w:rPr>
              <w:t>Þ</w:t>
            </w:r>
          </w:p>
        </w:tc>
        <w:tc>
          <w:tcPr>
            <w:tcW w:w="1809" w:type="pct"/>
            <w:vMerge/>
            <w:shd w:val="clear" w:color="auto" w:fill="auto"/>
          </w:tcPr>
          <w:p w14:paraId="76806459"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p>
        </w:tc>
      </w:tr>
      <w:tr w:rsidR="00D330D1" w:rsidRPr="00C25DD0" w14:paraId="22C97DAD" w14:textId="77777777" w:rsidTr="00FE282C">
        <w:trPr>
          <w:trHeight w:val="647"/>
        </w:trPr>
        <w:tc>
          <w:tcPr>
            <w:tcW w:w="1151" w:type="pct"/>
            <w:vMerge/>
          </w:tcPr>
          <w:p w14:paraId="4D5298EE" w14:textId="77777777" w:rsidR="00C25DD0" w:rsidRPr="00C25DD0" w:rsidRDefault="00C25DD0" w:rsidP="00C25DD0">
            <w:pPr>
              <w:spacing w:before="0" w:after="0" w:line="276" w:lineRule="auto"/>
              <w:jc w:val="center"/>
              <w:rPr>
                <w:rFonts w:ascii="Arial" w:eastAsia="Times New Roman" w:hAnsi="Arial" w:cs="Arial"/>
                <w:szCs w:val="24"/>
                <w:lang w:val="en-GB" w:eastAsia="en-NZ"/>
              </w:rPr>
            </w:pPr>
          </w:p>
        </w:tc>
        <w:tc>
          <w:tcPr>
            <w:tcW w:w="527" w:type="pct"/>
          </w:tcPr>
          <w:p w14:paraId="74C1BD1F" w14:textId="77777777" w:rsidR="00C25DD0" w:rsidRPr="00C25DD0" w:rsidRDefault="00C25DD0" w:rsidP="00C25DD0">
            <w:pPr>
              <w:spacing w:before="0" w:after="0" w:line="276" w:lineRule="auto"/>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Asian</w:t>
            </w:r>
          </w:p>
        </w:tc>
        <w:tc>
          <w:tcPr>
            <w:tcW w:w="296" w:type="pct"/>
          </w:tcPr>
          <w:p w14:paraId="47814639"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6%</w:t>
            </w:r>
          </w:p>
        </w:tc>
        <w:tc>
          <w:tcPr>
            <w:tcW w:w="263" w:type="pct"/>
          </w:tcPr>
          <w:p w14:paraId="456FCB34" w14:textId="3BF1C0FE"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6%</w:t>
            </w:r>
            <w:r w:rsidR="00FE282C">
              <w:rPr>
                <w:rFonts w:ascii="Arial" w:eastAsia="Times New Roman" w:hAnsi="Arial" w:cs="Arial"/>
                <w:color w:val="000000"/>
                <w:szCs w:val="24"/>
                <w:lang w:val="en-GB" w:eastAsia="en-NZ"/>
              </w:rPr>
              <w:t xml:space="preserve"> </w:t>
            </w:r>
            <w:r w:rsidRPr="00CE0F64">
              <w:rPr>
                <w:rFonts w:ascii="Wingdings" w:eastAsia="Wingdings" w:hAnsi="Wingdings" w:cs="Calibri"/>
                <w:b/>
                <w:color w:val="FFC000"/>
                <w:szCs w:val="24"/>
                <w:lang w:val="en-GB" w:eastAsia="en-NZ"/>
              </w:rPr>
              <w:t>Ü</w:t>
            </w:r>
          </w:p>
        </w:tc>
        <w:tc>
          <w:tcPr>
            <w:tcW w:w="329" w:type="pct"/>
          </w:tcPr>
          <w:p w14:paraId="6CD36334" w14:textId="4485A8FD" w:rsidR="00C25DD0" w:rsidRPr="00C25DD0" w:rsidRDefault="00C25DD0" w:rsidP="00C25DD0">
            <w:pPr>
              <w:spacing w:before="0" w:after="0" w:line="276" w:lineRule="auto"/>
              <w:jc w:val="center"/>
              <w:textAlignment w:val="baseline"/>
              <w:rPr>
                <w:rFonts w:ascii="Calibri" w:eastAsia="Calibri" w:hAnsi="Calibri" w:cs="Calibri"/>
                <w:szCs w:val="24"/>
                <w:lang w:val="en-GB"/>
              </w:rPr>
            </w:pPr>
            <w:r w:rsidRPr="00C25DD0">
              <w:rPr>
                <w:rFonts w:ascii="Arial" w:eastAsia="Times New Roman" w:hAnsi="Arial" w:cs="Arial"/>
                <w:color w:val="000000"/>
                <w:szCs w:val="24"/>
                <w:lang w:val="en-GB" w:eastAsia="en-NZ"/>
              </w:rPr>
              <w:t>7%</w:t>
            </w:r>
            <w:r w:rsidR="00FE282C">
              <w:rPr>
                <w:rFonts w:ascii="Arial" w:eastAsia="Times New Roman" w:hAnsi="Arial" w:cs="Arial"/>
                <w:color w:val="000000"/>
                <w:szCs w:val="24"/>
                <w:lang w:val="en-GB" w:eastAsia="en-NZ"/>
              </w:rPr>
              <w:t xml:space="preserve"> </w:t>
            </w:r>
            <w:r w:rsidRPr="00C25DD0">
              <w:rPr>
                <w:rFonts w:ascii="Wingdings" w:eastAsia="Wingdings" w:hAnsi="Wingdings" w:cs="Wingdings"/>
                <w:color w:val="D13438"/>
                <w:szCs w:val="24"/>
                <w:lang w:val="en-GB"/>
              </w:rPr>
              <w:t>Ý</w:t>
            </w:r>
          </w:p>
        </w:tc>
        <w:tc>
          <w:tcPr>
            <w:tcW w:w="297" w:type="pct"/>
          </w:tcPr>
          <w:p w14:paraId="0491AF84" w14:textId="56B0CE25" w:rsidR="00C25DD0" w:rsidRPr="00C25DD0" w:rsidRDefault="00C25DD0" w:rsidP="00C25DD0">
            <w:pPr>
              <w:spacing w:before="0" w:after="0" w:line="276" w:lineRule="auto"/>
              <w:jc w:val="center"/>
              <w:textAlignment w:val="baseline"/>
              <w:rPr>
                <w:rFonts w:ascii="Calibri" w:eastAsia="Calibri" w:hAnsi="Calibri" w:cs="Calibri"/>
                <w:szCs w:val="24"/>
                <w:lang w:val="en-GB"/>
              </w:rPr>
            </w:pPr>
            <w:r w:rsidRPr="00C25DD0">
              <w:rPr>
                <w:rFonts w:ascii="Arial" w:eastAsia="Times New Roman" w:hAnsi="Arial" w:cs="Arial"/>
                <w:color w:val="000000"/>
                <w:szCs w:val="24"/>
                <w:lang w:val="en-GB" w:eastAsia="en-NZ"/>
              </w:rPr>
              <w:t>6%</w:t>
            </w:r>
            <w:r w:rsidR="00FE282C">
              <w:rPr>
                <w:rFonts w:ascii="Arial" w:eastAsia="Times New Roman" w:hAnsi="Arial" w:cs="Arial"/>
                <w:color w:val="000000"/>
                <w:szCs w:val="24"/>
                <w:lang w:val="en-GB" w:eastAsia="en-NZ"/>
              </w:rPr>
              <w:t xml:space="preserve"> </w:t>
            </w:r>
            <w:r w:rsidRPr="00C25DD0">
              <w:rPr>
                <w:rFonts w:ascii="Wingdings" w:eastAsia="Wingdings" w:hAnsi="Wingdings" w:cs="Wingdings"/>
                <w:color w:val="00B050"/>
                <w:szCs w:val="24"/>
                <w:lang w:val="en-GB"/>
              </w:rPr>
              <w:t>Þ</w:t>
            </w:r>
          </w:p>
        </w:tc>
        <w:tc>
          <w:tcPr>
            <w:tcW w:w="328" w:type="pct"/>
          </w:tcPr>
          <w:p w14:paraId="64070489" w14:textId="57E15248" w:rsidR="00C25DD0" w:rsidRPr="00C25DD0" w:rsidRDefault="00C25DD0" w:rsidP="00C25DD0">
            <w:pPr>
              <w:spacing w:before="0" w:after="0" w:line="276" w:lineRule="auto"/>
              <w:jc w:val="center"/>
              <w:textAlignment w:val="baseline"/>
              <w:rPr>
                <w:rFonts w:ascii="Calibri" w:eastAsia="Calibri" w:hAnsi="Calibri" w:cs="Calibri"/>
                <w:szCs w:val="24"/>
                <w:lang w:val="en-GB"/>
              </w:rPr>
            </w:pPr>
            <w:r w:rsidRPr="00C25DD0">
              <w:rPr>
                <w:rFonts w:ascii="Arial" w:eastAsia="Times New Roman" w:hAnsi="Arial" w:cs="Arial"/>
                <w:color w:val="000000"/>
                <w:szCs w:val="24"/>
                <w:lang w:val="en-GB" w:eastAsia="en-NZ"/>
              </w:rPr>
              <w:t>5%</w:t>
            </w:r>
            <w:r w:rsidR="00FE282C">
              <w:rPr>
                <w:rFonts w:ascii="Arial" w:eastAsia="Times New Roman" w:hAnsi="Arial" w:cs="Arial"/>
                <w:color w:val="000000"/>
                <w:szCs w:val="24"/>
                <w:lang w:val="en-GB" w:eastAsia="en-NZ"/>
              </w:rPr>
              <w:t xml:space="preserve"> </w:t>
            </w:r>
            <w:r w:rsidRPr="00C25DD0">
              <w:rPr>
                <w:rFonts w:ascii="Wingdings" w:eastAsia="Wingdings" w:hAnsi="Wingdings" w:cs="Wingdings"/>
                <w:color w:val="00B050"/>
                <w:szCs w:val="24"/>
                <w:lang w:val="en-GB"/>
              </w:rPr>
              <w:t>Þ</w:t>
            </w:r>
          </w:p>
        </w:tc>
        <w:tc>
          <w:tcPr>
            <w:tcW w:w="1809" w:type="pct"/>
            <w:vMerge/>
            <w:shd w:val="clear" w:color="auto" w:fill="auto"/>
          </w:tcPr>
          <w:p w14:paraId="7C45F4B3"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p>
        </w:tc>
      </w:tr>
      <w:tr w:rsidR="00D330D1" w:rsidRPr="00C25DD0" w14:paraId="2986D9E8" w14:textId="77777777" w:rsidTr="00FE282C">
        <w:trPr>
          <w:trHeight w:val="648"/>
        </w:trPr>
        <w:tc>
          <w:tcPr>
            <w:tcW w:w="1151" w:type="pct"/>
            <w:vMerge/>
          </w:tcPr>
          <w:p w14:paraId="26E7190F" w14:textId="77777777" w:rsidR="00C25DD0" w:rsidRPr="00C25DD0" w:rsidRDefault="00C25DD0" w:rsidP="00C25DD0">
            <w:pPr>
              <w:spacing w:before="0" w:after="0" w:line="276" w:lineRule="auto"/>
              <w:jc w:val="center"/>
              <w:rPr>
                <w:rFonts w:ascii="Arial" w:eastAsia="Times New Roman" w:hAnsi="Arial" w:cs="Arial"/>
                <w:szCs w:val="24"/>
                <w:lang w:val="en-GB" w:eastAsia="en-NZ"/>
              </w:rPr>
            </w:pPr>
          </w:p>
        </w:tc>
        <w:tc>
          <w:tcPr>
            <w:tcW w:w="527" w:type="pct"/>
          </w:tcPr>
          <w:p w14:paraId="0AB92BAB" w14:textId="77777777" w:rsidR="00C25DD0" w:rsidRPr="00C25DD0" w:rsidRDefault="00C25DD0" w:rsidP="00C25DD0">
            <w:pPr>
              <w:spacing w:before="0" w:after="0" w:line="276" w:lineRule="auto"/>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Total</w:t>
            </w:r>
          </w:p>
        </w:tc>
        <w:tc>
          <w:tcPr>
            <w:tcW w:w="296" w:type="pct"/>
          </w:tcPr>
          <w:p w14:paraId="7CCD0314"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8%</w:t>
            </w:r>
          </w:p>
        </w:tc>
        <w:tc>
          <w:tcPr>
            <w:tcW w:w="263" w:type="pct"/>
          </w:tcPr>
          <w:p w14:paraId="5FFC0CCD"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8%</w:t>
            </w:r>
            <w:r w:rsidRPr="00C25DD0">
              <w:rPr>
                <w:rFonts w:ascii="Calibri" w:eastAsia="Times New Roman" w:hAnsi="Calibri" w:cs="Calibri"/>
                <w:color w:val="000000"/>
                <w:szCs w:val="24"/>
                <w:lang w:val="en-GB" w:eastAsia="en-NZ"/>
              </w:rPr>
              <w:t xml:space="preserve"> </w:t>
            </w:r>
            <w:r w:rsidRPr="00CE0F64">
              <w:rPr>
                <w:rFonts w:ascii="Wingdings" w:eastAsia="Wingdings" w:hAnsi="Wingdings" w:cs="Calibri"/>
                <w:b/>
                <w:color w:val="FFC000"/>
                <w:szCs w:val="24"/>
                <w:lang w:val="en-GB" w:eastAsia="en-NZ"/>
              </w:rPr>
              <w:t>Ü</w:t>
            </w:r>
          </w:p>
        </w:tc>
        <w:tc>
          <w:tcPr>
            <w:tcW w:w="329" w:type="pct"/>
          </w:tcPr>
          <w:p w14:paraId="6383FC19"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8%</w:t>
            </w:r>
            <w:r w:rsidRPr="00C25DD0">
              <w:rPr>
                <w:rFonts w:ascii="Calibri" w:eastAsia="Times New Roman" w:hAnsi="Calibri" w:cs="Calibri"/>
                <w:color w:val="000000"/>
                <w:szCs w:val="24"/>
                <w:lang w:val="en-GB" w:eastAsia="en-NZ"/>
              </w:rPr>
              <w:t xml:space="preserve"> </w:t>
            </w:r>
            <w:r w:rsidRPr="00CE0F64">
              <w:rPr>
                <w:rFonts w:ascii="Wingdings" w:eastAsia="Wingdings" w:hAnsi="Wingdings" w:cs="Calibri"/>
                <w:b/>
                <w:color w:val="FFC000"/>
                <w:szCs w:val="24"/>
                <w:lang w:val="en-GB" w:eastAsia="en-NZ"/>
              </w:rPr>
              <w:t>Ü</w:t>
            </w:r>
          </w:p>
        </w:tc>
        <w:tc>
          <w:tcPr>
            <w:tcW w:w="297" w:type="pct"/>
          </w:tcPr>
          <w:p w14:paraId="596B2CF0"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8%</w:t>
            </w:r>
            <w:r w:rsidRPr="00C25DD0">
              <w:rPr>
                <w:rFonts w:ascii="Calibri" w:eastAsia="Times New Roman" w:hAnsi="Calibri" w:cs="Calibri"/>
                <w:color w:val="000000"/>
                <w:szCs w:val="24"/>
                <w:lang w:val="en-GB" w:eastAsia="en-NZ"/>
              </w:rPr>
              <w:t xml:space="preserve"> </w:t>
            </w:r>
            <w:r w:rsidRPr="00CE0F64">
              <w:rPr>
                <w:rFonts w:ascii="Wingdings" w:eastAsia="Wingdings" w:hAnsi="Wingdings" w:cs="Calibri"/>
                <w:b/>
                <w:color w:val="FFC000"/>
                <w:szCs w:val="24"/>
                <w:lang w:val="en-GB" w:eastAsia="en-NZ"/>
              </w:rPr>
              <w:t>Ü</w:t>
            </w:r>
          </w:p>
        </w:tc>
        <w:tc>
          <w:tcPr>
            <w:tcW w:w="328" w:type="pct"/>
          </w:tcPr>
          <w:p w14:paraId="7FA7D591" w14:textId="7A1E831F" w:rsidR="00C25DD0" w:rsidRPr="00C25DD0" w:rsidRDefault="00C25DD0" w:rsidP="00C25DD0">
            <w:pPr>
              <w:spacing w:before="0" w:after="0" w:line="276" w:lineRule="auto"/>
              <w:jc w:val="center"/>
              <w:textAlignment w:val="baseline"/>
              <w:rPr>
                <w:rFonts w:ascii="Calibri" w:eastAsia="Calibri" w:hAnsi="Calibri" w:cs="Calibri"/>
                <w:szCs w:val="24"/>
                <w:lang w:val="en-GB"/>
              </w:rPr>
            </w:pPr>
            <w:r w:rsidRPr="00C25DD0">
              <w:rPr>
                <w:rFonts w:ascii="Arial" w:eastAsia="Times New Roman" w:hAnsi="Arial" w:cs="Arial"/>
                <w:color w:val="000000"/>
                <w:szCs w:val="24"/>
                <w:lang w:val="en-GB" w:eastAsia="en-NZ"/>
              </w:rPr>
              <w:t>7%</w:t>
            </w:r>
            <w:r w:rsidR="00FE282C">
              <w:rPr>
                <w:rFonts w:ascii="Arial" w:eastAsia="Times New Roman" w:hAnsi="Arial" w:cs="Arial"/>
                <w:color w:val="000000"/>
                <w:szCs w:val="24"/>
                <w:lang w:val="en-GB" w:eastAsia="en-NZ"/>
              </w:rPr>
              <w:t xml:space="preserve"> </w:t>
            </w:r>
            <w:r w:rsidRPr="00C25DD0">
              <w:rPr>
                <w:rFonts w:ascii="Wingdings" w:eastAsia="Wingdings" w:hAnsi="Wingdings" w:cs="Wingdings"/>
                <w:color w:val="00B050"/>
                <w:szCs w:val="24"/>
                <w:lang w:val="en-GB"/>
              </w:rPr>
              <w:t>Þ</w:t>
            </w:r>
          </w:p>
        </w:tc>
        <w:tc>
          <w:tcPr>
            <w:tcW w:w="1809" w:type="pct"/>
            <w:vMerge/>
            <w:shd w:val="clear" w:color="auto" w:fill="auto"/>
          </w:tcPr>
          <w:p w14:paraId="64B90878"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p>
        </w:tc>
      </w:tr>
      <w:tr w:rsidR="00C25DD0" w:rsidRPr="00C25DD0" w14:paraId="2591B3D2" w14:textId="77777777" w:rsidTr="00D330D1">
        <w:trPr>
          <w:trHeight w:val="648"/>
        </w:trPr>
        <w:tc>
          <w:tcPr>
            <w:tcW w:w="1151" w:type="pct"/>
            <w:vMerge/>
          </w:tcPr>
          <w:p w14:paraId="35626BDA" w14:textId="77777777" w:rsidR="00C25DD0" w:rsidRPr="00C25DD0" w:rsidRDefault="00C25DD0" w:rsidP="00C25DD0">
            <w:pPr>
              <w:spacing w:before="0" w:after="0" w:line="276" w:lineRule="auto"/>
              <w:jc w:val="center"/>
              <w:rPr>
                <w:rFonts w:ascii="Arial" w:eastAsia="Times New Roman" w:hAnsi="Arial" w:cs="Arial"/>
                <w:szCs w:val="24"/>
                <w:lang w:val="en-GB" w:eastAsia="en-NZ"/>
              </w:rPr>
            </w:pPr>
          </w:p>
        </w:tc>
        <w:tc>
          <w:tcPr>
            <w:tcW w:w="3849" w:type="pct"/>
            <w:gridSpan w:val="7"/>
          </w:tcPr>
          <w:p w14:paraId="1BD06A7B"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p>
        </w:tc>
      </w:tr>
      <w:tr w:rsidR="00D330D1" w:rsidRPr="00C25DD0" w14:paraId="7A10C32F" w14:textId="77777777" w:rsidTr="00FE282C">
        <w:trPr>
          <w:trHeight w:val="444"/>
        </w:trPr>
        <w:tc>
          <w:tcPr>
            <w:tcW w:w="1151" w:type="pct"/>
            <w:vMerge/>
          </w:tcPr>
          <w:p w14:paraId="61AC4F89" w14:textId="77777777" w:rsidR="00C25DD0" w:rsidRPr="00C25DD0" w:rsidRDefault="00C25DD0" w:rsidP="00C25DD0">
            <w:pPr>
              <w:spacing w:before="0" w:after="0" w:line="276" w:lineRule="auto"/>
              <w:jc w:val="center"/>
              <w:rPr>
                <w:rFonts w:ascii="Arial" w:eastAsia="Times New Roman" w:hAnsi="Arial" w:cs="Arial"/>
                <w:szCs w:val="24"/>
                <w:lang w:val="en-GB" w:eastAsia="en-NZ"/>
              </w:rPr>
            </w:pPr>
          </w:p>
        </w:tc>
        <w:tc>
          <w:tcPr>
            <w:tcW w:w="527" w:type="pct"/>
          </w:tcPr>
          <w:p w14:paraId="2A742937" w14:textId="77777777" w:rsidR="00C25DD0" w:rsidRPr="00C25DD0" w:rsidRDefault="00C25DD0" w:rsidP="00C25DD0">
            <w:pPr>
              <w:spacing w:before="0" w:after="0" w:line="276" w:lineRule="auto"/>
              <w:textAlignment w:val="baseline"/>
              <w:rPr>
                <w:rFonts w:ascii="Arial" w:eastAsia="Times New Roman" w:hAnsi="Arial" w:cs="Arial"/>
                <w:b/>
                <w:bCs/>
                <w:color w:val="000000"/>
                <w:szCs w:val="24"/>
                <w:lang w:val="en-GB" w:eastAsia="en-NZ"/>
              </w:rPr>
            </w:pPr>
            <w:r w:rsidRPr="00C25DD0">
              <w:rPr>
                <w:rFonts w:ascii="Arial" w:eastAsia="Times New Roman" w:hAnsi="Arial" w:cs="Arial"/>
                <w:b/>
                <w:bCs/>
                <w:color w:val="000000"/>
                <w:szCs w:val="24"/>
                <w:lang w:val="en-GB" w:eastAsia="en-NZ"/>
              </w:rPr>
              <w:t>Geographic Area</w:t>
            </w:r>
          </w:p>
        </w:tc>
        <w:tc>
          <w:tcPr>
            <w:tcW w:w="296" w:type="pct"/>
          </w:tcPr>
          <w:p w14:paraId="455DF2C7" w14:textId="77777777" w:rsidR="00C25DD0" w:rsidRPr="00C25DD0" w:rsidRDefault="00C25DD0" w:rsidP="00C25DD0">
            <w:pPr>
              <w:spacing w:before="0" w:after="0" w:line="240" w:lineRule="auto"/>
              <w:jc w:val="center"/>
              <w:textAlignment w:val="baseline"/>
              <w:rPr>
                <w:rFonts w:ascii="Arial" w:eastAsia="Times New Roman" w:hAnsi="Arial" w:cs="Arial"/>
                <w:b/>
                <w:bCs/>
                <w:szCs w:val="24"/>
                <w:lang w:val="en-GB" w:eastAsia="en-NZ"/>
              </w:rPr>
            </w:pPr>
            <w:r w:rsidRPr="00C25DD0">
              <w:rPr>
                <w:rFonts w:ascii="Arial" w:eastAsia="Times New Roman" w:hAnsi="Arial" w:cs="Arial"/>
                <w:b/>
                <w:bCs/>
                <w:szCs w:val="24"/>
                <w:lang w:val="en-GB" w:eastAsia="en-NZ"/>
              </w:rPr>
              <w:t>Q1</w:t>
            </w:r>
          </w:p>
          <w:p w14:paraId="4037A74A"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b/>
                <w:bCs/>
                <w:szCs w:val="24"/>
                <w:lang w:val="en-GB" w:eastAsia="en-NZ"/>
              </w:rPr>
              <w:t>2022-23</w:t>
            </w:r>
          </w:p>
        </w:tc>
        <w:tc>
          <w:tcPr>
            <w:tcW w:w="263" w:type="pct"/>
          </w:tcPr>
          <w:p w14:paraId="3219AA69" w14:textId="77777777" w:rsidR="00C25DD0" w:rsidRPr="00C25DD0" w:rsidRDefault="00C25DD0" w:rsidP="00C25DD0">
            <w:pPr>
              <w:spacing w:before="0" w:after="0" w:line="240" w:lineRule="auto"/>
              <w:jc w:val="center"/>
              <w:textAlignment w:val="baseline"/>
              <w:rPr>
                <w:rFonts w:ascii="Arial" w:eastAsia="Times New Roman" w:hAnsi="Arial" w:cs="Arial"/>
                <w:b/>
                <w:bCs/>
                <w:szCs w:val="24"/>
                <w:lang w:val="en-GB" w:eastAsia="en-NZ"/>
              </w:rPr>
            </w:pPr>
            <w:r w:rsidRPr="00C25DD0">
              <w:rPr>
                <w:rFonts w:ascii="Arial" w:eastAsia="Times New Roman" w:hAnsi="Arial" w:cs="Arial"/>
                <w:b/>
                <w:bCs/>
                <w:szCs w:val="24"/>
                <w:lang w:val="en-GB" w:eastAsia="en-NZ"/>
              </w:rPr>
              <w:t>Q2</w:t>
            </w:r>
          </w:p>
          <w:p w14:paraId="1DAB4089"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b/>
                <w:bCs/>
                <w:szCs w:val="24"/>
                <w:lang w:val="en-GB" w:eastAsia="en-NZ"/>
              </w:rPr>
              <w:t>2022-23</w:t>
            </w:r>
          </w:p>
        </w:tc>
        <w:tc>
          <w:tcPr>
            <w:tcW w:w="329" w:type="pct"/>
          </w:tcPr>
          <w:p w14:paraId="4DD778B2" w14:textId="77777777" w:rsidR="00C25DD0" w:rsidRPr="00C25DD0" w:rsidRDefault="00C25DD0" w:rsidP="00C25DD0">
            <w:pPr>
              <w:spacing w:before="0" w:after="0" w:line="240" w:lineRule="auto"/>
              <w:jc w:val="center"/>
              <w:textAlignment w:val="baseline"/>
              <w:rPr>
                <w:rFonts w:ascii="Arial" w:eastAsia="Times New Roman" w:hAnsi="Arial" w:cs="Arial"/>
                <w:b/>
                <w:bCs/>
                <w:szCs w:val="24"/>
                <w:lang w:val="en-GB" w:eastAsia="en-NZ"/>
              </w:rPr>
            </w:pPr>
            <w:r w:rsidRPr="00C25DD0">
              <w:rPr>
                <w:rFonts w:ascii="Arial" w:eastAsia="Times New Roman" w:hAnsi="Arial" w:cs="Arial"/>
                <w:b/>
                <w:bCs/>
                <w:szCs w:val="24"/>
                <w:lang w:val="en-GB" w:eastAsia="en-NZ"/>
              </w:rPr>
              <w:t>Q3</w:t>
            </w:r>
          </w:p>
          <w:p w14:paraId="5E3E35F4"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b/>
                <w:bCs/>
                <w:szCs w:val="24"/>
                <w:lang w:val="en-GB" w:eastAsia="en-NZ"/>
              </w:rPr>
              <w:t>2022-23</w:t>
            </w:r>
          </w:p>
        </w:tc>
        <w:tc>
          <w:tcPr>
            <w:tcW w:w="297" w:type="pct"/>
          </w:tcPr>
          <w:p w14:paraId="13A8C40F" w14:textId="77777777" w:rsidR="00C25DD0" w:rsidRPr="00C25DD0" w:rsidRDefault="00C25DD0" w:rsidP="00C25DD0">
            <w:pPr>
              <w:spacing w:before="0" w:after="0" w:line="240" w:lineRule="auto"/>
              <w:jc w:val="center"/>
              <w:textAlignment w:val="baseline"/>
              <w:rPr>
                <w:rFonts w:ascii="Arial" w:eastAsia="Times New Roman" w:hAnsi="Arial" w:cs="Arial"/>
                <w:b/>
                <w:bCs/>
                <w:szCs w:val="24"/>
                <w:lang w:val="en-GB" w:eastAsia="en-NZ"/>
              </w:rPr>
            </w:pPr>
            <w:r w:rsidRPr="00C25DD0">
              <w:rPr>
                <w:rFonts w:ascii="Arial" w:eastAsia="Times New Roman" w:hAnsi="Arial" w:cs="Arial"/>
                <w:b/>
                <w:bCs/>
                <w:szCs w:val="24"/>
                <w:lang w:val="en-GB" w:eastAsia="en-NZ"/>
              </w:rPr>
              <w:t>Q4</w:t>
            </w:r>
          </w:p>
          <w:p w14:paraId="4C7634F0"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b/>
                <w:bCs/>
                <w:szCs w:val="24"/>
                <w:lang w:val="en-GB" w:eastAsia="en-NZ"/>
              </w:rPr>
              <w:t>2022-23</w:t>
            </w:r>
          </w:p>
        </w:tc>
        <w:tc>
          <w:tcPr>
            <w:tcW w:w="328" w:type="pct"/>
          </w:tcPr>
          <w:p w14:paraId="6DD9AB95" w14:textId="77777777" w:rsidR="00C25DD0" w:rsidRPr="00C25DD0" w:rsidRDefault="00C25DD0" w:rsidP="00C25DD0">
            <w:pPr>
              <w:spacing w:before="0" w:after="0" w:line="240" w:lineRule="auto"/>
              <w:jc w:val="center"/>
              <w:textAlignment w:val="baseline"/>
              <w:rPr>
                <w:rFonts w:ascii="Arial" w:eastAsia="Times New Roman" w:hAnsi="Arial" w:cs="Arial"/>
                <w:b/>
                <w:bCs/>
                <w:szCs w:val="24"/>
                <w:lang w:val="en-GB" w:eastAsia="en-NZ"/>
              </w:rPr>
            </w:pPr>
            <w:r w:rsidRPr="00C25DD0">
              <w:rPr>
                <w:rFonts w:ascii="Arial" w:eastAsia="Times New Roman" w:hAnsi="Arial" w:cs="Arial"/>
                <w:b/>
                <w:bCs/>
                <w:szCs w:val="24"/>
                <w:lang w:val="en-GB" w:eastAsia="en-NZ"/>
              </w:rPr>
              <w:t>Q1</w:t>
            </w:r>
          </w:p>
          <w:p w14:paraId="52986F82"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b/>
                <w:bCs/>
                <w:szCs w:val="24"/>
                <w:lang w:val="en-GB" w:eastAsia="en-NZ"/>
              </w:rPr>
              <w:t>2023-24</w:t>
            </w:r>
          </w:p>
        </w:tc>
        <w:tc>
          <w:tcPr>
            <w:tcW w:w="1809" w:type="pct"/>
            <w:vMerge w:val="restart"/>
          </w:tcPr>
          <w:p w14:paraId="3CFABC26" w14:textId="77777777" w:rsidR="00C25DD0" w:rsidRPr="00C25DD0" w:rsidRDefault="00C25DD0" w:rsidP="00815E07">
            <w:pPr>
              <w:spacing w:before="0" w:after="0" w:line="276" w:lineRule="auto"/>
              <w:textAlignment w:val="baseline"/>
              <w:rPr>
                <w:rFonts w:ascii="Calibri" w:eastAsia="Times New Roman" w:hAnsi="Calibri" w:cs="Calibri"/>
                <w:color w:val="000000"/>
                <w:szCs w:val="24"/>
                <w:lang w:val="en-GB" w:eastAsia="en-NZ"/>
              </w:rPr>
            </w:pPr>
            <w:r w:rsidRPr="00C25DD0">
              <w:rPr>
                <w:rFonts w:ascii="Calibri" w:eastAsia="Calibri" w:hAnsi="Calibri" w:cs="Arial"/>
                <w:noProof/>
                <w:sz w:val="22"/>
              </w:rPr>
              <w:drawing>
                <wp:inline distT="0" distB="0" distL="0" distR="0" wp14:anchorId="77856C12" wp14:editId="62C14F67">
                  <wp:extent cx="4603806" cy="2767054"/>
                  <wp:effectExtent l="0" t="0" r="6350" b="0"/>
                  <wp:docPr id="1872262240" name="Chart 1872262240" descr="Chart showing Missed appointments for specialist care, reported by ethnicity and geographic area.">
                    <a:extLst xmlns:a="http://schemas.openxmlformats.org/drawingml/2006/main">
                      <a:ext uri="{FF2B5EF4-FFF2-40B4-BE49-F238E27FC236}">
                        <a16:creationId xmlns:a16="http://schemas.microsoft.com/office/drawing/2014/main" id="{A68C0042-175E-C202-0081-5FEBE9BF85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D330D1" w:rsidRPr="00C25DD0" w14:paraId="6A84CB50" w14:textId="77777777" w:rsidTr="00FE282C">
        <w:trPr>
          <w:trHeight w:val="666"/>
        </w:trPr>
        <w:tc>
          <w:tcPr>
            <w:tcW w:w="1151" w:type="pct"/>
            <w:vMerge/>
          </w:tcPr>
          <w:p w14:paraId="701CE9EB" w14:textId="77777777" w:rsidR="00C25DD0" w:rsidRPr="00C25DD0" w:rsidRDefault="00C25DD0" w:rsidP="00C25DD0">
            <w:pPr>
              <w:spacing w:before="0" w:after="0" w:line="276" w:lineRule="auto"/>
              <w:jc w:val="center"/>
              <w:rPr>
                <w:rFonts w:ascii="Arial" w:eastAsia="Times New Roman" w:hAnsi="Arial" w:cs="Arial"/>
                <w:szCs w:val="24"/>
                <w:lang w:val="en-GB" w:eastAsia="en-NZ"/>
              </w:rPr>
            </w:pPr>
          </w:p>
        </w:tc>
        <w:tc>
          <w:tcPr>
            <w:tcW w:w="527" w:type="pct"/>
          </w:tcPr>
          <w:p w14:paraId="2046C25A" w14:textId="77777777" w:rsidR="00C25DD0" w:rsidRPr="00C25DD0" w:rsidRDefault="00C25DD0" w:rsidP="00C25DD0">
            <w:pPr>
              <w:spacing w:before="0" w:after="0" w:line="276" w:lineRule="auto"/>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Northern</w:t>
            </w:r>
          </w:p>
        </w:tc>
        <w:tc>
          <w:tcPr>
            <w:tcW w:w="296" w:type="pct"/>
          </w:tcPr>
          <w:p w14:paraId="559AB26A"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8%</w:t>
            </w:r>
          </w:p>
        </w:tc>
        <w:tc>
          <w:tcPr>
            <w:tcW w:w="263" w:type="pct"/>
          </w:tcPr>
          <w:p w14:paraId="2ABB5D6F" w14:textId="4EC63802"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9%</w:t>
            </w:r>
            <w:r w:rsidR="00FE282C">
              <w:rPr>
                <w:rFonts w:ascii="Arial" w:eastAsia="Times New Roman" w:hAnsi="Arial" w:cs="Arial"/>
                <w:color w:val="000000"/>
                <w:szCs w:val="24"/>
                <w:lang w:val="en-GB" w:eastAsia="en-NZ"/>
              </w:rPr>
              <w:t xml:space="preserve"> </w:t>
            </w:r>
            <w:r w:rsidRPr="00C25DD0">
              <w:rPr>
                <w:rFonts w:ascii="Wingdings" w:eastAsia="Wingdings" w:hAnsi="Wingdings" w:cs="Wingdings"/>
                <w:color w:val="D13438"/>
                <w:szCs w:val="24"/>
                <w:lang w:val="en-GB"/>
              </w:rPr>
              <w:t>Ý</w:t>
            </w:r>
          </w:p>
        </w:tc>
        <w:tc>
          <w:tcPr>
            <w:tcW w:w="329" w:type="pct"/>
          </w:tcPr>
          <w:p w14:paraId="70FC2564" w14:textId="2543989D"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9%</w:t>
            </w:r>
            <w:r w:rsidR="00FE282C">
              <w:rPr>
                <w:rFonts w:ascii="Arial" w:eastAsia="Times New Roman" w:hAnsi="Arial" w:cs="Arial"/>
                <w:color w:val="000000"/>
                <w:szCs w:val="24"/>
                <w:lang w:val="en-GB" w:eastAsia="en-NZ"/>
              </w:rPr>
              <w:t xml:space="preserve"> </w:t>
            </w:r>
            <w:r w:rsidRPr="00CE0F64">
              <w:rPr>
                <w:rFonts w:ascii="Wingdings" w:eastAsia="Wingdings" w:hAnsi="Wingdings" w:cs="Calibri"/>
                <w:b/>
                <w:color w:val="FFC000"/>
                <w:szCs w:val="24"/>
                <w:lang w:val="en-GB" w:eastAsia="en-NZ"/>
              </w:rPr>
              <w:t>Ü</w:t>
            </w:r>
          </w:p>
        </w:tc>
        <w:tc>
          <w:tcPr>
            <w:tcW w:w="297" w:type="pct"/>
          </w:tcPr>
          <w:p w14:paraId="143364C4" w14:textId="6E05C33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9%</w:t>
            </w:r>
            <w:r w:rsidR="00FE282C">
              <w:rPr>
                <w:rFonts w:ascii="Arial" w:eastAsia="Times New Roman" w:hAnsi="Arial" w:cs="Arial"/>
                <w:color w:val="000000"/>
                <w:szCs w:val="24"/>
                <w:lang w:val="en-GB" w:eastAsia="en-NZ"/>
              </w:rPr>
              <w:t xml:space="preserve"> </w:t>
            </w:r>
            <w:r w:rsidRPr="00CE0F64">
              <w:rPr>
                <w:rFonts w:ascii="Wingdings" w:eastAsia="Wingdings" w:hAnsi="Wingdings" w:cs="Calibri"/>
                <w:b/>
                <w:color w:val="FFC000"/>
                <w:szCs w:val="24"/>
                <w:lang w:val="en-GB" w:eastAsia="en-NZ"/>
              </w:rPr>
              <w:t>Ü</w:t>
            </w:r>
          </w:p>
        </w:tc>
        <w:tc>
          <w:tcPr>
            <w:tcW w:w="328" w:type="pct"/>
          </w:tcPr>
          <w:p w14:paraId="12AD7B5D" w14:textId="26AA1F83"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8%</w:t>
            </w:r>
            <w:r w:rsidR="00FE282C">
              <w:rPr>
                <w:rFonts w:ascii="Arial" w:eastAsia="Times New Roman" w:hAnsi="Arial" w:cs="Arial"/>
                <w:color w:val="000000"/>
                <w:szCs w:val="24"/>
                <w:lang w:val="en-GB" w:eastAsia="en-NZ"/>
              </w:rPr>
              <w:t xml:space="preserve"> </w:t>
            </w:r>
            <w:r w:rsidRPr="00C25DD0">
              <w:rPr>
                <w:rFonts w:ascii="Wingdings" w:eastAsia="Wingdings" w:hAnsi="Wingdings" w:cs="Wingdings"/>
                <w:color w:val="00B050"/>
                <w:szCs w:val="24"/>
                <w:lang w:val="en-GB"/>
              </w:rPr>
              <w:t>Þ</w:t>
            </w:r>
          </w:p>
        </w:tc>
        <w:tc>
          <w:tcPr>
            <w:tcW w:w="1809" w:type="pct"/>
            <w:vMerge/>
          </w:tcPr>
          <w:p w14:paraId="24624F31"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p>
        </w:tc>
      </w:tr>
      <w:tr w:rsidR="00D330D1" w:rsidRPr="00C25DD0" w14:paraId="129B6011" w14:textId="77777777" w:rsidTr="00FE282C">
        <w:trPr>
          <w:trHeight w:val="760"/>
        </w:trPr>
        <w:tc>
          <w:tcPr>
            <w:tcW w:w="1151" w:type="pct"/>
            <w:vMerge/>
          </w:tcPr>
          <w:p w14:paraId="0378A4F7" w14:textId="77777777" w:rsidR="00C25DD0" w:rsidRPr="00C25DD0" w:rsidRDefault="00C25DD0" w:rsidP="00C25DD0">
            <w:pPr>
              <w:spacing w:before="0" w:after="0" w:line="276" w:lineRule="auto"/>
              <w:jc w:val="center"/>
              <w:rPr>
                <w:rFonts w:ascii="Arial" w:eastAsia="Times New Roman" w:hAnsi="Arial" w:cs="Arial"/>
                <w:szCs w:val="24"/>
                <w:lang w:val="en-GB" w:eastAsia="en-NZ"/>
              </w:rPr>
            </w:pPr>
          </w:p>
        </w:tc>
        <w:tc>
          <w:tcPr>
            <w:tcW w:w="527" w:type="pct"/>
          </w:tcPr>
          <w:p w14:paraId="465D5698" w14:textId="77777777" w:rsidR="00C25DD0" w:rsidRPr="00C25DD0" w:rsidRDefault="00C25DD0" w:rsidP="00C25DD0">
            <w:pPr>
              <w:spacing w:before="0" w:after="0" w:line="276" w:lineRule="auto"/>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Te Manawa Taki</w:t>
            </w:r>
          </w:p>
        </w:tc>
        <w:tc>
          <w:tcPr>
            <w:tcW w:w="296" w:type="pct"/>
          </w:tcPr>
          <w:p w14:paraId="05CFEE46"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8%</w:t>
            </w:r>
          </w:p>
        </w:tc>
        <w:tc>
          <w:tcPr>
            <w:tcW w:w="263" w:type="pct"/>
          </w:tcPr>
          <w:p w14:paraId="14F499DF" w14:textId="255F7FB1"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8%</w:t>
            </w:r>
            <w:r w:rsidR="00FE282C">
              <w:rPr>
                <w:rFonts w:ascii="Arial" w:eastAsia="Times New Roman" w:hAnsi="Arial" w:cs="Arial"/>
                <w:color w:val="000000"/>
                <w:szCs w:val="24"/>
                <w:lang w:val="en-GB" w:eastAsia="en-NZ"/>
              </w:rPr>
              <w:t xml:space="preserve"> </w:t>
            </w:r>
            <w:r w:rsidRPr="00CE0F64">
              <w:rPr>
                <w:rFonts w:ascii="Wingdings" w:eastAsia="Wingdings" w:hAnsi="Wingdings" w:cs="Calibri"/>
                <w:b/>
                <w:color w:val="FFC000"/>
                <w:szCs w:val="24"/>
                <w:lang w:val="en-GB" w:eastAsia="en-NZ"/>
              </w:rPr>
              <w:t>Ü</w:t>
            </w:r>
          </w:p>
        </w:tc>
        <w:tc>
          <w:tcPr>
            <w:tcW w:w="329" w:type="pct"/>
          </w:tcPr>
          <w:p w14:paraId="06BFBA76" w14:textId="2D4288FE"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8%</w:t>
            </w:r>
            <w:r w:rsidR="00FE282C">
              <w:rPr>
                <w:rFonts w:ascii="Arial" w:eastAsia="Times New Roman" w:hAnsi="Arial" w:cs="Arial"/>
                <w:color w:val="000000"/>
                <w:szCs w:val="24"/>
                <w:lang w:val="en-GB" w:eastAsia="en-NZ"/>
              </w:rPr>
              <w:t xml:space="preserve"> </w:t>
            </w:r>
            <w:r w:rsidRPr="00CE0F64">
              <w:rPr>
                <w:rFonts w:ascii="Wingdings" w:eastAsia="Wingdings" w:hAnsi="Wingdings" w:cs="Calibri"/>
                <w:b/>
                <w:color w:val="FFC000"/>
                <w:szCs w:val="24"/>
                <w:lang w:val="en-GB" w:eastAsia="en-NZ"/>
              </w:rPr>
              <w:t>Ü</w:t>
            </w:r>
          </w:p>
        </w:tc>
        <w:tc>
          <w:tcPr>
            <w:tcW w:w="297" w:type="pct"/>
          </w:tcPr>
          <w:p w14:paraId="0460E80F" w14:textId="6E1EFE1A"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8%</w:t>
            </w:r>
            <w:r w:rsidR="00FE282C">
              <w:rPr>
                <w:rFonts w:ascii="Arial" w:eastAsia="Times New Roman" w:hAnsi="Arial" w:cs="Arial"/>
                <w:color w:val="000000"/>
                <w:szCs w:val="24"/>
                <w:lang w:val="en-GB" w:eastAsia="en-NZ"/>
              </w:rPr>
              <w:t xml:space="preserve"> </w:t>
            </w:r>
            <w:r w:rsidRPr="00CE0F64">
              <w:rPr>
                <w:rFonts w:ascii="Wingdings" w:eastAsia="Wingdings" w:hAnsi="Wingdings" w:cs="Calibri"/>
                <w:b/>
                <w:color w:val="FFC000"/>
                <w:szCs w:val="24"/>
                <w:lang w:val="en-GB" w:eastAsia="en-NZ"/>
              </w:rPr>
              <w:t>Ü</w:t>
            </w:r>
          </w:p>
        </w:tc>
        <w:tc>
          <w:tcPr>
            <w:tcW w:w="328" w:type="pct"/>
          </w:tcPr>
          <w:p w14:paraId="14B33ADA" w14:textId="6787BDE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7%</w:t>
            </w:r>
            <w:r w:rsidR="00FE282C">
              <w:rPr>
                <w:rFonts w:ascii="Arial" w:eastAsia="Times New Roman" w:hAnsi="Arial" w:cs="Arial"/>
                <w:color w:val="000000"/>
                <w:szCs w:val="24"/>
                <w:lang w:val="en-GB" w:eastAsia="en-NZ"/>
              </w:rPr>
              <w:t xml:space="preserve"> </w:t>
            </w:r>
            <w:r w:rsidRPr="00C25DD0">
              <w:rPr>
                <w:rFonts w:ascii="Wingdings" w:eastAsia="Wingdings" w:hAnsi="Wingdings" w:cs="Wingdings"/>
                <w:color w:val="00B050"/>
                <w:szCs w:val="24"/>
                <w:lang w:val="en-GB"/>
              </w:rPr>
              <w:t>Þ</w:t>
            </w:r>
          </w:p>
        </w:tc>
        <w:tc>
          <w:tcPr>
            <w:tcW w:w="1809" w:type="pct"/>
            <w:vMerge/>
          </w:tcPr>
          <w:p w14:paraId="3AE587E6"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p>
        </w:tc>
      </w:tr>
      <w:tr w:rsidR="00D330D1" w:rsidRPr="00C25DD0" w14:paraId="17290D99" w14:textId="77777777" w:rsidTr="00FE282C">
        <w:trPr>
          <w:trHeight w:val="645"/>
        </w:trPr>
        <w:tc>
          <w:tcPr>
            <w:tcW w:w="1151" w:type="pct"/>
            <w:vMerge/>
          </w:tcPr>
          <w:p w14:paraId="6DC13A06" w14:textId="77777777" w:rsidR="00C25DD0" w:rsidRPr="00C25DD0" w:rsidRDefault="00C25DD0" w:rsidP="00C25DD0">
            <w:pPr>
              <w:spacing w:before="0" w:after="0" w:line="276" w:lineRule="auto"/>
              <w:jc w:val="center"/>
              <w:rPr>
                <w:rFonts w:ascii="Arial" w:eastAsia="Times New Roman" w:hAnsi="Arial" w:cs="Arial"/>
                <w:szCs w:val="24"/>
                <w:lang w:val="en-GB" w:eastAsia="en-NZ"/>
              </w:rPr>
            </w:pPr>
          </w:p>
        </w:tc>
        <w:tc>
          <w:tcPr>
            <w:tcW w:w="527" w:type="pct"/>
          </w:tcPr>
          <w:p w14:paraId="28DBEDD2" w14:textId="77777777" w:rsidR="00C25DD0" w:rsidRPr="00C25DD0" w:rsidRDefault="00C25DD0" w:rsidP="00C25DD0">
            <w:pPr>
              <w:spacing w:before="0" w:after="0" w:line="276" w:lineRule="auto"/>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Central</w:t>
            </w:r>
          </w:p>
        </w:tc>
        <w:tc>
          <w:tcPr>
            <w:tcW w:w="296" w:type="pct"/>
          </w:tcPr>
          <w:p w14:paraId="183F4BA9"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8%</w:t>
            </w:r>
          </w:p>
        </w:tc>
        <w:tc>
          <w:tcPr>
            <w:tcW w:w="263" w:type="pct"/>
          </w:tcPr>
          <w:p w14:paraId="4F4658FA" w14:textId="5BB27068"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7%</w:t>
            </w:r>
            <w:r w:rsidR="00FE282C">
              <w:rPr>
                <w:rFonts w:ascii="Arial" w:eastAsia="Times New Roman" w:hAnsi="Arial" w:cs="Arial"/>
                <w:color w:val="000000"/>
                <w:szCs w:val="24"/>
                <w:lang w:val="en-GB" w:eastAsia="en-NZ"/>
              </w:rPr>
              <w:t xml:space="preserve"> </w:t>
            </w:r>
            <w:r w:rsidRPr="00C25DD0">
              <w:rPr>
                <w:rFonts w:ascii="Wingdings" w:eastAsia="Wingdings" w:hAnsi="Wingdings" w:cs="Wingdings"/>
                <w:color w:val="00B050"/>
                <w:szCs w:val="24"/>
                <w:lang w:val="en-GB"/>
              </w:rPr>
              <w:t>Þ</w:t>
            </w:r>
          </w:p>
        </w:tc>
        <w:tc>
          <w:tcPr>
            <w:tcW w:w="329" w:type="pct"/>
          </w:tcPr>
          <w:p w14:paraId="58D04CB4" w14:textId="6C8E3676"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8%</w:t>
            </w:r>
            <w:r w:rsidR="00FE282C">
              <w:rPr>
                <w:rFonts w:ascii="Arial" w:eastAsia="Times New Roman" w:hAnsi="Arial" w:cs="Arial"/>
                <w:color w:val="000000"/>
                <w:szCs w:val="24"/>
                <w:lang w:val="en-GB" w:eastAsia="en-NZ"/>
              </w:rPr>
              <w:t xml:space="preserve"> </w:t>
            </w:r>
            <w:r w:rsidRPr="00C25DD0">
              <w:rPr>
                <w:rFonts w:ascii="Wingdings" w:eastAsia="Wingdings" w:hAnsi="Wingdings" w:cs="Wingdings"/>
                <w:color w:val="D13438"/>
                <w:szCs w:val="24"/>
                <w:lang w:val="en-GB"/>
              </w:rPr>
              <w:t>Ý</w:t>
            </w:r>
          </w:p>
        </w:tc>
        <w:tc>
          <w:tcPr>
            <w:tcW w:w="297" w:type="pct"/>
          </w:tcPr>
          <w:p w14:paraId="4A1B8615" w14:textId="360725A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7%</w:t>
            </w:r>
            <w:r w:rsidR="00FE282C">
              <w:rPr>
                <w:rFonts w:ascii="Arial" w:eastAsia="Times New Roman" w:hAnsi="Arial" w:cs="Arial"/>
                <w:color w:val="000000"/>
                <w:szCs w:val="24"/>
                <w:lang w:val="en-GB" w:eastAsia="en-NZ"/>
              </w:rPr>
              <w:t xml:space="preserve"> </w:t>
            </w:r>
            <w:r w:rsidRPr="00C25DD0">
              <w:rPr>
                <w:rFonts w:ascii="Wingdings" w:eastAsia="Wingdings" w:hAnsi="Wingdings" w:cs="Wingdings"/>
                <w:color w:val="00B050"/>
                <w:szCs w:val="24"/>
                <w:lang w:val="en-GB"/>
              </w:rPr>
              <w:t>Þ</w:t>
            </w:r>
          </w:p>
        </w:tc>
        <w:tc>
          <w:tcPr>
            <w:tcW w:w="328" w:type="pct"/>
          </w:tcPr>
          <w:p w14:paraId="1CF3B4AA" w14:textId="5D8D3489"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7%</w:t>
            </w:r>
            <w:r w:rsidR="00FE282C">
              <w:rPr>
                <w:rFonts w:ascii="Arial" w:eastAsia="Times New Roman" w:hAnsi="Arial" w:cs="Arial"/>
                <w:color w:val="000000"/>
                <w:szCs w:val="24"/>
                <w:lang w:val="en-GB" w:eastAsia="en-NZ"/>
              </w:rPr>
              <w:t xml:space="preserve"> </w:t>
            </w:r>
            <w:r w:rsidRPr="00CE0F64">
              <w:rPr>
                <w:rFonts w:ascii="Wingdings" w:eastAsia="Wingdings" w:hAnsi="Wingdings" w:cs="Calibri"/>
                <w:b/>
                <w:color w:val="FFC000"/>
                <w:szCs w:val="24"/>
                <w:lang w:val="en-GB" w:eastAsia="en-NZ"/>
              </w:rPr>
              <w:t>Ü</w:t>
            </w:r>
          </w:p>
        </w:tc>
        <w:tc>
          <w:tcPr>
            <w:tcW w:w="1809" w:type="pct"/>
            <w:vMerge/>
          </w:tcPr>
          <w:p w14:paraId="4C6699DA"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p>
        </w:tc>
      </w:tr>
      <w:tr w:rsidR="00D330D1" w:rsidRPr="00C25DD0" w14:paraId="5B0E51F7" w14:textId="77777777" w:rsidTr="00FE282C">
        <w:trPr>
          <w:trHeight w:val="838"/>
        </w:trPr>
        <w:tc>
          <w:tcPr>
            <w:tcW w:w="1151" w:type="pct"/>
            <w:vMerge/>
          </w:tcPr>
          <w:p w14:paraId="1CFB7269" w14:textId="77777777" w:rsidR="00C25DD0" w:rsidRPr="00C25DD0" w:rsidRDefault="00C25DD0" w:rsidP="00C25DD0">
            <w:pPr>
              <w:spacing w:before="0" w:after="0" w:line="276" w:lineRule="auto"/>
              <w:jc w:val="center"/>
              <w:rPr>
                <w:rFonts w:ascii="Arial" w:eastAsia="Times New Roman" w:hAnsi="Arial" w:cs="Arial"/>
                <w:szCs w:val="24"/>
                <w:lang w:val="en-GB" w:eastAsia="en-NZ"/>
              </w:rPr>
            </w:pPr>
          </w:p>
        </w:tc>
        <w:tc>
          <w:tcPr>
            <w:tcW w:w="527" w:type="pct"/>
          </w:tcPr>
          <w:p w14:paraId="7560F916" w14:textId="77777777" w:rsidR="00C25DD0" w:rsidRPr="00C25DD0" w:rsidRDefault="00C25DD0" w:rsidP="00C25DD0">
            <w:pPr>
              <w:spacing w:before="0" w:after="0" w:line="276" w:lineRule="auto"/>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Te Waipounamu</w:t>
            </w:r>
          </w:p>
        </w:tc>
        <w:tc>
          <w:tcPr>
            <w:tcW w:w="296" w:type="pct"/>
          </w:tcPr>
          <w:p w14:paraId="2440C41E"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7%</w:t>
            </w:r>
          </w:p>
        </w:tc>
        <w:tc>
          <w:tcPr>
            <w:tcW w:w="263" w:type="pct"/>
          </w:tcPr>
          <w:p w14:paraId="63B087F1" w14:textId="678F2E14"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6%</w:t>
            </w:r>
            <w:r w:rsidR="00FE282C">
              <w:rPr>
                <w:rFonts w:ascii="Arial" w:eastAsia="Times New Roman" w:hAnsi="Arial" w:cs="Arial"/>
                <w:color w:val="000000"/>
                <w:szCs w:val="24"/>
                <w:lang w:val="en-GB" w:eastAsia="en-NZ"/>
              </w:rPr>
              <w:t xml:space="preserve"> </w:t>
            </w:r>
            <w:r w:rsidRPr="00C25DD0">
              <w:rPr>
                <w:rFonts w:ascii="Wingdings" w:eastAsia="Wingdings" w:hAnsi="Wingdings" w:cs="Wingdings"/>
                <w:color w:val="00B050"/>
                <w:szCs w:val="24"/>
                <w:lang w:val="en-GB"/>
              </w:rPr>
              <w:t>Þ</w:t>
            </w:r>
          </w:p>
        </w:tc>
        <w:tc>
          <w:tcPr>
            <w:tcW w:w="329" w:type="pct"/>
          </w:tcPr>
          <w:p w14:paraId="065C089D" w14:textId="26CC43EE"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6%</w:t>
            </w:r>
            <w:r w:rsidR="00FE282C">
              <w:rPr>
                <w:rFonts w:ascii="Arial" w:eastAsia="Times New Roman" w:hAnsi="Arial" w:cs="Arial"/>
                <w:color w:val="000000"/>
                <w:szCs w:val="24"/>
                <w:lang w:val="en-GB" w:eastAsia="en-NZ"/>
              </w:rPr>
              <w:t xml:space="preserve"> </w:t>
            </w:r>
            <w:r w:rsidRPr="00CE0F64">
              <w:rPr>
                <w:rFonts w:ascii="Wingdings" w:eastAsia="Wingdings" w:hAnsi="Wingdings" w:cs="Calibri"/>
                <w:b/>
                <w:color w:val="FFC000"/>
                <w:szCs w:val="24"/>
                <w:lang w:val="en-GB" w:eastAsia="en-NZ"/>
              </w:rPr>
              <w:t>Ü</w:t>
            </w:r>
          </w:p>
        </w:tc>
        <w:tc>
          <w:tcPr>
            <w:tcW w:w="297" w:type="pct"/>
          </w:tcPr>
          <w:p w14:paraId="13C31D45" w14:textId="4B3C5B66"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6%</w:t>
            </w:r>
            <w:r w:rsidR="00FE282C">
              <w:rPr>
                <w:rFonts w:ascii="Arial" w:eastAsia="Times New Roman" w:hAnsi="Arial" w:cs="Arial"/>
                <w:color w:val="000000"/>
                <w:szCs w:val="24"/>
                <w:lang w:val="en-GB" w:eastAsia="en-NZ"/>
              </w:rPr>
              <w:t xml:space="preserve"> </w:t>
            </w:r>
            <w:r w:rsidRPr="00CE0F64">
              <w:rPr>
                <w:rFonts w:ascii="Wingdings" w:eastAsia="Wingdings" w:hAnsi="Wingdings" w:cs="Calibri"/>
                <w:b/>
                <w:color w:val="FFC000"/>
                <w:szCs w:val="24"/>
                <w:lang w:val="en-GB" w:eastAsia="en-NZ"/>
              </w:rPr>
              <w:t>Ü</w:t>
            </w:r>
          </w:p>
        </w:tc>
        <w:tc>
          <w:tcPr>
            <w:tcW w:w="328" w:type="pct"/>
          </w:tcPr>
          <w:p w14:paraId="3F469651" w14:textId="0D256203"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6%</w:t>
            </w:r>
            <w:r w:rsidR="00FE282C">
              <w:rPr>
                <w:rFonts w:ascii="Arial" w:eastAsia="Times New Roman" w:hAnsi="Arial" w:cs="Arial"/>
                <w:color w:val="000000"/>
                <w:szCs w:val="24"/>
                <w:lang w:val="en-GB" w:eastAsia="en-NZ"/>
              </w:rPr>
              <w:t xml:space="preserve"> </w:t>
            </w:r>
            <w:r w:rsidRPr="00CE0F64">
              <w:rPr>
                <w:rFonts w:ascii="Wingdings" w:eastAsia="Wingdings" w:hAnsi="Wingdings" w:cs="Calibri"/>
                <w:b/>
                <w:color w:val="FFC000"/>
                <w:szCs w:val="24"/>
                <w:lang w:val="en-GB" w:eastAsia="en-NZ"/>
              </w:rPr>
              <w:t>Ü</w:t>
            </w:r>
          </w:p>
        </w:tc>
        <w:tc>
          <w:tcPr>
            <w:tcW w:w="1809" w:type="pct"/>
            <w:vMerge/>
          </w:tcPr>
          <w:p w14:paraId="12016863"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p>
        </w:tc>
      </w:tr>
      <w:tr w:rsidR="00D330D1" w:rsidRPr="00C25DD0" w14:paraId="5D17A80C" w14:textId="77777777" w:rsidTr="00FE282C">
        <w:trPr>
          <w:trHeight w:val="554"/>
        </w:trPr>
        <w:tc>
          <w:tcPr>
            <w:tcW w:w="1151" w:type="pct"/>
            <w:vMerge/>
          </w:tcPr>
          <w:p w14:paraId="4F6B4CD1" w14:textId="77777777" w:rsidR="00C25DD0" w:rsidRPr="00C25DD0" w:rsidRDefault="00C25DD0" w:rsidP="00C25DD0">
            <w:pPr>
              <w:spacing w:before="0" w:after="0" w:line="276" w:lineRule="auto"/>
              <w:jc w:val="center"/>
              <w:rPr>
                <w:rFonts w:ascii="Arial" w:eastAsia="Times New Roman" w:hAnsi="Arial" w:cs="Arial"/>
                <w:szCs w:val="24"/>
                <w:lang w:val="en-GB" w:eastAsia="en-NZ"/>
              </w:rPr>
            </w:pPr>
          </w:p>
        </w:tc>
        <w:tc>
          <w:tcPr>
            <w:tcW w:w="527" w:type="pct"/>
          </w:tcPr>
          <w:p w14:paraId="626ED0D4" w14:textId="77777777" w:rsidR="00C25DD0" w:rsidRPr="00C25DD0" w:rsidRDefault="00C25DD0" w:rsidP="00C25DD0">
            <w:pPr>
              <w:spacing w:before="0" w:after="0" w:line="276" w:lineRule="auto"/>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Total</w:t>
            </w:r>
          </w:p>
        </w:tc>
        <w:tc>
          <w:tcPr>
            <w:tcW w:w="296" w:type="pct"/>
          </w:tcPr>
          <w:p w14:paraId="504E4C3A"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8%</w:t>
            </w:r>
          </w:p>
        </w:tc>
        <w:tc>
          <w:tcPr>
            <w:tcW w:w="263" w:type="pct"/>
          </w:tcPr>
          <w:p w14:paraId="66CF2688" w14:textId="7AE7AF78"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8%</w:t>
            </w:r>
            <w:r w:rsidR="00FE282C">
              <w:rPr>
                <w:rFonts w:ascii="Arial" w:eastAsia="Times New Roman" w:hAnsi="Arial" w:cs="Arial"/>
                <w:color w:val="000000"/>
                <w:szCs w:val="24"/>
                <w:lang w:val="en-GB" w:eastAsia="en-NZ"/>
              </w:rPr>
              <w:t xml:space="preserve"> </w:t>
            </w:r>
            <w:r w:rsidRPr="00CE0F64">
              <w:rPr>
                <w:rFonts w:ascii="Wingdings" w:eastAsia="Wingdings" w:hAnsi="Wingdings" w:cs="Calibri"/>
                <w:b/>
                <w:color w:val="FFC000"/>
                <w:szCs w:val="24"/>
                <w:lang w:val="en-GB" w:eastAsia="en-NZ"/>
              </w:rPr>
              <w:t>Ü</w:t>
            </w:r>
          </w:p>
        </w:tc>
        <w:tc>
          <w:tcPr>
            <w:tcW w:w="329" w:type="pct"/>
          </w:tcPr>
          <w:p w14:paraId="34062AF7" w14:textId="0556CD11"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8%</w:t>
            </w:r>
            <w:r w:rsidR="00FE282C">
              <w:rPr>
                <w:rFonts w:ascii="Arial" w:eastAsia="Times New Roman" w:hAnsi="Arial" w:cs="Arial"/>
                <w:color w:val="000000"/>
                <w:szCs w:val="24"/>
                <w:lang w:val="en-GB" w:eastAsia="en-NZ"/>
              </w:rPr>
              <w:t xml:space="preserve"> </w:t>
            </w:r>
            <w:r w:rsidRPr="00CE0F64">
              <w:rPr>
                <w:rFonts w:ascii="Wingdings" w:eastAsia="Wingdings" w:hAnsi="Wingdings" w:cs="Calibri"/>
                <w:b/>
                <w:color w:val="FFC000"/>
                <w:szCs w:val="24"/>
                <w:lang w:val="en-GB" w:eastAsia="en-NZ"/>
              </w:rPr>
              <w:t>Ü</w:t>
            </w:r>
          </w:p>
        </w:tc>
        <w:tc>
          <w:tcPr>
            <w:tcW w:w="297" w:type="pct"/>
          </w:tcPr>
          <w:p w14:paraId="6BAB0D5C" w14:textId="658B28D3"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8%</w:t>
            </w:r>
            <w:r w:rsidR="00FE282C">
              <w:rPr>
                <w:rFonts w:ascii="Arial" w:eastAsia="Times New Roman" w:hAnsi="Arial" w:cs="Arial"/>
                <w:color w:val="000000"/>
                <w:szCs w:val="24"/>
                <w:lang w:val="en-GB" w:eastAsia="en-NZ"/>
              </w:rPr>
              <w:t xml:space="preserve"> </w:t>
            </w:r>
            <w:r w:rsidRPr="00CE0F64">
              <w:rPr>
                <w:rFonts w:ascii="Wingdings" w:eastAsia="Wingdings" w:hAnsi="Wingdings" w:cs="Calibri"/>
                <w:b/>
                <w:color w:val="FFC000"/>
                <w:szCs w:val="24"/>
                <w:lang w:val="en-GB" w:eastAsia="en-NZ"/>
              </w:rPr>
              <w:t>Ü</w:t>
            </w:r>
          </w:p>
        </w:tc>
        <w:tc>
          <w:tcPr>
            <w:tcW w:w="328" w:type="pct"/>
          </w:tcPr>
          <w:p w14:paraId="1C2C7524" w14:textId="6E2DB254"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7%</w:t>
            </w:r>
            <w:r w:rsidR="00FE282C">
              <w:rPr>
                <w:rFonts w:ascii="Arial" w:eastAsia="Times New Roman" w:hAnsi="Arial" w:cs="Arial"/>
                <w:color w:val="000000"/>
                <w:szCs w:val="24"/>
                <w:lang w:val="en-GB" w:eastAsia="en-NZ"/>
              </w:rPr>
              <w:t xml:space="preserve"> </w:t>
            </w:r>
            <w:r w:rsidRPr="00C25DD0">
              <w:rPr>
                <w:rFonts w:ascii="Wingdings" w:eastAsia="Wingdings" w:hAnsi="Wingdings" w:cs="Wingdings"/>
                <w:color w:val="00B050"/>
                <w:szCs w:val="24"/>
                <w:lang w:val="en-GB"/>
              </w:rPr>
              <w:t>Þ</w:t>
            </w:r>
          </w:p>
        </w:tc>
        <w:tc>
          <w:tcPr>
            <w:tcW w:w="1809" w:type="pct"/>
            <w:vMerge/>
          </w:tcPr>
          <w:p w14:paraId="70969D26"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p>
        </w:tc>
      </w:tr>
      <w:tr w:rsidR="00C25DD0" w:rsidRPr="00C25DD0" w14:paraId="37DB511F" w14:textId="77777777" w:rsidTr="00D330D1">
        <w:trPr>
          <w:trHeight w:val="300"/>
        </w:trPr>
        <w:tc>
          <w:tcPr>
            <w:tcW w:w="1151" w:type="pct"/>
          </w:tcPr>
          <w:p w14:paraId="6F96CE44" w14:textId="77777777" w:rsidR="00C25DD0" w:rsidRPr="00C25DD0" w:rsidRDefault="00C25DD0" w:rsidP="00C25DD0">
            <w:pPr>
              <w:spacing w:before="0" w:after="0" w:line="276" w:lineRule="auto"/>
              <w:rPr>
                <w:rFonts w:ascii="Arial" w:eastAsia="Times New Roman" w:hAnsi="Arial" w:cs="Arial"/>
                <w:b/>
                <w:bCs/>
                <w:szCs w:val="24"/>
                <w:lang w:val="en-GB" w:eastAsia="en-NZ"/>
              </w:rPr>
            </w:pPr>
            <w:r w:rsidRPr="00C25DD0">
              <w:rPr>
                <w:rFonts w:ascii="Arial" w:eastAsia="Times New Roman" w:hAnsi="Arial" w:cs="Arial"/>
                <w:b/>
                <w:bCs/>
                <w:szCs w:val="24"/>
                <w:lang w:val="en-GB" w:eastAsia="en-NZ"/>
              </w:rPr>
              <w:t>Comments</w:t>
            </w:r>
          </w:p>
          <w:p w14:paraId="0773F4DA" w14:textId="77777777" w:rsidR="00C25DD0" w:rsidRPr="00C25DD0" w:rsidRDefault="00C25DD0" w:rsidP="00C25DD0">
            <w:pPr>
              <w:spacing w:before="0" w:after="0" w:line="276" w:lineRule="auto"/>
              <w:jc w:val="center"/>
              <w:rPr>
                <w:rFonts w:ascii="Arial" w:eastAsia="Times New Roman" w:hAnsi="Arial" w:cs="Arial"/>
                <w:szCs w:val="24"/>
                <w:lang w:val="en-GB" w:eastAsia="en-NZ"/>
              </w:rPr>
            </w:pPr>
          </w:p>
        </w:tc>
        <w:tc>
          <w:tcPr>
            <w:tcW w:w="3849" w:type="pct"/>
            <w:gridSpan w:val="7"/>
          </w:tcPr>
          <w:p w14:paraId="06850346" w14:textId="77777777" w:rsidR="00C25DD0" w:rsidRPr="00C25DD0" w:rsidRDefault="00C25DD0" w:rsidP="00C25DD0">
            <w:pPr>
              <w:spacing w:before="100" w:after="100" w:line="276" w:lineRule="auto"/>
              <w:rPr>
                <w:rFonts w:ascii="Arial" w:eastAsia="Times New Roman" w:hAnsi="Arial" w:cs="Arial"/>
                <w:szCs w:val="24"/>
                <w:lang w:eastAsia="en-NZ"/>
              </w:rPr>
            </w:pPr>
            <w:r w:rsidRPr="00C25DD0">
              <w:rPr>
                <w:rFonts w:ascii="Arial" w:eastAsia="Times New Roman" w:hAnsi="Arial" w:cs="Arial"/>
                <w:szCs w:val="24"/>
                <w:lang w:eastAsia="en-NZ"/>
              </w:rPr>
              <w:t>This quarter has seen a decrease in performance regarding the missed appointment target, with no variation for Māori.</w:t>
            </w:r>
            <w:r w:rsidRPr="00C25DD0">
              <w:rPr>
                <w:rFonts w:ascii="Arial" w:eastAsia="Arial" w:hAnsi="Arial" w:cs="Arial"/>
                <w:color w:val="000000"/>
                <w:szCs w:val="24"/>
                <w:lang w:val="en-GB" w:eastAsia="en-NZ"/>
              </w:rPr>
              <w:t xml:space="preserve"> There was activity within some districts and regions to address this, including work to better understand missed surgical procedures and barriers to appointment attendance and providing support for Māori and Pacific peoples to access care. This will be an area of more focused national activity in the coming 6-12 months as we look to action further recommendations in the Reset and Restore plan, particularly around access initiatives, and work in the Outpatient space.</w:t>
            </w:r>
          </w:p>
        </w:tc>
      </w:tr>
    </w:tbl>
    <w:p w14:paraId="6F14438E" w14:textId="77777777" w:rsidR="00C25DD0" w:rsidRDefault="00C25DD0" w:rsidP="004E25D1">
      <w:pPr>
        <w:pStyle w:val="TableText"/>
      </w:pPr>
    </w:p>
    <w:p w14:paraId="5FD1966F" w14:textId="16E1CA22" w:rsidR="00C25DD0" w:rsidRDefault="00C25DD0" w:rsidP="00C25DD0">
      <w:pPr>
        <w:pStyle w:val="Heading4"/>
      </w:pPr>
      <w:r w:rsidRPr="00C25DD0">
        <w:lastRenderedPageBreak/>
        <w:t>Te Pae Tata Priority 5 - Develop greater use of digital services to provide more care in homes and communities</w:t>
      </w:r>
    </w:p>
    <w:tbl>
      <w:tblPr>
        <w:tblStyle w:val="TeWhatuOra"/>
        <w:tblW w:w="5000" w:type="pct"/>
        <w:tblLook w:val="0420" w:firstRow="1" w:lastRow="0" w:firstColumn="0" w:lastColumn="0" w:noHBand="0" w:noVBand="1"/>
      </w:tblPr>
      <w:tblGrid>
        <w:gridCol w:w="4956"/>
        <w:gridCol w:w="2270"/>
        <w:gridCol w:w="1275"/>
        <w:gridCol w:w="1107"/>
        <w:gridCol w:w="1447"/>
        <w:gridCol w:w="1219"/>
        <w:gridCol w:w="1473"/>
        <w:gridCol w:w="7786"/>
      </w:tblGrid>
      <w:tr w:rsidR="007F406C" w:rsidRPr="00C25DD0" w14:paraId="524401A4" w14:textId="77777777" w:rsidTr="007F406C">
        <w:trPr>
          <w:cnfStyle w:val="100000000000" w:firstRow="1" w:lastRow="0" w:firstColumn="0" w:lastColumn="0" w:oddVBand="0" w:evenVBand="0" w:oddHBand="0" w:evenHBand="0" w:firstRowFirstColumn="0" w:firstRowLastColumn="0" w:lastRowFirstColumn="0" w:lastRowLastColumn="0"/>
          <w:trHeight w:val="593"/>
        </w:trPr>
        <w:tc>
          <w:tcPr>
            <w:tcW w:w="1151" w:type="pct"/>
          </w:tcPr>
          <w:p w14:paraId="0AFDDF17" w14:textId="77777777" w:rsidR="00C25DD0" w:rsidRPr="00C25DD0" w:rsidRDefault="00C25DD0" w:rsidP="00C25DD0">
            <w:pPr>
              <w:spacing w:before="0" w:after="0" w:line="276" w:lineRule="auto"/>
              <w:textAlignment w:val="baseline"/>
              <w:rPr>
                <w:rFonts w:ascii="Arial" w:eastAsia="Calibri" w:hAnsi="Arial" w:cs="Arial"/>
                <w:color w:val="000000"/>
                <w:szCs w:val="24"/>
                <w:bdr w:val="none" w:sz="0" w:space="0" w:color="auto" w:frame="1"/>
              </w:rPr>
            </w:pPr>
            <w:r w:rsidRPr="00C25DD0">
              <w:rPr>
                <w:rFonts w:ascii="Arial" w:eastAsia="Times New Roman" w:hAnsi="Arial" w:cs="Arial"/>
                <w:bCs/>
                <w:szCs w:val="24"/>
                <w:lang w:val="en-GB" w:eastAsia="en-NZ"/>
              </w:rPr>
              <w:t>Measure</w:t>
            </w:r>
          </w:p>
        </w:tc>
        <w:tc>
          <w:tcPr>
            <w:tcW w:w="527" w:type="pct"/>
          </w:tcPr>
          <w:p w14:paraId="48643665" w14:textId="77777777" w:rsidR="00C25DD0" w:rsidRPr="00C25DD0" w:rsidRDefault="00C25DD0" w:rsidP="00C25DD0">
            <w:pPr>
              <w:spacing w:before="0" w:after="0" w:line="276" w:lineRule="auto"/>
              <w:textAlignment w:val="baseline"/>
              <w:rPr>
                <w:rFonts w:ascii="Arial" w:eastAsia="Times New Roman" w:hAnsi="Arial" w:cs="Arial"/>
                <w:color w:val="000000"/>
                <w:szCs w:val="24"/>
                <w:lang w:val="en-GB" w:eastAsia="en-NZ"/>
              </w:rPr>
            </w:pPr>
            <w:r w:rsidRPr="00C25DD0">
              <w:rPr>
                <w:rFonts w:ascii="Arial" w:eastAsia="Times New Roman" w:hAnsi="Arial" w:cs="Arial"/>
                <w:bCs/>
                <w:color w:val="000000"/>
                <w:szCs w:val="24"/>
                <w:lang w:val="en-GB" w:eastAsia="en-NZ"/>
              </w:rPr>
              <w:t>Total</w:t>
            </w:r>
          </w:p>
        </w:tc>
        <w:tc>
          <w:tcPr>
            <w:tcW w:w="296" w:type="pct"/>
          </w:tcPr>
          <w:p w14:paraId="47878DA5" w14:textId="77777777" w:rsidR="00C25DD0" w:rsidRPr="00C25DD0" w:rsidRDefault="00C25DD0" w:rsidP="00C25DD0">
            <w:pPr>
              <w:spacing w:before="0" w:after="0" w:line="240" w:lineRule="auto"/>
              <w:jc w:val="center"/>
              <w:textAlignment w:val="baseline"/>
              <w:rPr>
                <w:rFonts w:ascii="Arial" w:eastAsia="Times New Roman" w:hAnsi="Arial" w:cs="Arial"/>
                <w:bCs/>
                <w:szCs w:val="24"/>
                <w:lang w:val="en-GB" w:eastAsia="en-NZ"/>
              </w:rPr>
            </w:pPr>
            <w:r w:rsidRPr="00C25DD0">
              <w:rPr>
                <w:rFonts w:ascii="Arial" w:eastAsia="Times New Roman" w:hAnsi="Arial" w:cs="Arial"/>
                <w:bCs/>
                <w:szCs w:val="24"/>
                <w:lang w:val="en-GB" w:eastAsia="en-NZ"/>
              </w:rPr>
              <w:t>Q1</w:t>
            </w:r>
          </w:p>
          <w:p w14:paraId="3651BB53" w14:textId="77777777" w:rsidR="00C25DD0" w:rsidRPr="00C25DD0" w:rsidRDefault="00C25DD0" w:rsidP="00C25DD0">
            <w:pPr>
              <w:spacing w:before="0" w:after="0" w:line="276" w:lineRule="auto"/>
              <w:jc w:val="center"/>
              <w:textAlignment w:val="baseline"/>
              <w:rPr>
                <w:rFonts w:ascii="Arial" w:eastAsia="Times New Roman" w:hAnsi="Arial" w:cs="Arial"/>
                <w:bCs/>
                <w:szCs w:val="24"/>
                <w:lang w:val="en-GB" w:eastAsia="en-NZ"/>
              </w:rPr>
            </w:pPr>
            <w:r w:rsidRPr="00C25DD0">
              <w:rPr>
                <w:rFonts w:ascii="Arial" w:eastAsia="Times New Roman" w:hAnsi="Arial" w:cs="Arial"/>
                <w:bCs/>
                <w:szCs w:val="24"/>
                <w:lang w:val="en-GB" w:eastAsia="en-NZ"/>
              </w:rPr>
              <w:t>2022-23</w:t>
            </w:r>
          </w:p>
        </w:tc>
        <w:tc>
          <w:tcPr>
            <w:tcW w:w="257" w:type="pct"/>
          </w:tcPr>
          <w:p w14:paraId="788C2475" w14:textId="77777777" w:rsidR="00C25DD0" w:rsidRPr="00C25DD0" w:rsidRDefault="00C25DD0" w:rsidP="00C25DD0">
            <w:pPr>
              <w:spacing w:before="0" w:after="0" w:line="240" w:lineRule="auto"/>
              <w:jc w:val="center"/>
              <w:textAlignment w:val="baseline"/>
              <w:rPr>
                <w:rFonts w:ascii="Arial" w:eastAsia="Times New Roman" w:hAnsi="Arial" w:cs="Arial"/>
                <w:bCs/>
                <w:szCs w:val="24"/>
                <w:lang w:val="en-GB" w:eastAsia="en-NZ"/>
              </w:rPr>
            </w:pPr>
            <w:r w:rsidRPr="00C25DD0">
              <w:rPr>
                <w:rFonts w:ascii="Arial" w:eastAsia="Times New Roman" w:hAnsi="Arial" w:cs="Arial"/>
                <w:bCs/>
                <w:szCs w:val="24"/>
                <w:lang w:val="en-GB" w:eastAsia="en-NZ"/>
              </w:rPr>
              <w:t>Q2</w:t>
            </w:r>
          </w:p>
          <w:p w14:paraId="335F9D62" w14:textId="77777777" w:rsidR="00C25DD0" w:rsidRPr="00C25DD0" w:rsidRDefault="00C25DD0" w:rsidP="00C25DD0">
            <w:pPr>
              <w:spacing w:before="0" w:after="0" w:line="276" w:lineRule="auto"/>
              <w:jc w:val="center"/>
              <w:textAlignment w:val="baseline"/>
              <w:rPr>
                <w:rFonts w:ascii="Arial" w:eastAsia="Times New Roman" w:hAnsi="Arial" w:cs="Arial"/>
                <w:bCs/>
                <w:szCs w:val="24"/>
                <w:lang w:val="en-GB" w:eastAsia="en-NZ"/>
              </w:rPr>
            </w:pPr>
            <w:r w:rsidRPr="00C25DD0">
              <w:rPr>
                <w:rFonts w:ascii="Arial" w:eastAsia="Times New Roman" w:hAnsi="Arial" w:cs="Arial"/>
                <w:bCs/>
                <w:szCs w:val="24"/>
                <w:lang w:val="en-GB" w:eastAsia="en-NZ"/>
              </w:rPr>
              <w:t>2022-23</w:t>
            </w:r>
          </w:p>
        </w:tc>
        <w:tc>
          <w:tcPr>
            <w:tcW w:w="336" w:type="pct"/>
          </w:tcPr>
          <w:p w14:paraId="76257C42" w14:textId="77777777" w:rsidR="00C25DD0" w:rsidRPr="00C25DD0" w:rsidRDefault="00C25DD0" w:rsidP="00C25DD0">
            <w:pPr>
              <w:spacing w:before="0" w:after="0" w:line="240" w:lineRule="auto"/>
              <w:jc w:val="center"/>
              <w:textAlignment w:val="baseline"/>
              <w:rPr>
                <w:rFonts w:ascii="Arial" w:eastAsia="Times New Roman" w:hAnsi="Arial" w:cs="Arial"/>
                <w:bCs/>
                <w:szCs w:val="24"/>
                <w:lang w:val="en-GB" w:eastAsia="en-NZ"/>
              </w:rPr>
            </w:pPr>
            <w:r w:rsidRPr="00C25DD0">
              <w:rPr>
                <w:rFonts w:ascii="Arial" w:eastAsia="Times New Roman" w:hAnsi="Arial" w:cs="Arial"/>
                <w:bCs/>
                <w:szCs w:val="24"/>
                <w:lang w:val="en-GB" w:eastAsia="en-NZ"/>
              </w:rPr>
              <w:t>Q3</w:t>
            </w:r>
          </w:p>
          <w:p w14:paraId="171CF102" w14:textId="77777777" w:rsidR="00C25DD0" w:rsidRPr="00C25DD0" w:rsidRDefault="00C25DD0" w:rsidP="00C25DD0">
            <w:pPr>
              <w:spacing w:before="0" w:after="0" w:line="276" w:lineRule="auto"/>
              <w:jc w:val="center"/>
              <w:textAlignment w:val="baseline"/>
              <w:rPr>
                <w:rFonts w:ascii="Arial" w:eastAsia="Times New Roman" w:hAnsi="Arial" w:cs="Arial"/>
                <w:bCs/>
                <w:szCs w:val="24"/>
                <w:lang w:val="en-GB" w:eastAsia="en-NZ"/>
              </w:rPr>
            </w:pPr>
            <w:r w:rsidRPr="00C25DD0">
              <w:rPr>
                <w:rFonts w:ascii="Arial" w:eastAsia="Times New Roman" w:hAnsi="Arial" w:cs="Arial"/>
                <w:bCs/>
                <w:szCs w:val="24"/>
                <w:lang w:val="en-GB" w:eastAsia="en-NZ"/>
              </w:rPr>
              <w:t>2022-23</w:t>
            </w:r>
          </w:p>
        </w:tc>
        <w:tc>
          <w:tcPr>
            <w:tcW w:w="283" w:type="pct"/>
          </w:tcPr>
          <w:p w14:paraId="4C56851C" w14:textId="77777777" w:rsidR="00C25DD0" w:rsidRPr="00C25DD0" w:rsidRDefault="00C25DD0" w:rsidP="00C25DD0">
            <w:pPr>
              <w:spacing w:before="0" w:after="0" w:line="240" w:lineRule="auto"/>
              <w:jc w:val="center"/>
              <w:textAlignment w:val="baseline"/>
              <w:rPr>
                <w:rFonts w:ascii="Arial" w:eastAsia="Times New Roman" w:hAnsi="Arial" w:cs="Arial"/>
                <w:bCs/>
                <w:szCs w:val="24"/>
                <w:lang w:val="en-GB" w:eastAsia="en-NZ"/>
              </w:rPr>
            </w:pPr>
            <w:r w:rsidRPr="00C25DD0">
              <w:rPr>
                <w:rFonts w:ascii="Arial" w:eastAsia="Times New Roman" w:hAnsi="Arial" w:cs="Arial"/>
                <w:bCs/>
                <w:szCs w:val="24"/>
                <w:lang w:val="en-GB" w:eastAsia="en-NZ"/>
              </w:rPr>
              <w:t>Q4</w:t>
            </w:r>
          </w:p>
          <w:p w14:paraId="2E3D6388" w14:textId="77777777" w:rsidR="00C25DD0" w:rsidRPr="00C25DD0" w:rsidRDefault="00C25DD0" w:rsidP="00C25DD0">
            <w:pPr>
              <w:spacing w:before="0" w:after="0" w:line="276" w:lineRule="auto"/>
              <w:jc w:val="center"/>
              <w:textAlignment w:val="baseline"/>
              <w:rPr>
                <w:rFonts w:ascii="Arial" w:eastAsia="Times New Roman" w:hAnsi="Arial" w:cs="Arial"/>
                <w:bCs/>
                <w:szCs w:val="24"/>
                <w:lang w:val="en-GB" w:eastAsia="en-NZ"/>
              </w:rPr>
            </w:pPr>
            <w:r w:rsidRPr="00C25DD0">
              <w:rPr>
                <w:rFonts w:ascii="Arial" w:eastAsia="Times New Roman" w:hAnsi="Arial" w:cs="Arial"/>
                <w:bCs/>
                <w:szCs w:val="24"/>
                <w:lang w:val="en-GB" w:eastAsia="en-NZ"/>
              </w:rPr>
              <w:t>2022-23</w:t>
            </w:r>
          </w:p>
        </w:tc>
        <w:tc>
          <w:tcPr>
            <w:tcW w:w="342" w:type="pct"/>
          </w:tcPr>
          <w:p w14:paraId="04202284" w14:textId="77777777" w:rsidR="00C25DD0" w:rsidRPr="00C25DD0" w:rsidRDefault="00C25DD0" w:rsidP="00C25DD0">
            <w:pPr>
              <w:spacing w:before="0" w:after="0" w:line="240" w:lineRule="auto"/>
              <w:jc w:val="center"/>
              <w:textAlignment w:val="baseline"/>
              <w:rPr>
                <w:rFonts w:ascii="Arial" w:eastAsia="Times New Roman" w:hAnsi="Arial" w:cs="Arial"/>
                <w:bCs/>
                <w:szCs w:val="24"/>
                <w:lang w:val="en-GB" w:eastAsia="en-NZ"/>
              </w:rPr>
            </w:pPr>
            <w:r w:rsidRPr="00C25DD0">
              <w:rPr>
                <w:rFonts w:ascii="Arial" w:eastAsia="Times New Roman" w:hAnsi="Arial" w:cs="Arial"/>
                <w:bCs/>
                <w:szCs w:val="24"/>
                <w:lang w:val="en-GB" w:eastAsia="en-NZ"/>
              </w:rPr>
              <w:t>Q1</w:t>
            </w:r>
          </w:p>
          <w:p w14:paraId="5FD8C7B7" w14:textId="77777777" w:rsidR="00C25DD0" w:rsidRPr="00C25DD0" w:rsidRDefault="00C25DD0" w:rsidP="00C25DD0">
            <w:pPr>
              <w:spacing w:before="0" w:after="0" w:line="276" w:lineRule="auto"/>
              <w:jc w:val="center"/>
              <w:textAlignment w:val="baseline"/>
              <w:rPr>
                <w:rFonts w:ascii="Arial" w:eastAsia="Times New Roman" w:hAnsi="Arial" w:cs="Arial"/>
                <w:bCs/>
                <w:szCs w:val="24"/>
                <w:lang w:val="en-GB" w:eastAsia="en-NZ"/>
              </w:rPr>
            </w:pPr>
            <w:r w:rsidRPr="00C25DD0">
              <w:rPr>
                <w:rFonts w:ascii="Arial" w:eastAsia="Times New Roman" w:hAnsi="Arial" w:cs="Arial"/>
                <w:bCs/>
                <w:szCs w:val="24"/>
                <w:lang w:val="en-GB" w:eastAsia="en-NZ"/>
              </w:rPr>
              <w:t>2023-24</w:t>
            </w:r>
          </w:p>
        </w:tc>
        <w:tc>
          <w:tcPr>
            <w:tcW w:w="1808" w:type="pct"/>
            <w:vMerge w:val="restart"/>
            <w:shd w:val="clear" w:color="auto" w:fill="auto"/>
          </w:tcPr>
          <w:p w14:paraId="1A72A64D"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p>
          <w:p w14:paraId="3B62A440" w14:textId="77777777" w:rsidR="00C25DD0" w:rsidRPr="00C25DD0" w:rsidRDefault="00C25DD0" w:rsidP="00815E07">
            <w:pPr>
              <w:spacing w:before="0" w:after="0" w:line="276" w:lineRule="auto"/>
              <w:textAlignment w:val="baseline"/>
              <w:rPr>
                <w:rFonts w:ascii="Calibri" w:eastAsia="Times New Roman" w:hAnsi="Calibri" w:cs="Calibri"/>
                <w:color w:val="000000"/>
                <w:szCs w:val="24"/>
                <w:lang w:val="en-GB" w:eastAsia="en-NZ"/>
              </w:rPr>
            </w:pPr>
            <w:r w:rsidRPr="00C25DD0">
              <w:rPr>
                <w:rFonts w:ascii="Calibri" w:eastAsia="Times New Roman" w:hAnsi="Calibri" w:cs="Calibri"/>
                <w:noProof/>
                <w:color w:val="000000"/>
                <w:szCs w:val="24"/>
                <w:lang w:val="en-GB" w:eastAsia="en-NZ"/>
              </w:rPr>
              <w:drawing>
                <wp:inline distT="0" distB="0" distL="0" distR="0" wp14:anchorId="5A52FC07" wp14:editId="4481E3FE">
                  <wp:extent cx="4667084" cy="2602451"/>
                  <wp:effectExtent l="0" t="0" r="635" b="7620"/>
                  <wp:docPr id="1825775869" name="Chart 1825775869" descr="Chart showing Proportion of medical appointments completed through digital channels (initially outpatients and expanding to include general practitioner appointments when data is available)."/>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7F406C" w:rsidRPr="00C25DD0" w14:paraId="338CB828" w14:textId="77777777" w:rsidTr="007F406C">
        <w:trPr>
          <w:trHeight w:val="593"/>
        </w:trPr>
        <w:tc>
          <w:tcPr>
            <w:tcW w:w="1151" w:type="pct"/>
            <w:vMerge w:val="restart"/>
            <w:hideMark/>
          </w:tcPr>
          <w:p w14:paraId="15FFDAFB" w14:textId="77777777" w:rsidR="00C25DD0" w:rsidRPr="00C25DD0" w:rsidRDefault="00C25DD0" w:rsidP="00C25DD0">
            <w:pPr>
              <w:spacing w:before="0" w:after="0" w:line="276" w:lineRule="auto"/>
              <w:textAlignment w:val="baseline"/>
              <w:rPr>
                <w:rFonts w:ascii="Arial" w:eastAsia="Calibri" w:hAnsi="Arial" w:cs="Arial"/>
                <w:color w:val="000000"/>
                <w:szCs w:val="24"/>
                <w:bdr w:val="none" w:sz="0" w:space="0" w:color="auto" w:frame="1"/>
                <w:vertAlign w:val="superscript"/>
              </w:rPr>
            </w:pPr>
            <w:r w:rsidRPr="00C25DD0">
              <w:rPr>
                <w:rFonts w:ascii="Arial" w:eastAsia="Calibri" w:hAnsi="Arial" w:cs="Arial"/>
                <w:color w:val="000000"/>
                <w:szCs w:val="24"/>
                <w:bdr w:val="none" w:sz="0" w:space="0" w:color="auto" w:frame="1"/>
              </w:rPr>
              <w:t xml:space="preserve">Proportion of medical appointments completed through digital channels (initially outpatients and expanding to include general practitioner appointments when data is available) </w:t>
            </w:r>
            <w:r w:rsidRPr="00C25DD0">
              <w:rPr>
                <w:rFonts w:ascii="Arial" w:eastAsia="Calibri" w:hAnsi="Arial" w:cs="Arial"/>
                <w:color w:val="000000"/>
                <w:szCs w:val="24"/>
                <w:bdr w:val="none" w:sz="0" w:space="0" w:color="auto" w:frame="1"/>
                <w:vertAlign w:val="superscript"/>
              </w:rPr>
              <w:t>9</w:t>
            </w:r>
            <w:r w:rsidRPr="00C25DD0">
              <w:rPr>
                <w:rFonts w:ascii="Arial" w:eastAsia="Calibri" w:hAnsi="Arial" w:cs="Arial"/>
                <w:color w:val="000000"/>
                <w:szCs w:val="24"/>
                <w:bdr w:val="none" w:sz="0" w:space="0" w:color="auto" w:frame="1"/>
              </w:rPr>
              <w:t>.</w:t>
            </w:r>
          </w:p>
          <w:p w14:paraId="13807FF7" w14:textId="77777777" w:rsidR="00C25DD0" w:rsidRPr="00C25DD0" w:rsidRDefault="00C25DD0" w:rsidP="00C25DD0">
            <w:pPr>
              <w:spacing w:before="0" w:after="0" w:line="276" w:lineRule="auto"/>
              <w:textAlignment w:val="baseline"/>
              <w:rPr>
                <w:rFonts w:ascii="Arial" w:eastAsia="Calibri" w:hAnsi="Arial" w:cs="Arial"/>
                <w:color w:val="000000"/>
                <w:szCs w:val="24"/>
                <w:bdr w:val="none" w:sz="0" w:space="0" w:color="auto" w:frame="1"/>
                <w:vertAlign w:val="superscript"/>
              </w:rPr>
            </w:pPr>
          </w:p>
          <w:p w14:paraId="43B9E3B9" w14:textId="77777777" w:rsidR="00C25DD0" w:rsidRPr="00C25DD0" w:rsidRDefault="00C25DD0" w:rsidP="00C25DD0">
            <w:pPr>
              <w:spacing w:before="0" w:after="0" w:line="276" w:lineRule="auto"/>
              <w:textAlignment w:val="baseline"/>
              <w:rPr>
                <w:rFonts w:ascii="Arial" w:eastAsia="Times New Roman" w:hAnsi="Arial" w:cs="Arial"/>
                <w:b/>
                <w:szCs w:val="24"/>
                <w:lang w:val="en-GB" w:eastAsia="en-NZ"/>
              </w:rPr>
            </w:pPr>
            <w:r w:rsidRPr="00C25DD0">
              <w:rPr>
                <w:rFonts w:ascii="Arial" w:eastAsia="Calibri" w:hAnsi="Arial" w:cs="Arial"/>
                <w:b/>
                <w:color w:val="000000"/>
                <w:szCs w:val="24"/>
                <w:bdr w:val="none" w:sz="0" w:space="0" w:color="auto" w:frame="1"/>
              </w:rPr>
              <w:t xml:space="preserve">Target: </w:t>
            </w:r>
            <w:r w:rsidRPr="00C25DD0">
              <w:rPr>
                <w:rFonts w:ascii="Arial" w:eastAsia="Calibri" w:hAnsi="Arial" w:cs="Arial"/>
                <w:color w:val="000000"/>
                <w:szCs w:val="24"/>
                <w:bdr w:val="none" w:sz="0" w:space="0" w:color="auto" w:frame="1"/>
              </w:rPr>
              <w:t>Target to be established</w:t>
            </w:r>
          </w:p>
        </w:tc>
        <w:tc>
          <w:tcPr>
            <w:tcW w:w="527" w:type="pct"/>
            <w:hideMark/>
          </w:tcPr>
          <w:p w14:paraId="4D620480" w14:textId="77777777" w:rsidR="00C25DD0" w:rsidRPr="00C25DD0" w:rsidRDefault="00C25DD0" w:rsidP="00C25DD0">
            <w:pPr>
              <w:spacing w:before="0" w:after="0" w:line="276" w:lineRule="auto"/>
              <w:textAlignment w:val="baseline"/>
              <w:rPr>
                <w:rFonts w:ascii="Arial" w:eastAsia="Times New Roman" w:hAnsi="Arial" w:cs="Arial"/>
                <w:szCs w:val="24"/>
                <w:lang w:val="en-GB" w:eastAsia="en-NZ"/>
              </w:rPr>
            </w:pPr>
            <w:r w:rsidRPr="00C25DD0">
              <w:rPr>
                <w:rFonts w:ascii="Arial" w:eastAsia="Times New Roman" w:hAnsi="Arial" w:cs="Arial"/>
                <w:color w:val="000000"/>
                <w:szCs w:val="24"/>
                <w:lang w:val="en-GB" w:eastAsia="en-NZ"/>
              </w:rPr>
              <w:t>Māori</w:t>
            </w:r>
          </w:p>
        </w:tc>
        <w:tc>
          <w:tcPr>
            <w:tcW w:w="296" w:type="pct"/>
          </w:tcPr>
          <w:p w14:paraId="4453899A"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11%</w:t>
            </w:r>
          </w:p>
        </w:tc>
        <w:tc>
          <w:tcPr>
            <w:tcW w:w="257" w:type="pct"/>
          </w:tcPr>
          <w:p w14:paraId="53D2B063" w14:textId="77777777"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 xml:space="preserve">10% </w:t>
            </w:r>
            <w:r w:rsidRPr="00C25DD0">
              <w:rPr>
                <w:rFonts w:ascii="Wingdings" w:eastAsia="Wingdings" w:hAnsi="Wingdings" w:cs="Calibri"/>
                <w:color w:val="FF0000"/>
                <w:szCs w:val="24"/>
                <w:lang w:val="en-GB" w:eastAsia="en-NZ"/>
              </w:rPr>
              <w:t>Þ</w:t>
            </w:r>
          </w:p>
        </w:tc>
        <w:tc>
          <w:tcPr>
            <w:tcW w:w="336" w:type="pct"/>
          </w:tcPr>
          <w:p w14:paraId="54C59ED4" w14:textId="77777777"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10%</w:t>
            </w:r>
            <w:r w:rsidRPr="00C25DD0">
              <w:rPr>
                <w:rFonts w:ascii="Calibri" w:eastAsia="Times New Roman" w:hAnsi="Calibri" w:cs="Calibri"/>
                <w:szCs w:val="24"/>
                <w:lang w:val="en-GB" w:eastAsia="en-NZ"/>
              </w:rPr>
              <w:t xml:space="preserve"> </w:t>
            </w:r>
            <w:r w:rsidRPr="00CE0F64">
              <w:rPr>
                <w:rFonts w:ascii="Wingdings" w:eastAsia="Wingdings" w:hAnsi="Wingdings" w:cs="Calibri"/>
                <w:b/>
                <w:color w:val="FFC000"/>
                <w:szCs w:val="24"/>
                <w:lang w:val="en-GB" w:eastAsia="en-NZ"/>
              </w:rPr>
              <w:t>Ü</w:t>
            </w:r>
          </w:p>
        </w:tc>
        <w:tc>
          <w:tcPr>
            <w:tcW w:w="283" w:type="pct"/>
          </w:tcPr>
          <w:p w14:paraId="3C6B1531" w14:textId="77777777"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10%</w:t>
            </w:r>
            <w:r w:rsidRPr="00C25DD0">
              <w:rPr>
                <w:rFonts w:ascii="Calibri" w:eastAsia="Times New Roman" w:hAnsi="Calibri" w:cs="Calibri"/>
                <w:szCs w:val="24"/>
                <w:lang w:val="en-GB" w:eastAsia="en-NZ"/>
              </w:rPr>
              <w:t xml:space="preserve"> </w:t>
            </w:r>
            <w:r w:rsidRPr="00CE0F64">
              <w:rPr>
                <w:rFonts w:ascii="Wingdings" w:eastAsia="Wingdings" w:hAnsi="Wingdings" w:cs="Calibri"/>
                <w:b/>
                <w:color w:val="FFC000"/>
                <w:szCs w:val="24"/>
                <w:lang w:val="en-GB" w:eastAsia="en-NZ"/>
              </w:rPr>
              <w:t>Ü</w:t>
            </w:r>
          </w:p>
        </w:tc>
        <w:tc>
          <w:tcPr>
            <w:tcW w:w="342" w:type="pct"/>
          </w:tcPr>
          <w:p w14:paraId="7318BB09" w14:textId="77777777"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10%</w:t>
            </w:r>
            <w:r w:rsidRPr="00C25DD0">
              <w:rPr>
                <w:rFonts w:ascii="Calibri" w:eastAsia="Times New Roman" w:hAnsi="Calibri" w:cs="Calibri"/>
                <w:szCs w:val="24"/>
                <w:lang w:val="en-GB" w:eastAsia="en-NZ"/>
              </w:rPr>
              <w:t xml:space="preserve"> </w:t>
            </w:r>
            <w:r w:rsidRPr="00CE0F64">
              <w:rPr>
                <w:rFonts w:ascii="Wingdings" w:eastAsia="Wingdings" w:hAnsi="Wingdings" w:cs="Calibri"/>
                <w:b/>
                <w:color w:val="FFC000"/>
                <w:szCs w:val="24"/>
                <w:lang w:val="en-GB" w:eastAsia="en-NZ"/>
              </w:rPr>
              <w:t>Ü</w:t>
            </w:r>
          </w:p>
        </w:tc>
        <w:tc>
          <w:tcPr>
            <w:tcW w:w="1808" w:type="pct"/>
            <w:vMerge/>
            <w:shd w:val="clear" w:color="auto" w:fill="auto"/>
          </w:tcPr>
          <w:p w14:paraId="16CC37FE"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p>
        </w:tc>
      </w:tr>
      <w:tr w:rsidR="007F406C" w:rsidRPr="00C25DD0" w14:paraId="0811987C" w14:textId="77777777" w:rsidTr="007F406C">
        <w:trPr>
          <w:trHeight w:val="593"/>
        </w:trPr>
        <w:tc>
          <w:tcPr>
            <w:tcW w:w="1151" w:type="pct"/>
            <w:vMerge/>
            <w:hideMark/>
          </w:tcPr>
          <w:p w14:paraId="3881A8CE" w14:textId="77777777" w:rsidR="00C25DD0" w:rsidRPr="00C25DD0" w:rsidRDefault="00C25DD0" w:rsidP="00C25DD0">
            <w:pPr>
              <w:spacing w:before="0" w:after="0" w:line="276" w:lineRule="auto"/>
              <w:jc w:val="center"/>
              <w:rPr>
                <w:rFonts w:ascii="Arial" w:eastAsia="Times New Roman" w:hAnsi="Arial" w:cs="Arial"/>
                <w:szCs w:val="24"/>
                <w:lang w:val="en-GB" w:eastAsia="en-NZ"/>
              </w:rPr>
            </w:pPr>
          </w:p>
        </w:tc>
        <w:tc>
          <w:tcPr>
            <w:tcW w:w="527" w:type="pct"/>
            <w:hideMark/>
          </w:tcPr>
          <w:p w14:paraId="6135AB3E" w14:textId="77777777" w:rsidR="00C25DD0" w:rsidRPr="00C25DD0" w:rsidRDefault="00C25DD0" w:rsidP="00C25DD0">
            <w:pPr>
              <w:spacing w:before="0" w:after="0" w:line="276" w:lineRule="auto"/>
              <w:textAlignment w:val="baseline"/>
              <w:rPr>
                <w:rFonts w:ascii="Arial" w:eastAsia="Times New Roman" w:hAnsi="Arial" w:cs="Arial"/>
                <w:szCs w:val="24"/>
                <w:lang w:val="en-GB" w:eastAsia="en-NZ"/>
              </w:rPr>
            </w:pPr>
            <w:r w:rsidRPr="00C25DD0">
              <w:rPr>
                <w:rFonts w:ascii="Arial" w:eastAsia="Times New Roman" w:hAnsi="Arial" w:cs="Arial"/>
                <w:color w:val="000000"/>
                <w:szCs w:val="24"/>
                <w:lang w:val="en-GB" w:eastAsia="en-NZ"/>
              </w:rPr>
              <w:t>Pacific</w:t>
            </w:r>
          </w:p>
        </w:tc>
        <w:tc>
          <w:tcPr>
            <w:tcW w:w="296" w:type="pct"/>
          </w:tcPr>
          <w:p w14:paraId="62F76381"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11%</w:t>
            </w:r>
          </w:p>
        </w:tc>
        <w:tc>
          <w:tcPr>
            <w:tcW w:w="257" w:type="pct"/>
          </w:tcPr>
          <w:p w14:paraId="47B140FA" w14:textId="77777777"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 xml:space="preserve">9% </w:t>
            </w:r>
            <w:r w:rsidRPr="00C25DD0">
              <w:rPr>
                <w:rFonts w:ascii="Wingdings" w:eastAsia="Wingdings" w:hAnsi="Wingdings" w:cs="Calibri"/>
                <w:color w:val="FF0000"/>
                <w:szCs w:val="24"/>
                <w:lang w:val="en-GB" w:eastAsia="en-NZ"/>
              </w:rPr>
              <w:t>Þ</w:t>
            </w:r>
          </w:p>
        </w:tc>
        <w:tc>
          <w:tcPr>
            <w:tcW w:w="336" w:type="pct"/>
          </w:tcPr>
          <w:p w14:paraId="76168CFC" w14:textId="77777777"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8%</w:t>
            </w:r>
            <w:r w:rsidRPr="00C25DD0">
              <w:rPr>
                <w:rFonts w:ascii="Calibri" w:eastAsia="Times New Roman" w:hAnsi="Calibri" w:cs="Calibri"/>
                <w:szCs w:val="24"/>
                <w:lang w:val="en-GB" w:eastAsia="en-NZ"/>
              </w:rPr>
              <w:t xml:space="preserve"> </w:t>
            </w:r>
            <w:r w:rsidRPr="00CE0F64">
              <w:rPr>
                <w:rFonts w:ascii="Wingdings" w:eastAsia="Wingdings" w:hAnsi="Wingdings" w:cs="Calibri"/>
                <w:b/>
                <w:color w:val="FFC000"/>
                <w:szCs w:val="24"/>
                <w:lang w:val="en-GB" w:eastAsia="en-NZ"/>
              </w:rPr>
              <w:t>Ü</w:t>
            </w:r>
          </w:p>
        </w:tc>
        <w:tc>
          <w:tcPr>
            <w:tcW w:w="283" w:type="pct"/>
          </w:tcPr>
          <w:p w14:paraId="5A2B9B67" w14:textId="77777777"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8%</w:t>
            </w:r>
            <w:r w:rsidRPr="00C25DD0">
              <w:rPr>
                <w:rFonts w:ascii="Calibri" w:eastAsia="Times New Roman" w:hAnsi="Calibri" w:cs="Calibri"/>
                <w:szCs w:val="24"/>
                <w:lang w:val="en-GB" w:eastAsia="en-NZ"/>
              </w:rPr>
              <w:t xml:space="preserve"> </w:t>
            </w:r>
            <w:r w:rsidRPr="00CE0F64">
              <w:rPr>
                <w:rFonts w:ascii="Wingdings" w:eastAsia="Wingdings" w:hAnsi="Wingdings" w:cs="Calibri"/>
                <w:b/>
                <w:color w:val="FFC000"/>
                <w:szCs w:val="24"/>
                <w:lang w:val="en-GB" w:eastAsia="en-NZ"/>
              </w:rPr>
              <w:t>Ü</w:t>
            </w:r>
          </w:p>
        </w:tc>
        <w:tc>
          <w:tcPr>
            <w:tcW w:w="342" w:type="pct"/>
          </w:tcPr>
          <w:p w14:paraId="55F5A1FF" w14:textId="77777777" w:rsidR="00C25DD0" w:rsidRPr="00C25DD0" w:rsidRDefault="00C25DD0" w:rsidP="00C25DD0">
            <w:pPr>
              <w:spacing w:before="0" w:after="0" w:line="276" w:lineRule="auto"/>
              <w:jc w:val="center"/>
              <w:textAlignment w:val="baseline"/>
              <w:rPr>
                <w:rFonts w:ascii="Calibri" w:eastAsia="Times New Roman" w:hAnsi="Calibri" w:cs="Calibri"/>
                <w:szCs w:val="24"/>
                <w:lang w:val="en-GB" w:eastAsia="en-NZ"/>
              </w:rPr>
            </w:pPr>
            <w:r w:rsidRPr="00C25DD0">
              <w:rPr>
                <w:rFonts w:ascii="Arial" w:eastAsia="Times New Roman" w:hAnsi="Arial" w:cs="Arial"/>
                <w:color w:val="000000"/>
                <w:szCs w:val="24"/>
                <w:lang w:val="en-GB" w:eastAsia="en-NZ"/>
              </w:rPr>
              <w:t>8%</w:t>
            </w:r>
            <w:r w:rsidRPr="00C25DD0">
              <w:rPr>
                <w:rFonts w:ascii="Calibri" w:eastAsia="Times New Roman" w:hAnsi="Calibri" w:cs="Calibri"/>
                <w:szCs w:val="24"/>
                <w:lang w:val="en-GB" w:eastAsia="en-NZ"/>
              </w:rPr>
              <w:t xml:space="preserve"> </w:t>
            </w:r>
            <w:r w:rsidRPr="00CE0F64">
              <w:rPr>
                <w:rFonts w:ascii="Wingdings" w:eastAsia="Wingdings" w:hAnsi="Wingdings" w:cs="Calibri"/>
                <w:b/>
                <w:color w:val="FFC000"/>
                <w:szCs w:val="24"/>
                <w:lang w:val="en-GB" w:eastAsia="en-NZ"/>
              </w:rPr>
              <w:t>Ü</w:t>
            </w:r>
          </w:p>
        </w:tc>
        <w:tc>
          <w:tcPr>
            <w:tcW w:w="1808" w:type="pct"/>
            <w:vMerge/>
            <w:shd w:val="clear" w:color="auto" w:fill="auto"/>
          </w:tcPr>
          <w:p w14:paraId="4B549CD6"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p>
        </w:tc>
      </w:tr>
      <w:tr w:rsidR="007F406C" w:rsidRPr="00C25DD0" w14:paraId="229CB06E" w14:textId="77777777" w:rsidTr="007F406C">
        <w:trPr>
          <w:trHeight w:val="593"/>
        </w:trPr>
        <w:tc>
          <w:tcPr>
            <w:tcW w:w="1151" w:type="pct"/>
            <w:vMerge/>
          </w:tcPr>
          <w:p w14:paraId="26137F40" w14:textId="77777777" w:rsidR="00C25DD0" w:rsidRPr="00C25DD0" w:rsidRDefault="00C25DD0" w:rsidP="00C25DD0">
            <w:pPr>
              <w:spacing w:before="0" w:after="0" w:line="276" w:lineRule="auto"/>
              <w:jc w:val="center"/>
              <w:rPr>
                <w:rFonts w:ascii="Arial" w:eastAsia="Times New Roman" w:hAnsi="Arial" w:cs="Arial"/>
                <w:szCs w:val="24"/>
                <w:lang w:val="en-GB" w:eastAsia="en-NZ"/>
              </w:rPr>
            </w:pPr>
          </w:p>
        </w:tc>
        <w:tc>
          <w:tcPr>
            <w:tcW w:w="527" w:type="pct"/>
          </w:tcPr>
          <w:p w14:paraId="5505888D" w14:textId="563002A1" w:rsidR="00C25DD0" w:rsidRPr="00C25DD0" w:rsidRDefault="00C25DD0" w:rsidP="00C25DD0">
            <w:pPr>
              <w:spacing w:before="0" w:after="0" w:line="276" w:lineRule="auto"/>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 xml:space="preserve">European and </w:t>
            </w:r>
            <w:r w:rsidR="009E072E">
              <w:rPr>
                <w:rFonts w:ascii="Arial" w:eastAsia="Times New Roman" w:hAnsi="Arial" w:cs="Arial"/>
                <w:color w:val="000000"/>
                <w:szCs w:val="24"/>
                <w:lang w:val="en-GB" w:eastAsia="en-NZ"/>
              </w:rPr>
              <w:t>a</w:t>
            </w:r>
            <w:r w:rsidRPr="00C25DD0">
              <w:rPr>
                <w:rFonts w:ascii="Arial" w:eastAsia="Times New Roman" w:hAnsi="Arial" w:cs="Arial"/>
                <w:color w:val="000000"/>
                <w:szCs w:val="24"/>
                <w:lang w:val="en-GB" w:eastAsia="en-NZ"/>
              </w:rPr>
              <w:t>ll other ethnicities</w:t>
            </w:r>
          </w:p>
        </w:tc>
        <w:tc>
          <w:tcPr>
            <w:tcW w:w="296" w:type="pct"/>
          </w:tcPr>
          <w:p w14:paraId="50545BF1"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12%</w:t>
            </w:r>
          </w:p>
        </w:tc>
        <w:tc>
          <w:tcPr>
            <w:tcW w:w="257" w:type="pct"/>
          </w:tcPr>
          <w:p w14:paraId="4F581AC5"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 xml:space="preserve">11% </w:t>
            </w:r>
            <w:r w:rsidRPr="00C25DD0">
              <w:rPr>
                <w:rFonts w:ascii="Wingdings" w:eastAsia="Wingdings" w:hAnsi="Wingdings" w:cs="Calibri"/>
                <w:color w:val="FF0000"/>
                <w:szCs w:val="24"/>
                <w:lang w:val="en-GB" w:eastAsia="en-NZ"/>
              </w:rPr>
              <w:t>Þ</w:t>
            </w:r>
          </w:p>
        </w:tc>
        <w:tc>
          <w:tcPr>
            <w:tcW w:w="336" w:type="pct"/>
          </w:tcPr>
          <w:p w14:paraId="0207D8D4" w14:textId="4789D924"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10%</w:t>
            </w:r>
            <w:r w:rsidR="0047298D">
              <w:rPr>
                <w:rFonts w:ascii="Arial" w:eastAsia="Times New Roman" w:hAnsi="Arial" w:cs="Arial"/>
                <w:color w:val="000000"/>
                <w:szCs w:val="24"/>
                <w:lang w:val="en-GB" w:eastAsia="en-NZ"/>
              </w:rPr>
              <w:t xml:space="preserve"> </w:t>
            </w:r>
            <w:r w:rsidR="0047298D" w:rsidRPr="00C25DD0">
              <w:rPr>
                <w:rFonts w:ascii="Wingdings" w:eastAsia="Wingdings" w:hAnsi="Wingdings" w:cs="Calibri"/>
                <w:color w:val="FF0000"/>
                <w:szCs w:val="24"/>
                <w:lang w:val="en-GB" w:eastAsia="en-NZ"/>
              </w:rPr>
              <w:t>Þ</w:t>
            </w:r>
          </w:p>
        </w:tc>
        <w:tc>
          <w:tcPr>
            <w:tcW w:w="283" w:type="pct"/>
          </w:tcPr>
          <w:p w14:paraId="0215E7A7"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10%</w:t>
            </w:r>
            <w:r w:rsidRPr="00C25DD0">
              <w:rPr>
                <w:rFonts w:ascii="Calibri" w:eastAsia="Times New Roman" w:hAnsi="Calibri" w:cs="Calibri"/>
                <w:color w:val="000000"/>
                <w:szCs w:val="24"/>
                <w:lang w:val="en-GB" w:eastAsia="en-NZ"/>
              </w:rPr>
              <w:t xml:space="preserve"> </w:t>
            </w:r>
            <w:r w:rsidRPr="00CE0F64">
              <w:rPr>
                <w:rFonts w:ascii="Wingdings" w:eastAsia="Wingdings" w:hAnsi="Wingdings" w:cs="Calibri"/>
                <w:b/>
                <w:color w:val="FFC000"/>
                <w:szCs w:val="24"/>
                <w:lang w:val="en-GB" w:eastAsia="en-NZ"/>
              </w:rPr>
              <w:t>Ü</w:t>
            </w:r>
          </w:p>
        </w:tc>
        <w:tc>
          <w:tcPr>
            <w:tcW w:w="342" w:type="pct"/>
          </w:tcPr>
          <w:p w14:paraId="1D64B2B6"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10%</w:t>
            </w:r>
            <w:r w:rsidRPr="00C25DD0">
              <w:rPr>
                <w:rFonts w:ascii="Calibri" w:eastAsia="Times New Roman" w:hAnsi="Calibri" w:cs="Calibri"/>
                <w:color w:val="000000"/>
                <w:szCs w:val="24"/>
                <w:lang w:val="en-GB" w:eastAsia="en-NZ"/>
              </w:rPr>
              <w:t xml:space="preserve"> </w:t>
            </w:r>
            <w:r w:rsidRPr="00CE0F64">
              <w:rPr>
                <w:rFonts w:ascii="Wingdings" w:eastAsia="Wingdings" w:hAnsi="Wingdings" w:cs="Calibri"/>
                <w:b/>
                <w:color w:val="FFC000"/>
                <w:szCs w:val="24"/>
                <w:lang w:val="en-GB" w:eastAsia="en-NZ"/>
              </w:rPr>
              <w:t>Ü</w:t>
            </w:r>
          </w:p>
        </w:tc>
        <w:tc>
          <w:tcPr>
            <w:tcW w:w="1808" w:type="pct"/>
            <w:vMerge/>
            <w:shd w:val="clear" w:color="auto" w:fill="auto"/>
          </w:tcPr>
          <w:p w14:paraId="3B28ADB4"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p>
        </w:tc>
      </w:tr>
      <w:tr w:rsidR="007F406C" w:rsidRPr="00C25DD0" w14:paraId="6C3A332A" w14:textId="77777777" w:rsidTr="007F406C">
        <w:trPr>
          <w:trHeight w:val="593"/>
        </w:trPr>
        <w:tc>
          <w:tcPr>
            <w:tcW w:w="1151" w:type="pct"/>
            <w:vMerge/>
          </w:tcPr>
          <w:p w14:paraId="70291DDC" w14:textId="77777777" w:rsidR="00C25DD0" w:rsidRPr="00C25DD0" w:rsidRDefault="00C25DD0" w:rsidP="00C25DD0">
            <w:pPr>
              <w:spacing w:before="0" w:after="0" w:line="276" w:lineRule="auto"/>
              <w:jc w:val="center"/>
              <w:rPr>
                <w:rFonts w:ascii="Calibri" w:eastAsia="Times New Roman" w:hAnsi="Calibri" w:cs="Calibri"/>
                <w:szCs w:val="24"/>
                <w:lang w:val="en-GB" w:eastAsia="en-NZ"/>
              </w:rPr>
            </w:pPr>
          </w:p>
        </w:tc>
        <w:tc>
          <w:tcPr>
            <w:tcW w:w="527" w:type="pct"/>
          </w:tcPr>
          <w:p w14:paraId="746B8013" w14:textId="77777777" w:rsidR="00C25DD0" w:rsidRPr="00C25DD0" w:rsidRDefault="00C25DD0" w:rsidP="00C25DD0">
            <w:pPr>
              <w:spacing w:before="0" w:after="0" w:line="276" w:lineRule="auto"/>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Asian</w:t>
            </w:r>
          </w:p>
        </w:tc>
        <w:tc>
          <w:tcPr>
            <w:tcW w:w="296" w:type="pct"/>
          </w:tcPr>
          <w:p w14:paraId="5B1D3C2E"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11%</w:t>
            </w:r>
          </w:p>
        </w:tc>
        <w:tc>
          <w:tcPr>
            <w:tcW w:w="257" w:type="pct"/>
          </w:tcPr>
          <w:p w14:paraId="0B9AA47B"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 xml:space="preserve">9% </w:t>
            </w:r>
            <w:r w:rsidRPr="00C25DD0">
              <w:rPr>
                <w:rFonts w:ascii="Wingdings" w:eastAsia="Wingdings" w:hAnsi="Wingdings" w:cs="Calibri"/>
                <w:color w:val="FF0000"/>
                <w:szCs w:val="24"/>
                <w:lang w:val="en-GB" w:eastAsia="en-NZ"/>
              </w:rPr>
              <w:t>Þ</w:t>
            </w:r>
          </w:p>
        </w:tc>
        <w:tc>
          <w:tcPr>
            <w:tcW w:w="336" w:type="pct"/>
          </w:tcPr>
          <w:p w14:paraId="46A4A826"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9%</w:t>
            </w:r>
            <w:r w:rsidRPr="00C25DD0">
              <w:rPr>
                <w:rFonts w:ascii="Calibri" w:eastAsia="Times New Roman" w:hAnsi="Calibri" w:cs="Calibri"/>
                <w:color w:val="000000"/>
                <w:szCs w:val="24"/>
                <w:lang w:val="en-GB" w:eastAsia="en-NZ"/>
              </w:rPr>
              <w:t xml:space="preserve"> </w:t>
            </w:r>
            <w:r w:rsidRPr="00CE0F64">
              <w:rPr>
                <w:rFonts w:ascii="Wingdings" w:eastAsia="Wingdings" w:hAnsi="Wingdings" w:cs="Calibri"/>
                <w:b/>
                <w:color w:val="FFC000"/>
                <w:szCs w:val="24"/>
                <w:lang w:val="en-GB" w:eastAsia="en-NZ"/>
              </w:rPr>
              <w:t>Ü</w:t>
            </w:r>
          </w:p>
        </w:tc>
        <w:tc>
          <w:tcPr>
            <w:tcW w:w="283" w:type="pct"/>
          </w:tcPr>
          <w:p w14:paraId="35D38CC0"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 xml:space="preserve">8% </w:t>
            </w:r>
            <w:r w:rsidRPr="00C25DD0">
              <w:rPr>
                <w:rFonts w:ascii="Wingdings" w:eastAsia="Wingdings" w:hAnsi="Wingdings" w:cs="Calibri"/>
                <w:color w:val="FF0000"/>
                <w:szCs w:val="24"/>
                <w:lang w:val="en-GB" w:eastAsia="en-NZ"/>
              </w:rPr>
              <w:t>Þ</w:t>
            </w:r>
          </w:p>
        </w:tc>
        <w:tc>
          <w:tcPr>
            <w:tcW w:w="342" w:type="pct"/>
          </w:tcPr>
          <w:p w14:paraId="0FCB7E84"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9%</w:t>
            </w:r>
            <w:r w:rsidRPr="00C25DD0">
              <w:rPr>
                <w:rFonts w:ascii="Calibri" w:eastAsia="Times New Roman" w:hAnsi="Calibri" w:cs="Calibri"/>
                <w:color w:val="000000"/>
                <w:szCs w:val="24"/>
                <w:lang w:val="en-GB" w:eastAsia="en-NZ"/>
              </w:rPr>
              <w:t xml:space="preserve"> </w:t>
            </w:r>
            <w:r w:rsidRPr="00C25DD0">
              <w:rPr>
                <w:rFonts w:ascii="Wingdings" w:eastAsia="Wingdings" w:hAnsi="Wingdings" w:cs="Calibri"/>
                <w:color w:val="FF0000"/>
                <w:szCs w:val="24"/>
                <w:lang w:val="en-GB" w:eastAsia="en-NZ"/>
              </w:rPr>
              <w:t>Þ</w:t>
            </w:r>
          </w:p>
        </w:tc>
        <w:tc>
          <w:tcPr>
            <w:tcW w:w="1808" w:type="pct"/>
            <w:vMerge/>
            <w:shd w:val="clear" w:color="auto" w:fill="auto"/>
          </w:tcPr>
          <w:p w14:paraId="0CC13C7D"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p>
        </w:tc>
      </w:tr>
      <w:tr w:rsidR="007F406C" w:rsidRPr="00C25DD0" w14:paraId="34254579" w14:textId="77777777" w:rsidTr="007F406C">
        <w:trPr>
          <w:trHeight w:val="593"/>
        </w:trPr>
        <w:tc>
          <w:tcPr>
            <w:tcW w:w="1151" w:type="pct"/>
            <w:vMerge/>
          </w:tcPr>
          <w:p w14:paraId="0FC9D576" w14:textId="77777777" w:rsidR="00C25DD0" w:rsidRPr="00C25DD0" w:rsidRDefault="00C25DD0" w:rsidP="00C25DD0">
            <w:pPr>
              <w:spacing w:before="0" w:after="0" w:line="276" w:lineRule="auto"/>
              <w:jc w:val="center"/>
              <w:rPr>
                <w:rFonts w:ascii="Calibri" w:eastAsia="Times New Roman" w:hAnsi="Calibri" w:cs="Calibri"/>
                <w:szCs w:val="24"/>
                <w:lang w:val="en-GB" w:eastAsia="en-NZ"/>
              </w:rPr>
            </w:pPr>
          </w:p>
        </w:tc>
        <w:tc>
          <w:tcPr>
            <w:tcW w:w="527" w:type="pct"/>
          </w:tcPr>
          <w:p w14:paraId="4D0EC571" w14:textId="77777777" w:rsidR="00C25DD0" w:rsidRPr="00C25DD0" w:rsidRDefault="00C25DD0" w:rsidP="00C25DD0">
            <w:pPr>
              <w:spacing w:before="0" w:after="0" w:line="276" w:lineRule="auto"/>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Total</w:t>
            </w:r>
          </w:p>
        </w:tc>
        <w:tc>
          <w:tcPr>
            <w:tcW w:w="296" w:type="pct"/>
          </w:tcPr>
          <w:p w14:paraId="4AB95505" w14:textId="77777777" w:rsidR="00C25DD0" w:rsidRPr="00C25DD0" w:rsidRDefault="00C25DD0" w:rsidP="00C25DD0">
            <w:pPr>
              <w:spacing w:before="0" w:after="0" w:line="276" w:lineRule="auto"/>
              <w:jc w:val="center"/>
              <w:textAlignment w:val="baseline"/>
              <w:rPr>
                <w:rFonts w:ascii="Arial" w:eastAsia="Times New Roman" w:hAnsi="Arial" w:cs="Arial"/>
                <w:color w:val="000000"/>
                <w:szCs w:val="24"/>
                <w:lang w:val="en-GB" w:eastAsia="en-NZ"/>
              </w:rPr>
            </w:pPr>
            <w:r w:rsidRPr="00C25DD0">
              <w:rPr>
                <w:rFonts w:ascii="Arial" w:eastAsia="Times New Roman" w:hAnsi="Arial" w:cs="Arial"/>
                <w:color w:val="000000"/>
                <w:szCs w:val="24"/>
                <w:lang w:val="en-GB" w:eastAsia="en-NZ"/>
              </w:rPr>
              <w:t>12%</w:t>
            </w:r>
          </w:p>
        </w:tc>
        <w:tc>
          <w:tcPr>
            <w:tcW w:w="257" w:type="pct"/>
          </w:tcPr>
          <w:p w14:paraId="42FF79E8"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 xml:space="preserve">11% </w:t>
            </w:r>
            <w:r w:rsidRPr="00C25DD0">
              <w:rPr>
                <w:rFonts w:ascii="Wingdings" w:eastAsia="Wingdings" w:hAnsi="Wingdings" w:cs="Calibri"/>
                <w:color w:val="FF0000"/>
                <w:szCs w:val="24"/>
                <w:lang w:val="en-GB" w:eastAsia="en-NZ"/>
              </w:rPr>
              <w:t>Þ</w:t>
            </w:r>
          </w:p>
        </w:tc>
        <w:tc>
          <w:tcPr>
            <w:tcW w:w="336" w:type="pct"/>
          </w:tcPr>
          <w:p w14:paraId="5DF491FF"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 xml:space="preserve">10% </w:t>
            </w:r>
            <w:r w:rsidRPr="00C25DD0">
              <w:rPr>
                <w:rFonts w:ascii="Wingdings" w:eastAsia="Wingdings" w:hAnsi="Wingdings" w:cs="Calibri"/>
                <w:color w:val="FF0000"/>
                <w:szCs w:val="24"/>
                <w:lang w:val="en-GB" w:eastAsia="en-NZ"/>
              </w:rPr>
              <w:t>Þ</w:t>
            </w:r>
          </w:p>
        </w:tc>
        <w:tc>
          <w:tcPr>
            <w:tcW w:w="283" w:type="pct"/>
          </w:tcPr>
          <w:p w14:paraId="0A91BFE1"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10%</w:t>
            </w:r>
            <w:r w:rsidRPr="00C25DD0">
              <w:rPr>
                <w:rFonts w:ascii="Calibri" w:eastAsia="Times New Roman" w:hAnsi="Calibri" w:cs="Calibri"/>
                <w:color w:val="000000"/>
                <w:szCs w:val="24"/>
                <w:lang w:val="en-GB" w:eastAsia="en-NZ"/>
              </w:rPr>
              <w:t xml:space="preserve"> </w:t>
            </w:r>
            <w:r w:rsidRPr="00CE0F64">
              <w:rPr>
                <w:rFonts w:ascii="Wingdings" w:eastAsia="Wingdings" w:hAnsi="Wingdings" w:cs="Calibri"/>
                <w:b/>
                <w:color w:val="FFC000"/>
                <w:szCs w:val="24"/>
                <w:lang w:val="en-GB" w:eastAsia="en-NZ"/>
              </w:rPr>
              <w:t>Ü</w:t>
            </w:r>
          </w:p>
        </w:tc>
        <w:tc>
          <w:tcPr>
            <w:tcW w:w="342" w:type="pct"/>
          </w:tcPr>
          <w:p w14:paraId="147ABEDB"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r w:rsidRPr="00C25DD0">
              <w:rPr>
                <w:rFonts w:ascii="Arial" w:eastAsia="Times New Roman" w:hAnsi="Arial" w:cs="Arial"/>
                <w:color w:val="000000"/>
                <w:szCs w:val="24"/>
                <w:lang w:val="en-GB" w:eastAsia="en-NZ"/>
              </w:rPr>
              <w:t>10%</w:t>
            </w:r>
            <w:r w:rsidRPr="00C25DD0">
              <w:rPr>
                <w:rFonts w:ascii="Calibri" w:eastAsia="Times New Roman" w:hAnsi="Calibri" w:cs="Calibri"/>
                <w:color w:val="000000"/>
                <w:szCs w:val="24"/>
                <w:lang w:val="en-GB" w:eastAsia="en-NZ"/>
              </w:rPr>
              <w:t xml:space="preserve"> </w:t>
            </w:r>
            <w:r w:rsidRPr="00CE0F64">
              <w:rPr>
                <w:rFonts w:ascii="Wingdings" w:eastAsia="Wingdings" w:hAnsi="Wingdings" w:cs="Calibri"/>
                <w:b/>
                <w:color w:val="FFC000"/>
                <w:szCs w:val="24"/>
                <w:lang w:val="en-GB" w:eastAsia="en-NZ"/>
              </w:rPr>
              <w:t>Ü</w:t>
            </w:r>
          </w:p>
        </w:tc>
        <w:tc>
          <w:tcPr>
            <w:tcW w:w="1808" w:type="pct"/>
            <w:vMerge/>
            <w:shd w:val="clear" w:color="auto" w:fill="auto"/>
          </w:tcPr>
          <w:p w14:paraId="43F8A02A" w14:textId="77777777" w:rsidR="00C25DD0" w:rsidRPr="00C25DD0" w:rsidRDefault="00C25DD0" w:rsidP="00C25DD0">
            <w:pPr>
              <w:spacing w:before="0" w:after="0" w:line="276" w:lineRule="auto"/>
              <w:jc w:val="center"/>
              <w:textAlignment w:val="baseline"/>
              <w:rPr>
                <w:rFonts w:ascii="Calibri" w:eastAsia="Times New Roman" w:hAnsi="Calibri" w:cs="Calibri"/>
                <w:color w:val="000000"/>
                <w:szCs w:val="24"/>
                <w:lang w:val="en-GB" w:eastAsia="en-NZ"/>
              </w:rPr>
            </w:pPr>
          </w:p>
        </w:tc>
      </w:tr>
      <w:tr w:rsidR="00C25DD0" w:rsidRPr="00C25DD0" w14:paraId="28FBAE1B" w14:textId="77777777" w:rsidTr="00964DD6">
        <w:trPr>
          <w:trHeight w:val="300"/>
        </w:trPr>
        <w:tc>
          <w:tcPr>
            <w:tcW w:w="1151" w:type="pct"/>
          </w:tcPr>
          <w:p w14:paraId="14E7011C" w14:textId="77777777" w:rsidR="00C25DD0" w:rsidRPr="00C25DD0" w:rsidRDefault="00C25DD0" w:rsidP="00C25DD0">
            <w:pPr>
              <w:spacing w:before="0" w:after="0" w:line="276" w:lineRule="auto"/>
              <w:rPr>
                <w:rFonts w:ascii="Arial" w:eastAsia="Times New Roman" w:hAnsi="Arial" w:cs="Arial"/>
                <w:b/>
                <w:bCs/>
                <w:szCs w:val="24"/>
                <w:lang w:val="en-GB" w:eastAsia="en-NZ"/>
              </w:rPr>
            </w:pPr>
            <w:r w:rsidRPr="00C25DD0">
              <w:rPr>
                <w:rFonts w:ascii="Arial" w:eastAsia="Times New Roman" w:hAnsi="Arial" w:cs="Arial"/>
                <w:b/>
                <w:bCs/>
                <w:szCs w:val="24"/>
                <w:lang w:val="en-GB" w:eastAsia="en-NZ"/>
              </w:rPr>
              <w:t>Comments</w:t>
            </w:r>
          </w:p>
        </w:tc>
        <w:tc>
          <w:tcPr>
            <w:tcW w:w="3849" w:type="pct"/>
            <w:gridSpan w:val="7"/>
          </w:tcPr>
          <w:p w14:paraId="7D2253F4" w14:textId="77777777" w:rsidR="00C25DD0" w:rsidRPr="00C25DD0" w:rsidRDefault="00C25DD0" w:rsidP="00C25DD0">
            <w:pPr>
              <w:spacing w:before="0" w:after="0" w:line="276" w:lineRule="auto"/>
              <w:textAlignment w:val="baseline"/>
              <w:rPr>
                <w:rFonts w:ascii="Calibri" w:eastAsia="Times New Roman" w:hAnsi="Calibri" w:cs="Calibri"/>
                <w:color w:val="000000"/>
                <w:szCs w:val="24"/>
                <w:lang w:val="en-GB" w:eastAsia="en-NZ"/>
              </w:rPr>
            </w:pPr>
            <w:r w:rsidRPr="00C25DD0">
              <w:rPr>
                <w:rFonts w:ascii="Arial" w:eastAsia="Calibri" w:hAnsi="Arial" w:cs="Arial"/>
                <w:szCs w:val="24"/>
              </w:rPr>
              <w:t xml:space="preserve">The proportion of medical appointments completed through digital channels slightly decreased in the July to September 2023 quarter compared to the same quarter in 2022. The Asian population experienced a decrease in proportion over the previous year, however there was a slight growth in this quarter. Targeted initiatives are underway across Te Whatu Ora and Te Aka Whai Ora to improve access to and use of telehealth services, remote patient monitoring (RPM) and patient portals, all of which will support individuals to access healthcare through digital channels.  </w:t>
            </w:r>
          </w:p>
        </w:tc>
      </w:tr>
    </w:tbl>
    <w:p w14:paraId="16097B59" w14:textId="77777777" w:rsidR="008D31A2" w:rsidRDefault="008D31A2" w:rsidP="005D0911"/>
    <w:tbl>
      <w:tblPr>
        <w:tblStyle w:val="TeWhatuOra"/>
        <w:tblW w:w="5000" w:type="pct"/>
        <w:tblLook w:val="0420" w:firstRow="1" w:lastRow="0" w:firstColumn="0" w:lastColumn="0" w:noHBand="0" w:noVBand="1"/>
      </w:tblPr>
      <w:tblGrid>
        <w:gridCol w:w="21533"/>
      </w:tblGrid>
      <w:tr w:rsidR="000D3205" w:rsidRPr="000D3205" w14:paraId="50A972CD" w14:textId="77777777" w:rsidTr="000D3205">
        <w:trPr>
          <w:cnfStyle w:val="100000000000" w:firstRow="1" w:lastRow="0" w:firstColumn="0" w:lastColumn="0" w:oddVBand="0" w:evenVBand="0" w:oddHBand="0" w:evenHBand="0" w:firstRowFirstColumn="0" w:firstRowLastColumn="0" w:lastRowFirstColumn="0" w:lastRowLastColumn="0"/>
        </w:trPr>
        <w:tc>
          <w:tcPr>
            <w:tcW w:w="5000" w:type="pct"/>
          </w:tcPr>
          <w:p w14:paraId="513746F1" w14:textId="77777777" w:rsidR="000D3205" w:rsidRPr="000D3205" w:rsidRDefault="000D3205" w:rsidP="000D3205">
            <w:pPr>
              <w:spacing w:before="0" w:after="0" w:line="276" w:lineRule="auto"/>
              <w:textAlignment w:val="baseline"/>
              <w:rPr>
                <w:rFonts w:ascii="Arial" w:eastAsia="Calibri" w:hAnsi="Arial" w:cs="Arial"/>
                <w:szCs w:val="24"/>
              </w:rPr>
            </w:pPr>
            <w:r w:rsidRPr="000D3205">
              <w:rPr>
                <w:rFonts w:ascii="Arial" w:eastAsia="Times New Roman" w:hAnsi="Arial" w:cs="Arial"/>
                <w:bCs/>
                <w:szCs w:val="24"/>
                <w:lang w:val="en-GB" w:eastAsia="en-NZ"/>
              </w:rPr>
              <w:t>The following measures have not been included in this quarter one report but will be in future reports.</w:t>
            </w:r>
            <w:r w:rsidRPr="000D3205">
              <w:rPr>
                <w:rFonts w:ascii="Calibri" w:eastAsia="Calibri" w:hAnsi="Calibri" w:cs="Arial"/>
                <w:sz w:val="22"/>
              </w:rPr>
              <w:t xml:space="preserve"> </w:t>
            </w:r>
          </w:p>
        </w:tc>
      </w:tr>
      <w:tr w:rsidR="000D3205" w:rsidRPr="000D3205" w14:paraId="6F8806D1" w14:textId="77777777" w:rsidTr="000D3205">
        <w:tc>
          <w:tcPr>
            <w:tcW w:w="5000" w:type="pct"/>
          </w:tcPr>
          <w:p w14:paraId="0FA607DB" w14:textId="77777777" w:rsidR="000D3205" w:rsidRPr="000D3205" w:rsidRDefault="000D3205" w:rsidP="000D3205">
            <w:pPr>
              <w:spacing w:before="0" w:after="0" w:line="276" w:lineRule="auto"/>
              <w:textAlignment w:val="baseline"/>
              <w:rPr>
                <w:rFonts w:ascii="Arial" w:eastAsia="Calibri" w:hAnsi="Arial" w:cs="Arial"/>
                <w:szCs w:val="24"/>
              </w:rPr>
            </w:pPr>
            <w:r w:rsidRPr="000D3205">
              <w:rPr>
                <w:rFonts w:ascii="Arial" w:eastAsia="Calibri" w:hAnsi="Arial" w:cs="Arial"/>
                <w:b/>
                <w:bCs/>
                <w:szCs w:val="24"/>
              </w:rPr>
              <w:t>Mean Decayed Missing Filled Teeth (DMFT) at school Year 8:</w:t>
            </w:r>
            <w:r w:rsidRPr="000D3205">
              <w:rPr>
                <w:rFonts w:ascii="Arial" w:eastAsia="Calibri" w:hAnsi="Arial" w:cs="Arial"/>
                <w:szCs w:val="24"/>
              </w:rPr>
              <w:t xml:space="preserve"> Results are determined annually and will be reported in quarter three </w:t>
            </w:r>
          </w:p>
        </w:tc>
      </w:tr>
      <w:tr w:rsidR="000D3205" w:rsidRPr="000D3205" w14:paraId="0361E878" w14:textId="77777777" w:rsidTr="000D3205">
        <w:tc>
          <w:tcPr>
            <w:tcW w:w="5000" w:type="pct"/>
          </w:tcPr>
          <w:p w14:paraId="507A6AD9" w14:textId="77777777" w:rsidR="000D3205" w:rsidRPr="000D3205" w:rsidRDefault="000D3205" w:rsidP="000D3205">
            <w:pPr>
              <w:spacing w:before="0" w:after="0" w:line="276" w:lineRule="auto"/>
              <w:textAlignment w:val="baseline"/>
              <w:rPr>
                <w:rFonts w:ascii="Arial" w:eastAsia="Calibri" w:hAnsi="Arial" w:cs="Arial"/>
                <w:szCs w:val="24"/>
              </w:rPr>
            </w:pPr>
            <w:r w:rsidRPr="000D3205">
              <w:rPr>
                <w:rFonts w:ascii="Arial" w:eastAsia="Calibri" w:hAnsi="Arial" w:cs="Arial"/>
                <w:b/>
                <w:bCs/>
                <w:szCs w:val="24"/>
              </w:rPr>
              <w:t>Percentage of smokers enrolled with a stop smoking service, who set a target quit date and will be CO validated at 4 weeks:</w:t>
            </w:r>
            <w:r w:rsidRPr="000D3205">
              <w:rPr>
                <w:rFonts w:ascii="Arial" w:eastAsia="Calibri" w:hAnsi="Arial" w:cs="Arial"/>
                <w:szCs w:val="24"/>
              </w:rPr>
              <w:t xml:space="preserve"> Measure replaced the previous smoking cessation measure and is still under development</w:t>
            </w:r>
          </w:p>
        </w:tc>
      </w:tr>
      <w:tr w:rsidR="000D3205" w:rsidRPr="000D3205" w14:paraId="097BF48E" w14:textId="77777777" w:rsidTr="000D3205">
        <w:tc>
          <w:tcPr>
            <w:tcW w:w="5000" w:type="pct"/>
          </w:tcPr>
          <w:p w14:paraId="5E1FEAB4" w14:textId="77777777" w:rsidR="000D3205" w:rsidRPr="000D3205" w:rsidRDefault="000D3205" w:rsidP="000D3205">
            <w:pPr>
              <w:spacing w:before="0" w:after="0" w:line="276" w:lineRule="auto"/>
              <w:textAlignment w:val="baseline"/>
              <w:rPr>
                <w:rFonts w:ascii="Arial" w:eastAsia="Calibri" w:hAnsi="Arial" w:cs="Arial"/>
                <w:szCs w:val="24"/>
              </w:rPr>
            </w:pPr>
            <w:r w:rsidRPr="000D3205">
              <w:rPr>
                <w:rFonts w:ascii="Arial" w:eastAsia="Calibri" w:hAnsi="Arial" w:cs="Arial"/>
                <w:b/>
                <w:bCs/>
                <w:szCs w:val="24"/>
              </w:rPr>
              <w:t xml:space="preserve">Standardised rate of acute readmissions within 28 days of discharge: </w:t>
            </w:r>
            <w:r w:rsidRPr="000D3205">
              <w:rPr>
                <w:rFonts w:ascii="Arial" w:eastAsia="Calibri" w:hAnsi="Arial" w:cs="Arial"/>
                <w:szCs w:val="24"/>
              </w:rPr>
              <w:t>Data for this measure is being validated and will be reported in quarter two</w:t>
            </w:r>
          </w:p>
        </w:tc>
      </w:tr>
    </w:tbl>
    <w:p w14:paraId="7B1421AA" w14:textId="6E6C5347" w:rsidR="000D3205" w:rsidRDefault="000D3205" w:rsidP="005D0911"/>
    <w:p w14:paraId="6C975C8C" w14:textId="77777777" w:rsidR="00D955CA" w:rsidRDefault="00D955CA" w:rsidP="005D0911"/>
    <w:p w14:paraId="254A7B22" w14:textId="77777777" w:rsidR="00D955CA" w:rsidRDefault="00D955CA" w:rsidP="005D0911"/>
    <w:p w14:paraId="2164A248" w14:textId="77777777" w:rsidR="00D955CA" w:rsidRDefault="00D955CA" w:rsidP="005D0911"/>
    <w:p w14:paraId="51544DF6" w14:textId="77777777" w:rsidR="00D955CA" w:rsidRDefault="00D955CA" w:rsidP="005D0911"/>
    <w:p w14:paraId="6A76FA7B" w14:textId="77777777" w:rsidR="00D955CA" w:rsidRDefault="00D955CA" w:rsidP="005D0911"/>
    <w:p w14:paraId="1E1D8B0E" w14:textId="3C803411" w:rsidR="00C25DD0" w:rsidRDefault="000D3205" w:rsidP="000D3205">
      <w:pPr>
        <w:pStyle w:val="Heading3"/>
      </w:pPr>
      <w:r>
        <w:lastRenderedPageBreak/>
        <w:t>Our Milestones</w:t>
      </w:r>
    </w:p>
    <w:tbl>
      <w:tblPr>
        <w:tblStyle w:val="TableGrid"/>
        <w:tblW w:w="5000" w:type="pct"/>
        <w:tblLook w:val="04A0" w:firstRow="1" w:lastRow="0" w:firstColumn="1" w:lastColumn="0" w:noHBand="0" w:noVBand="1"/>
      </w:tblPr>
      <w:tblGrid>
        <w:gridCol w:w="4388"/>
        <w:gridCol w:w="5956"/>
        <w:gridCol w:w="11189"/>
      </w:tblGrid>
      <w:tr w:rsidR="000D3205" w:rsidRPr="000D3205" w14:paraId="4C578F78" w14:textId="77777777" w:rsidTr="000041C6">
        <w:trPr>
          <w:trHeight w:val="567"/>
        </w:trPr>
        <w:tc>
          <w:tcPr>
            <w:tcW w:w="1019" w:type="pct"/>
            <w:vMerge w:val="restart"/>
          </w:tcPr>
          <w:p w14:paraId="13B99928" w14:textId="77777777" w:rsidR="000D3205" w:rsidRPr="000D3205" w:rsidRDefault="000D3205" w:rsidP="000041C6">
            <w:pPr>
              <w:pStyle w:val="TableText"/>
              <w:spacing w:before="120" w:after="120"/>
            </w:pPr>
            <w:bookmarkStart w:id="91" w:name="_Toc153530392"/>
            <w:bookmarkStart w:id="92" w:name="_Toc153546673"/>
            <w:r w:rsidRPr="000D3205">
              <w:t>Te Pae Tata Priority 2 - Embed Te Tiriti o Waitangi across the health sector</w:t>
            </w:r>
            <w:bookmarkEnd w:id="91"/>
            <w:bookmarkEnd w:id="92"/>
          </w:p>
        </w:tc>
        <w:tc>
          <w:tcPr>
            <w:tcW w:w="1383" w:type="pct"/>
          </w:tcPr>
          <w:p w14:paraId="52354B80" w14:textId="77777777" w:rsidR="000D3205" w:rsidRPr="000D3205" w:rsidRDefault="000D3205" w:rsidP="000041C6">
            <w:pPr>
              <w:pStyle w:val="TableText"/>
              <w:spacing w:before="120" w:after="120"/>
            </w:pPr>
            <w:r w:rsidRPr="000D3205">
              <w:t>Milestones</w:t>
            </w:r>
          </w:p>
        </w:tc>
        <w:tc>
          <w:tcPr>
            <w:tcW w:w="2598" w:type="pct"/>
          </w:tcPr>
          <w:p w14:paraId="7539FACD" w14:textId="65AC698A" w:rsidR="000D3205" w:rsidRPr="000D3205" w:rsidRDefault="000D3205" w:rsidP="000041C6">
            <w:pPr>
              <w:pStyle w:val="TableText"/>
              <w:spacing w:before="120" w:after="120"/>
              <w:rPr>
                <w:lang w:val="en-GB"/>
              </w:rPr>
            </w:pPr>
            <w:r w:rsidRPr="000D3205">
              <w:rPr>
                <w:lang w:val="en-GB"/>
              </w:rPr>
              <w:t>Progress made – Quarter One 2023</w:t>
            </w:r>
          </w:p>
        </w:tc>
      </w:tr>
      <w:tr w:rsidR="000D3205" w:rsidRPr="000D3205" w14:paraId="3C3A48C1" w14:textId="77777777" w:rsidTr="000041C6">
        <w:trPr>
          <w:trHeight w:val="567"/>
        </w:trPr>
        <w:tc>
          <w:tcPr>
            <w:tcW w:w="1019" w:type="pct"/>
            <w:vMerge/>
          </w:tcPr>
          <w:p w14:paraId="5627D851" w14:textId="77777777" w:rsidR="000D3205" w:rsidRPr="000D3205" w:rsidRDefault="000D3205" w:rsidP="000041C6">
            <w:pPr>
              <w:pStyle w:val="TableText"/>
              <w:spacing w:before="120" w:after="120"/>
            </w:pPr>
          </w:p>
        </w:tc>
        <w:tc>
          <w:tcPr>
            <w:tcW w:w="1383" w:type="pct"/>
          </w:tcPr>
          <w:p w14:paraId="51A28094" w14:textId="77777777" w:rsidR="000D3205" w:rsidRPr="000D3205" w:rsidRDefault="000D3205" w:rsidP="000041C6">
            <w:pPr>
              <w:pStyle w:val="TableText"/>
              <w:spacing w:before="120" w:after="120"/>
              <w:rPr>
                <w:vertAlign w:val="superscript"/>
              </w:rPr>
            </w:pPr>
            <w:r w:rsidRPr="000D3205">
              <w:t xml:space="preserve">Localities are established </w:t>
            </w:r>
            <w:r w:rsidRPr="000D3205">
              <w:rPr>
                <w:vertAlign w:val="superscript"/>
              </w:rPr>
              <w:t>2,9,11</w:t>
            </w:r>
            <w:r w:rsidRPr="000D3205">
              <w:t>.</w:t>
            </w:r>
          </w:p>
        </w:tc>
        <w:tc>
          <w:tcPr>
            <w:tcW w:w="2598" w:type="pct"/>
          </w:tcPr>
          <w:p w14:paraId="622B8FD8" w14:textId="77777777" w:rsidR="000D3205" w:rsidRPr="000D3205" w:rsidRDefault="000D3205" w:rsidP="000041C6">
            <w:pPr>
              <w:pStyle w:val="TableText"/>
              <w:spacing w:before="120" w:after="120"/>
            </w:pPr>
            <w:r w:rsidRPr="000D3205">
              <w:rPr>
                <w:lang w:val="en-GB"/>
              </w:rPr>
              <w:t>The current trajectory for provisional boundaries, including the locality prototypes, covers more than 57% of New Zealand’s population. At the current rate, 100% of the population will be situated within a provisional locality boundary by March 2024.</w:t>
            </w:r>
          </w:p>
        </w:tc>
      </w:tr>
      <w:tr w:rsidR="000D3205" w:rsidRPr="000D3205" w14:paraId="59891335" w14:textId="77777777" w:rsidTr="000041C6">
        <w:trPr>
          <w:trHeight w:val="567"/>
        </w:trPr>
        <w:tc>
          <w:tcPr>
            <w:tcW w:w="1019" w:type="pct"/>
            <w:vMerge/>
          </w:tcPr>
          <w:p w14:paraId="2305F48C" w14:textId="77777777" w:rsidR="000D3205" w:rsidRPr="000D3205" w:rsidRDefault="000D3205" w:rsidP="000041C6">
            <w:pPr>
              <w:pStyle w:val="TableText"/>
              <w:spacing w:before="120" w:after="120"/>
            </w:pPr>
          </w:p>
        </w:tc>
        <w:tc>
          <w:tcPr>
            <w:tcW w:w="1383" w:type="pct"/>
          </w:tcPr>
          <w:p w14:paraId="36836FEF" w14:textId="77777777" w:rsidR="000D3205" w:rsidRPr="000D3205" w:rsidRDefault="000D3205" w:rsidP="000041C6">
            <w:pPr>
              <w:pStyle w:val="TableText"/>
              <w:spacing w:before="120" w:after="120"/>
              <w:rPr>
                <w:vertAlign w:val="superscript"/>
              </w:rPr>
            </w:pPr>
            <w:r w:rsidRPr="000D3205">
              <w:t xml:space="preserve">Provider networks are established </w:t>
            </w:r>
            <w:r w:rsidRPr="000D3205">
              <w:rPr>
                <w:vertAlign w:val="superscript"/>
              </w:rPr>
              <w:t>2,9,11</w:t>
            </w:r>
            <w:r w:rsidRPr="000D3205">
              <w:t>.</w:t>
            </w:r>
          </w:p>
        </w:tc>
        <w:tc>
          <w:tcPr>
            <w:tcW w:w="2598" w:type="pct"/>
          </w:tcPr>
          <w:p w14:paraId="6B69EBD4" w14:textId="77777777" w:rsidR="000D3205" w:rsidRPr="000D3205" w:rsidRDefault="000D3205" w:rsidP="000041C6">
            <w:pPr>
              <w:pStyle w:val="TableText"/>
              <w:spacing w:before="120" w:after="120"/>
              <w:rPr>
                <w:lang w:val="en-GB"/>
              </w:rPr>
            </w:pPr>
            <w:r w:rsidRPr="000D3205">
              <w:rPr>
                <w:lang w:val="en-GB"/>
              </w:rPr>
              <w:t xml:space="preserve">Primary Health Organisations remain in place. A broader policy and design work is underway in 2024 to look at future provider network models. </w:t>
            </w:r>
          </w:p>
        </w:tc>
      </w:tr>
    </w:tbl>
    <w:p w14:paraId="2B57D2D1" w14:textId="77777777" w:rsidR="000D3205" w:rsidRDefault="000D3205" w:rsidP="00F27DCD">
      <w:pPr>
        <w:pStyle w:val="TableText"/>
      </w:pPr>
    </w:p>
    <w:tbl>
      <w:tblPr>
        <w:tblStyle w:val="TableGrid"/>
        <w:tblW w:w="5000" w:type="pct"/>
        <w:tblLook w:val="0400" w:firstRow="0" w:lastRow="0" w:firstColumn="0" w:lastColumn="0" w:noHBand="0" w:noVBand="1"/>
      </w:tblPr>
      <w:tblGrid>
        <w:gridCol w:w="4388"/>
        <w:gridCol w:w="5956"/>
        <w:gridCol w:w="11189"/>
      </w:tblGrid>
      <w:tr w:rsidR="000D3205" w:rsidRPr="000D3205" w14:paraId="65E2E5B8" w14:textId="77777777" w:rsidTr="007F406C">
        <w:trPr>
          <w:trHeight w:val="20"/>
        </w:trPr>
        <w:tc>
          <w:tcPr>
            <w:tcW w:w="1019" w:type="pct"/>
            <w:vMerge w:val="restart"/>
          </w:tcPr>
          <w:p w14:paraId="19DA49CE" w14:textId="0839E5A7" w:rsidR="000D3205" w:rsidRPr="000D3205" w:rsidRDefault="000D3205" w:rsidP="000041C6">
            <w:pPr>
              <w:pStyle w:val="TableText"/>
              <w:spacing w:before="120" w:after="120"/>
            </w:pPr>
            <w:bookmarkStart w:id="93" w:name="_Toc153530393"/>
            <w:bookmarkStart w:id="94" w:name="_Toc153546674"/>
            <w:r w:rsidRPr="000D3205">
              <w:t>Te Pae Tata Priority 4 - Keep people well in their communities</w:t>
            </w:r>
            <w:bookmarkEnd w:id="93"/>
            <w:bookmarkEnd w:id="94"/>
          </w:p>
        </w:tc>
        <w:tc>
          <w:tcPr>
            <w:tcW w:w="1383" w:type="pct"/>
          </w:tcPr>
          <w:p w14:paraId="664E2F36" w14:textId="77777777" w:rsidR="000D3205" w:rsidRPr="000D3205" w:rsidRDefault="000D3205" w:rsidP="000041C6">
            <w:pPr>
              <w:pStyle w:val="TableText"/>
              <w:spacing w:before="120" w:after="120"/>
            </w:pPr>
            <w:r w:rsidRPr="000D3205">
              <w:t>Milestones</w:t>
            </w:r>
          </w:p>
        </w:tc>
        <w:tc>
          <w:tcPr>
            <w:tcW w:w="2598" w:type="pct"/>
          </w:tcPr>
          <w:p w14:paraId="6AF220D8" w14:textId="33D8957C" w:rsidR="000D3205" w:rsidRPr="000D3205" w:rsidRDefault="000D3205" w:rsidP="000041C6">
            <w:pPr>
              <w:pStyle w:val="TableText"/>
              <w:spacing w:before="120" w:after="120"/>
              <w:rPr>
                <w:lang w:val="en-GB"/>
              </w:rPr>
            </w:pPr>
            <w:r w:rsidRPr="000D3205">
              <w:rPr>
                <w:lang w:val="en-GB"/>
              </w:rPr>
              <w:t>Progress made – Quarter One 2023</w:t>
            </w:r>
          </w:p>
        </w:tc>
      </w:tr>
      <w:tr w:rsidR="000D3205" w:rsidRPr="000D3205" w14:paraId="08ACB123" w14:textId="77777777" w:rsidTr="007F406C">
        <w:trPr>
          <w:trHeight w:val="20"/>
        </w:trPr>
        <w:tc>
          <w:tcPr>
            <w:tcW w:w="1019" w:type="pct"/>
            <w:vMerge/>
          </w:tcPr>
          <w:p w14:paraId="4C93A95F" w14:textId="77777777" w:rsidR="000D3205" w:rsidRPr="000D3205" w:rsidRDefault="000D3205" w:rsidP="000041C6">
            <w:pPr>
              <w:pStyle w:val="TableText"/>
              <w:spacing w:before="120" w:after="120"/>
            </w:pPr>
          </w:p>
        </w:tc>
        <w:tc>
          <w:tcPr>
            <w:tcW w:w="1383" w:type="pct"/>
          </w:tcPr>
          <w:p w14:paraId="57D58012" w14:textId="77777777" w:rsidR="000D3205" w:rsidRPr="000D3205" w:rsidRDefault="000D3205" w:rsidP="000041C6">
            <w:pPr>
              <w:pStyle w:val="TableText"/>
              <w:spacing w:before="120" w:after="120"/>
              <w:rPr>
                <w:vertAlign w:val="superscript"/>
              </w:rPr>
            </w:pPr>
            <w:r w:rsidRPr="000D3205">
              <w:t xml:space="preserve">Establish a nationally integrated public health service with consistent operating models </w:t>
            </w:r>
            <w:r w:rsidRPr="000D3205">
              <w:rPr>
                <w:vertAlign w:val="superscript"/>
              </w:rPr>
              <w:t>12</w:t>
            </w:r>
            <w:r w:rsidRPr="000D3205">
              <w:t>.</w:t>
            </w:r>
            <w:r w:rsidRPr="000D3205">
              <w:rPr>
                <w:vertAlign w:val="superscript"/>
              </w:rPr>
              <w:t xml:space="preserve"> </w:t>
            </w:r>
          </w:p>
          <w:p w14:paraId="349F1538" w14:textId="77777777" w:rsidR="000D3205" w:rsidRPr="000D3205" w:rsidRDefault="000D3205" w:rsidP="000041C6">
            <w:pPr>
              <w:pStyle w:val="TableText"/>
              <w:spacing w:before="120" w:after="120"/>
            </w:pPr>
          </w:p>
        </w:tc>
        <w:tc>
          <w:tcPr>
            <w:tcW w:w="2598" w:type="pct"/>
          </w:tcPr>
          <w:p w14:paraId="55FDE7A6" w14:textId="77777777" w:rsidR="000D3205" w:rsidRPr="000D3205" w:rsidRDefault="000D3205" w:rsidP="000041C6">
            <w:pPr>
              <w:pStyle w:val="TableText"/>
              <w:spacing w:before="120" w:after="120"/>
              <w:rPr>
                <w:lang w:val="en-GB"/>
              </w:rPr>
            </w:pPr>
            <w:r w:rsidRPr="000D3205">
              <w:rPr>
                <w:lang w:val="en-GB"/>
              </w:rPr>
              <w:t>Work continued to establish a new nationally-integrated operating model. A comprehensive process for the development and transition of kaimahi and public health services to the new model is underway, and the transition to the new structure will continue until early 2024.</w:t>
            </w:r>
          </w:p>
        </w:tc>
      </w:tr>
      <w:tr w:rsidR="000D3205" w:rsidRPr="000D3205" w14:paraId="7F5F9FF1" w14:textId="77777777" w:rsidTr="007F406C">
        <w:trPr>
          <w:trHeight w:val="20"/>
        </w:trPr>
        <w:tc>
          <w:tcPr>
            <w:tcW w:w="1019" w:type="pct"/>
            <w:vMerge/>
          </w:tcPr>
          <w:p w14:paraId="6414396B" w14:textId="77777777" w:rsidR="000D3205" w:rsidRPr="000D3205" w:rsidRDefault="000D3205" w:rsidP="000041C6">
            <w:pPr>
              <w:pStyle w:val="TableText"/>
              <w:spacing w:before="120" w:after="120"/>
            </w:pPr>
          </w:p>
        </w:tc>
        <w:tc>
          <w:tcPr>
            <w:tcW w:w="1383" w:type="pct"/>
          </w:tcPr>
          <w:p w14:paraId="76EBB66D" w14:textId="77777777" w:rsidR="000D3205" w:rsidRPr="000D3205" w:rsidRDefault="000D3205" w:rsidP="000041C6">
            <w:pPr>
              <w:pStyle w:val="TableText"/>
              <w:spacing w:before="120" w:after="120"/>
              <w:rPr>
                <w:vertAlign w:val="superscript"/>
              </w:rPr>
            </w:pPr>
            <w:r w:rsidRPr="000D3205">
              <w:t xml:space="preserve">Continue COVID-9 response in line with policy settings and build towards a new business-as-usual pandemic resilient system </w:t>
            </w:r>
            <w:r w:rsidRPr="000D3205">
              <w:rPr>
                <w:vertAlign w:val="superscript"/>
              </w:rPr>
              <w:t>12</w:t>
            </w:r>
            <w:r w:rsidRPr="000D3205">
              <w:t>.</w:t>
            </w:r>
            <w:r w:rsidRPr="000D3205">
              <w:rPr>
                <w:vertAlign w:val="superscript"/>
              </w:rPr>
              <w:t xml:space="preserve"> </w:t>
            </w:r>
          </w:p>
        </w:tc>
        <w:tc>
          <w:tcPr>
            <w:tcW w:w="2598" w:type="pct"/>
          </w:tcPr>
          <w:p w14:paraId="4BC27DC4" w14:textId="77777777" w:rsidR="000D3205" w:rsidRPr="000D3205" w:rsidRDefault="000D3205" w:rsidP="000041C6">
            <w:pPr>
              <w:pStyle w:val="TableText"/>
              <w:spacing w:before="120" w:after="120"/>
              <w:rPr>
                <w:lang w:val="en-GB"/>
              </w:rPr>
            </w:pPr>
            <w:r w:rsidRPr="000D3205">
              <w:rPr>
                <w:lang w:val="en-GB"/>
              </w:rPr>
              <w:t>The transition of COVID-19 services to our “new” business-as-usual operating model (to minimise the demand that COVID-19 places on the wider health system) continued with a focus on providing services and community-led programmes to populations at greatest risk of serious illness from COVID-19 or other communicable diseases, including Māori, Pacific Peoples, Disabled Peoples, the elderly and the otherwise clinically vulnerable.</w:t>
            </w:r>
          </w:p>
        </w:tc>
      </w:tr>
    </w:tbl>
    <w:p w14:paraId="441EC2BE" w14:textId="77777777" w:rsidR="000D3205" w:rsidRDefault="000D3205" w:rsidP="00F27DCD">
      <w:pPr>
        <w:pStyle w:val="TableText"/>
      </w:pPr>
    </w:p>
    <w:tbl>
      <w:tblPr>
        <w:tblStyle w:val="TableGrid"/>
        <w:tblW w:w="5000" w:type="pct"/>
        <w:tblLook w:val="04A0" w:firstRow="1" w:lastRow="0" w:firstColumn="1" w:lastColumn="0" w:noHBand="0" w:noVBand="1"/>
      </w:tblPr>
      <w:tblGrid>
        <w:gridCol w:w="4388"/>
        <w:gridCol w:w="5956"/>
        <w:gridCol w:w="11189"/>
      </w:tblGrid>
      <w:tr w:rsidR="000D3205" w:rsidRPr="000D3205" w14:paraId="6D108897" w14:textId="77777777" w:rsidTr="000041C6">
        <w:tc>
          <w:tcPr>
            <w:tcW w:w="1019" w:type="pct"/>
            <w:vMerge w:val="restart"/>
          </w:tcPr>
          <w:p w14:paraId="353D0B79" w14:textId="157DB036" w:rsidR="000D3205" w:rsidRPr="000D3205" w:rsidRDefault="000D3205" w:rsidP="000041C6">
            <w:pPr>
              <w:pStyle w:val="TableText"/>
              <w:spacing w:before="120" w:after="120"/>
            </w:pPr>
            <w:bookmarkStart w:id="95" w:name="_Toc153530394"/>
            <w:bookmarkStart w:id="96" w:name="_Toc153546675"/>
            <w:r w:rsidRPr="000D3205">
              <w:t>Te Pae Tata Priority 5 - Develop greater use of digital services to provide more care in homes and communities</w:t>
            </w:r>
            <w:bookmarkEnd w:id="95"/>
            <w:bookmarkEnd w:id="96"/>
          </w:p>
        </w:tc>
        <w:tc>
          <w:tcPr>
            <w:tcW w:w="1383" w:type="pct"/>
          </w:tcPr>
          <w:p w14:paraId="01EDF5A1" w14:textId="77777777" w:rsidR="000D3205" w:rsidRPr="000D3205" w:rsidRDefault="000D3205" w:rsidP="000041C6">
            <w:pPr>
              <w:pStyle w:val="TableText"/>
              <w:spacing w:before="120" w:after="120"/>
            </w:pPr>
            <w:r w:rsidRPr="000D3205">
              <w:t>Milestones</w:t>
            </w:r>
          </w:p>
        </w:tc>
        <w:tc>
          <w:tcPr>
            <w:tcW w:w="2598" w:type="pct"/>
          </w:tcPr>
          <w:p w14:paraId="20F4DEB5" w14:textId="77777777" w:rsidR="000D3205" w:rsidRPr="000D3205" w:rsidRDefault="000D3205" w:rsidP="000041C6">
            <w:pPr>
              <w:pStyle w:val="TableText"/>
              <w:spacing w:before="120" w:after="120"/>
            </w:pPr>
            <w:r w:rsidRPr="000D3205">
              <w:t>Progress made – Quarter One 2023</w:t>
            </w:r>
          </w:p>
        </w:tc>
      </w:tr>
      <w:tr w:rsidR="000D3205" w:rsidRPr="000D3205" w14:paraId="384B7D8B" w14:textId="77777777" w:rsidTr="000041C6">
        <w:tc>
          <w:tcPr>
            <w:tcW w:w="1019" w:type="pct"/>
            <w:vMerge/>
          </w:tcPr>
          <w:p w14:paraId="2E54FA99" w14:textId="77777777" w:rsidR="000D3205" w:rsidRPr="000D3205" w:rsidRDefault="000D3205" w:rsidP="000041C6">
            <w:pPr>
              <w:pStyle w:val="TableText"/>
              <w:spacing w:before="120" w:after="120"/>
            </w:pPr>
          </w:p>
        </w:tc>
        <w:tc>
          <w:tcPr>
            <w:tcW w:w="1383" w:type="pct"/>
          </w:tcPr>
          <w:p w14:paraId="0D1E8F3C" w14:textId="77777777" w:rsidR="000D3205" w:rsidRPr="000D3205" w:rsidRDefault="000D3205" w:rsidP="000041C6">
            <w:pPr>
              <w:pStyle w:val="TableText"/>
              <w:spacing w:before="120" w:after="120"/>
              <w:rPr>
                <w:vertAlign w:val="superscript"/>
              </w:rPr>
            </w:pPr>
            <w:r w:rsidRPr="000D3205">
              <w:t>Improve digital access to primary and mental healthcare to improve access and choice including virtual after-hours and telehealth with a focus on rural communities rural.</w:t>
            </w:r>
            <w:r w:rsidRPr="000D3205">
              <w:rPr>
                <w:vertAlign w:val="superscript"/>
              </w:rPr>
              <w:t>2,11</w:t>
            </w:r>
            <w:r w:rsidRPr="000D3205">
              <w:t xml:space="preserve"> </w:t>
            </w:r>
          </w:p>
        </w:tc>
        <w:tc>
          <w:tcPr>
            <w:tcW w:w="2598" w:type="pct"/>
          </w:tcPr>
          <w:p w14:paraId="6869A77E" w14:textId="77777777" w:rsidR="000D3205" w:rsidRPr="000D3205" w:rsidRDefault="000D3205" w:rsidP="000041C6">
            <w:pPr>
              <w:pStyle w:val="TableText"/>
              <w:spacing w:before="120" w:after="120"/>
              <w:rPr>
                <w:lang w:val="en-GB"/>
              </w:rPr>
            </w:pPr>
            <w:r w:rsidRPr="000D3205">
              <w:rPr>
                <w:lang w:val="en-GB"/>
              </w:rPr>
              <w:t>The interim clinical telehealth service was set up to support rural, Māori and Pacific general practices as well as high deprivation populations managed over 26,000 calls, including 5,900 medical consultations since December 2022.The national rural clinical telehealth service planned to be in place by the end of October 2023.</w:t>
            </w:r>
          </w:p>
        </w:tc>
      </w:tr>
    </w:tbl>
    <w:p w14:paraId="4C955987" w14:textId="77777777" w:rsidR="000D3205" w:rsidRDefault="000D3205" w:rsidP="00F27DCD">
      <w:pPr>
        <w:pStyle w:val="TableText"/>
      </w:pPr>
    </w:p>
    <w:tbl>
      <w:tblPr>
        <w:tblStyle w:val="TableGrid"/>
        <w:tblW w:w="5000" w:type="pct"/>
        <w:tblLook w:val="04A0" w:firstRow="1" w:lastRow="0" w:firstColumn="1" w:lastColumn="0" w:noHBand="0" w:noVBand="1"/>
      </w:tblPr>
      <w:tblGrid>
        <w:gridCol w:w="4388"/>
        <w:gridCol w:w="5956"/>
        <w:gridCol w:w="11189"/>
      </w:tblGrid>
      <w:tr w:rsidR="000D3205" w:rsidRPr="000D3205" w14:paraId="53231EA6" w14:textId="77777777" w:rsidTr="000041C6">
        <w:tc>
          <w:tcPr>
            <w:tcW w:w="1019" w:type="pct"/>
            <w:vMerge w:val="restart"/>
          </w:tcPr>
          <w:p w14:paraId="4C03417C" w14:textId="6C1E53F6" w:rsidR="000D3205" w:rsidRPr="000D3205" w:rsidRDefault="000D3205" w:rsidP="000041C6">
            <w:pPr>
              <w:pStyle w:val="TableText"/>
              <w:spacing w:before="120" w:after="120"/>
            </w:pPr>
            <w:bookmarkStart w:id="97" w:name="_Toc153546676"/>
            <w:r w:rsidRPr="000D3205">
              <w:t>Te Pae Tata Priority 6 - Establish Te Whatu Ora and Te Aka Whai Ora to support a financially sustainable system</w:t>
            </w:r>
            <w:bookmarkEnd w:id="97"/>
          </w:p>
        </w:tc>
        <w:tc>
          <w:tcPr>
            <w:tcW w:w="1383" w:type="pct"/>
          </w:tcPr>
          <w:p w14:paraId="33EEDB58" w14:textId="77777777" w:rsidR="000D3205" w:rsidRPr="000D3205" w:rsidRDefault="000D3205" w:rsidP="000041C6">
            <w:pPr>
              <w:pStyle w:val="TableText"/>
              <w:spacing w:before="120" w:after="120"/>
            </w:pPr>
            <w:r w:rsidRPr="000D3205">
              <w:t>Milestones</w:t>
            </w:r>
          </w:p>
        </w:tc>
        <w:tc>
          <w:tcPr>
            <w:tcW w:w="2598" w:type="pct"/>
          </w:tcPr>
          <w:p w14:paraId="3311F650" w14:textId="6326EF4D" w:rsidR="000D3205" w:rsidRPr="000D3205" w:rsidRDefault="000D3205" w:rsidP="000041C6">
            <w:pPr>
              <w:pStyle w:val="TableText"/>
              <w:spacing w:before="120" w:after="120"/>
              <w:rPr>
                <w:lang w:val="en-GB"/>
              </w:rPr>
            </w:pPr>
            <w:r w:rsidRPr="000D3205">
              <w:rPr>
                <w:lang w:val="en-GB"/>
              </w:rPr>
              <w:t>Progress made – Quarter One 2023</w:t>
            </w:r>
          </w:p>
        </w:tc>
      </w:tr>
      <w:tr w:rsidR="000D3205" w:rsidRPr="000D3205" w14:paraId="322193B2" w14:textId="77777777" w:rsidTr="000041C6">
        <w:tc>
          <w:tcPr>
            <w:tcW w:w="1019" w:type="pct"/>
            <w:vMerge/>
          </w:tcPr>
          <w:p w14:paraId="055B9A01" w14:textId="77777777" w:rsidR="000D3205" w:rsidRPr="000D3205" w:rsidRDefault="000D3205" w:rsidP="000041C6">
            <w:pPr>
              <w:pStyle w:val="TableText"/>
              <w:spacing w:before="120" w:after="120"/>
            </w:pPr>
          </w:p>
        </w:tc>
        <w:tc>
          <w:tcPr>
            <w:tcW w:w="1383" w:type="pct"/>
          </w:tcPr>
          <w:p w14:paraId="262FC7B8" w14:textId="77777777" w:rsidR="000D3205" w:rsidRPr="000D3205" w:rsidRDefault="000D3205" w:rsidP="000041C6">
            <w:pPr>
              <w:pStyle w:val="TableText"/>
              <w:spacing w:before="120" w:after="120"/>
              <w:rPr>
                <w:vertAlign w:val="superscript"/>
              </w:rPr>
            </w:pPr>
            <w:r w:rsidRPr="000D3205">
              <w:t>Progress the approved capital infrastructure projects that are underway, taking all practicable measures to ensure that project milestones are met, and anticipated benefits realised, within budget</w:t>
            </w:r>
            <w:bookmarkStart w:id="98" w:name="_Ref150789015"/>
            <w:r w:rsidRPr="000D3205">
              <w:t xml:space="preserve"> </w:t>
            </w:r>
            <w:r w:rsidRPr="000D3205">
              <w:rPr>
                <w:vertAlign w:val="superscript"/>
              </w:rPr>
              <w:footnoteReference w:id="14"/>
            </w:r>
            <w:r w:rsidRPr="000D3205">
              <w:t xml:space="preserve">. </w:t>
            </w:r>
            <w:bookmarkEnd w:id="98"/>
          </w:p>
        </w:tc>
        <w:tc>
          <w:tcPr>
            <w:tcW w:w="2598" w:type="pct"/>
          </w:tcPr>
          <w:p w14:paraId="120DAFE5" w14:textId="7926C12B" w:rsidR="000D3205" w:rsidRPr="000D3205" w:rsidRDefault="00AC4C49" w:rsidP="000041C6">
            <w:pPr>
              <w:pStyle w:val="TableText"/>
              <w:spacing w:before="120" w:after="120"/>
            </w:pPr>
            <w:r w:rsidRPr="00AC4C49">
              <w:t>As at 30 September 2023, there were 74 approved capital infrastructure projects underway.</w:t>
            </w:r>
            <w:r w:rsidR="0041354B">
              <w:t xml:space="preserve"> </w:t>
            </w:r>
            <w:r w:rsidRPr="00AC4C49">
              <w:t>Of these, 9 projects were identified as having significant budget and milestone risk and will require decisions from the Committee, Board and potentially Ministers to resolve.</w:t>
            </w:r>
          </w:p>
        </w:tc>
      </w:tr>
      <w:tr w:rsidR="000D3205" w:rsidRPr="000D3205" w14:paraId="055A57C0" w14:textId="77777777" w:rsidTr="000041C6">
        <w:tc>
          <w:tcPr>
            <w:tcW w:w="1019" w:type="pct"/>
            <w:vMerge/>
          </w:tcPr>
          <w:p w14:paraId="4D2BF3A6" w14:textId="77777777" w:rsidR="000D3205" w:rsidRPr="000D3205" w:rsidRDefault="000D3205" w:rsidP="000041C6">
            <w:pPr>
              <w:pStyle w:val="TableText"/>
              <w:spacing w:before="120" w:after="120"/>
            </w:pPr>
          </w:p>
        </w:tc>
        <w:tc>
          <w:tcPr>
            <w:tcW w:w="1383" w:type="pct"/>
          </w:tcPr>
          <w:p w14:paraId="2A2EF4EF" w14:textId="77777777" w:rsidR="000D3205" w:rsidRPr="000D3205" w:rsidRDefault="000D3205" w:rsidP="000041C6">
            <w:pPr>
              <w:pStyle w:val="TableText"/>
              <w:spacing w:before="120" w:after="120"/>
              <w:rPr>
                <w:vertAlign w:val="superscript"/>
              </w:rPr>
            </w:pPr>
            <w:r w:rsidRPr="000D3205">
              <w:t xml:space="preserve">Deliver the approved digital capital projects in line with Business Cases </w:t>
            </w:r>
            <w:r w:rsidRPr="000D3205">
              <w:rPr>
                <w:vertAlign w:val="superscript"/>
              </w:rPr>
              <w:t>14</w:t>
            </w:r>
            <w:r w:rsidRPr="000D3205">
              <w:t>.</w:t>
            </w:r>
          </w:p>
        </w:tc>
        <w:tc>
          <w:tcPr>
            <w:tcW w:w="2598" w:type="pct"/>
          </w:tcPr>
          <w:p w14:paraId="66772F31" w14:textId="77777777" w:rsidR="000D3205" w:rsidRPr="000D3205" w:rsidRDefault="000D3205" w:rsidP="000041C6">
            <w:pPr>
              <w:pStyle w:val="TableText"/>
              <w:spacing w:before="120" w:after="120"/>
            </w:pPr>
            <w:r w:rsidRPr="000D3205">
              <w:t xml:space="preserve">This quarter one, the overall delivery of capital projects aligned with their business cases and progressed as planned for the most part. Common challenges were highlighted across projects in relation to resource constraints, particularly through the current period of change. </w:t>
            </w:r>
          </w:p>
        </w:tc>
      </w:tr>
    </w:tbl>
    <w:p w14:paraId="0CFEA223" w14:textId="77777777" w:rsidR="000D3205" w:rsidRPr="000041C6" w:rsidRDefault="000D3205" w:rsidP="000041C6">
      <w:pPr>
        <w:spacing w:before="0" w:after="0"/>
        <w:rPr>
          <w:sz w:val="2"/>
          <w:szCs w:val="2"/>
        </w:rPr>
      </w:pPr>
    </w:p>
    <w:p w14:paraId="7215C75D" w14:textId="77777777" w:rsidR="005D0911" w:rsidRPr="000041C6" w:rsidRDefault="005D0911" w:rsidP="000041C6">
      <w:pPr>
        <w:spacing w:before="0" w:after="0"/>
        <w:rPr>
          <w:sz w:val="2"/>
          <w:szCs w:val="2"/>
        </w:rPr>
        <w:sectPr w:rsidR="005D0911" w:rsidRPr="000041C6" w:rsidSect="00203C6D">
          <w:footerReference w:type="default" r:id="rId35"/>
          <w:pgSz w:w="23811" w:h="16838" w:orient="landscape" w:code="8"/>
          <w:pgMar w:top="1134" w:right="1134" w:bottom="1134" w:left="1134" w:header="1304" w:footer="709" w:gutter="0"/>
          <w:cols w:space="708"/>
          <w:docGrid w:linePitch="360"/>
        </w:sectPr>
      </w:pPr>
    </w:p>
    <w:p w14:paraId="08B27043" w14:textId="0D893B14" w:rsidR="005D0911" w:rsidRDefault="000D3205" w:rsidP="000D3205">
      <w:pPr>
        <w:pStyle w:val="NumberedHeading1"/>
      </w:pPr>
      <w:bookmarkStart w:id="99" w:name="_Toc157771864"/>
      <w:r>
        <w:lastRenderedPageBreak/>
        <w:t>Financial Performance</w:t>
      </w:r>
      <w:bookmarkEnd w:id="99"/>
    </w:p>
    <w:p w14:paraId="3C82D195" w14:textId="323C3774" w:rsidR="000D3205" w:rsidRDefault="000D3205" w:rsidP="000D3205">
      <w:pPr>
        <w:pStyle w:val="Heading4"/>
      </w:pPr>
      <w:r>
        <w:t xml:space="preserve">Key </w:t>
      </w:r>
      <w:r w:rsidR="009E072E">
        <w:t>p</w:t>
      </w:r>
      <w:r>
        <w:t>oints</w:t>
      </w:r>
    </w:p>
    <w:p w14:paraId="458DEACE" w14:textId="77777777" w:rsidR="000D3205" w:rsidRPr="000D3205" w:rsidRDefault="000D3205" w:rsidP="000D3205">
      <w:pPr>
        <w:pStyle w:val="BoxBullet"/>
      </w:pPr>
      <w:r w:rsidRPr="000D3205">
        <w:t>The operating result for the month is a $5m deficit, $2m favourable to budget. The year-to-date result is a deficit of $12m, also $2m favourable to budget.</w:t>
      </w:r>
    </w:p>
    <w:p w14:paraId="7075B62D" w14:textId="77777777" w:rsidR="000D3205" w:rsidRPr="000D3205" w:rsidRDefault="000D3205" w:rsidP="000D3205">
      <w:pPr>
        <w:pStyle w:val="BoxBullet"/>
      </w:pPr>
      <w:r w:rsidRPr="000D3205">
        <w:t>Closing cash at the end of September was $1.878b, excluding trusts.</w:t>
      </w:r>
    </w:p>
    <w:p w14:paraId="6EDAD847" w14:textId="77777777" w:rsidR="000D3205" w:rsidRPr="000D3205" w:rsidRDefault="000D3205" w:rsidP="000D3205">
      <w:pPr>
        <w:pStyle w:val="BoxBullet"/>
      </w:pPr>
      <w:r w:rsidRPr="000D3205">
        <w:t>Year-end forecast is as per the budget at this point in the year. Detailed forecasting will be provided in reports from September month and year to date onwards.</w:t>
      </w:r>
    </w:p>
    <w:p w14:paraId="5CA8066A" w14:textId="77777777" w:rsidR="000D3205" w:rsidRPr="000D3205" w:rsidRDefault="000D3205" w:rsidP="000D3205">
      <w:pPr>
        <w:pStyle w:val="BoxBullet"/>
      </w:pPr>
      <w:r w:rsidRPr="000D3205">
        <w:t>Planned savings remain largely on track after three months, year to date savings of $68m have been achieved. Savings have been phased reflecting the months in which they are expected to be achieved, the full annual savings target is $540m.</w:t>
      </w:r>
    </w:p>
    <w:p w14:paraId="350AFCA1" w14:textId="77777777" w:rsidR="000D3205" w:rsidRPr="000D3205" w:rsidRDefault="000D3205" w:rsidP="000D3205">
      <w:pPr>
        <w:pStyle w:val="BoxBullet"/>
      </w:pPr>
      <w:r w:rsidRPr="000D3205">
        <w:t>Key trends over the 14 months of operation for Te Whatu Ora are continuing vacancies overall in the employed workforce. These are offset by use of overtime, locum and external agency staff.</w:t>
      </w:r>
    </w:p>
    <w:p w14:paraId="50FFC9CF" w14:textId="018A8A74" w:rsidR="000D3205" w:rsidRDefault="000D3205" w:rsidP="000D3205">
      <w:pPr>
        <w:pStyle w:val="BoxBullet"/>
      </w:pPr>
      <w:r w:rsidRPr="000D3205">
        <w:t>The 2022/23 Year-End Audit was signed on 31 October, within the Audit New Zealand statutory deadline.</w:t>
      </w:r>
    </w:p>
    <w:p w14:paraId="1AD01583" w14:textId="3C6B395B" w:rsidR="000D3205" w:rsidRDefault="000D3205" w:rsidP="000D3205">
      <w:pPr>
        <w:pStyle w:val="Heading4"/>
      </w:pPr>
      <w:r w:rsidRPr="004E3D20">
        <w:t xml:space="preserve">Key issues, risks </w:t>
      </w:r>
      <w:r w:rsidR="009E072E">
        <w:t>and</w:t>
      </w:r>
      <w:r w:rsidRPr="004E3D20">
        <w:t xml:space="preserve"> work plan</w:t>
      </w:r>
    </w:p>
    <w:p w14:paraId="728FC277" w14:textId="77777777" w:rsidR="000D3205" w:rsidRPr="000D3205" w:rsidRDefault="000D3205" w:rsidP="000D3205">
      <w:pPr>
        <w:pStyle w:val="BoxBullet"/>
      </w:pPr>
      <w:r w:rsidRPr="000D3205">
        <w:t>The two most significant financial risks faced by Te Whatu Ora in the current year remain the risk around collective employment settlement agreements above budgeted and funded levels and inflationary pressures.</w:t>
      </w:r>
    </w:p>
    <w:p w14:paraId="102453EF" w14:textId="77777777" w:rsidR="000D3205" w:rsidRPr="000D3205" w:rsidRDefault="000D3205" w:rsidP="000D3205">
      <w:pPr>
        <w:pStyle w:val="BoxBullet"/>
      </w:pPr>
      <w:r w:rsidRPr="000D3205">
        <w:t>Preparation for Budget 24 continues. For Budget 2024 we need to demonstrate our capability to plan and provision over a multi-year period in order to shift from annual operational funding to three-year settlements. To support this, we have developed a five-year financial forecast and scenario model.</w:t>
      </w:r>
    </w:p>
    <w:p w14:paraId="54A777E1" w14:textId="62A9EA5B" w:rsidR="000D3205" w:rsidRDefault="000D3205" w:rsidP="000D3205">
      <w:pPr>
        <w:pStyle w:val="BoxBullet"/>
      </w:pPr>
      <w:r w:rsidRPr="000D3205">
        <w:t>Roll out of the Finance, Procurement, Information Management (FPIM) system continues. Hawke’s Bar went live on 1 October and Nelson/Marlborough went live on 1 November.</w:t>
      </w:r>
    </w:p>
    <w:p w14:paraId="149DBCAF" w14:textId="40D0D269" w:rsidR="000D3205" w:rsidRDefault="000D3205" w:rsidP="000D3205">
      <w:r w:rsidRPr="009B6B4B">
        <w:rPr>
          <w:noProof/>
        </w:rPr>
        <w:lastRenderedPageBreak/>
        <w:drawing>
          <wp:inline distT="0" distB="0" distL="0" distR="0" wp14:anchorId="2624CCF4" wp14:editId="58AE5582">
            <wp:extent cx="6458585" cy="6520815"/>
            <wp:effectExtent l="19050" t="19050" r="18415" b="13335"/>
            <wp:docPr id="976695446" name="Picture 976695446" descr="Chart showing the revenue and expenditure of the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95446" name="Picture 976695446" descr="Chart showing the revenue and expenditure of the quart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58585" cy="6520815"/>
                    </a:xfrm>
                    <a:prstGeom prst="rect">
                      <a:avLst/>
                    </a:prstGeom>
                    <a:noFill/>
                    <a:ln>
                      <a:solidFill>
                        <a:schemeClr val="bg1">
                          <a:lumMod val="85000"/>
                        </a:schemeClr>
                      </a:solidFill>
                    </a:ln>
                  </pic:spPr>
                </pic:pic>
              </a:graphicData>
            </a:graphic>
          </wp:inline>
        </w:drawing>
      </w:r>
    </w:p>
    <w:p w14:paraId="3936C8A8" w14:textId="77777777" w:rsidR="000D3205" w:rsidRDefault="000D3205" w:rsidP="000D3205">
      <w:pPr>
        <w:sectPr w:rsidR="000D3205" w:rsidSect="00203C6D">
          <w:footerReference w:type="default" r:id="rId37"/>
          <w:pgSz w:w="11906" w:h="16838"/>
          <w:pgMar w:top="1134" w:right="1134" w:bottom="1134" w:left="1134" w:header="1304" w:footer="709" w:gutter="0"/>
          <w:cols w:space="708"/>
          <w:docGrid w:linePitch="360"/>
        </w:sectPr>
      </w:pPr>
    </w:p>
    <w:p w14:paraId="169268B9" w14:textId="77777777" w:rsidR="000D3205" w:rsidRDefault="000D3205" w:rsidP="000D3205">
      <w:r w:rsidRPr="00A33725">
        <w:rPr>
          <w:noProof/>
        </w:rPr>
        <w:lastRenderedPageBreak/>
        <w:drawing>
          <wp:inline distT="0" distB="0" distL="0" distR="0" wp14:anchorId="6372EDF3" wp14:editId="53AED83C">
            <wp:extent cx="9378457" cy="6105331"/>
            <wp:effectExtent l="0" t="0" r="0" b="0"/>
            <wp:docPr id="19" name="Picture 19" descr="Diagram showing charts for the financial revenue and expenditure of Te Whatu Ora in 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showing charts for the financial revenue and expenditure of Te Whatu Ora in Septemb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82748" cy="6108124"/>
                    </a:xfrm>
                    <a:prstGeom prst="rect">
                      <a:avLst/>
                    </a:prstGeom>
                    <a:noFill/>
                    <a:ln>
                      <a:noFill/>
                    </a:ln>
                  </pic:spPr>
                </pic:pic>
              </a:graphicData>
            </a:graphic>
          </wp:inline>
        </w:drawing>
      </w:r>
    </w:p>
    <w:p w14:paraId="05BC9D31" w14:textId="09C84F5C" w:rsidR="000D3205" w:rsidRDefault="000D3205" w:rsidP="000D3205">
      <w:pPr>
        <w:sectPr w:rsidR="000D3205" w:rsidSect="00203C6D">
          <w:pgSz w:w="16838" w:h="11906" w:orient="landscape"/>
          <w:pgMar w:top="1134" w:right="1134" w:bottom="1134" w:left="1134" w:header="1304" w:footer="709" w:gutter="0"/>
          <w:cols w:space="708"/>
          <w:docGrid w:linePitch="360"/>
        </w:sectPr>
      </w:pPr>
      <w:r w:rsidRPr="004750F3">
        <w:rPr>
          <w:noProof/>
          <w:szCs w:val="24"/>
        </w:rPr>
        <w:lastRenderedPageBreak/>
        <w:drawing>
          <wp:inline distT="0" distB="0" distL="0" distR="0" wp14:anchorId="64994134" wp14:editId="7DBAC1CA">
            <wp:extent cx="6985635" cy="5725160"/>
            <wp:effectExtent l="0" t="0" r="5715" b="8890"/>
            <wp:docPr id="1825775844" name="Picture 1825775844" descr="Table showing the expenditure by function of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75844" name="Picture 1825775844" descr="Table showing the expenditure by function of September 20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85635" cy="5725160"/>
                    </a:xfrm>
                    <a:prstGeom prst="rect">
                      <a:avLst/>
                    </a:prstGeom>
                    <a:noFill/>
                    <a:ln>
                      <a:noFill/>
                    </a:ln>
                  </pic:spPr>
                </pic:pic>
              </a:graphicData>
            </a:graphic>
          </wp:inline>
        </w:drawing>
      </w:r>
    </w:p>
    <w:p w14:paraId="38CE8323" w14:textId="0A729D2D" w:rsidR="000D3205" w:rsidRPr="000D3205" w:rsidRDefault="000D3205" w:rsidP="000D3205">
      <w:pPr>
        <w:pStyle w:val="Heading4"/>
      </w:pPr>
      <w:r w:rsidRPr="000D3205">
        <w:lastRenderedPageBreak/>
        <w:t>Savings Commentary</w:t>
      </w:r>
    </w:p>
    <w:p w14:paraId="6589B911" w14:textId="154CBCD1" w:rsidR="000D3205" w:rsidRPr="000D3205" w:rsidRDefault="000D3205" w:rsidP="000D3205">
      <w:r w:rsidRPr="000D3205">
        <w:t>The savings table reflects savings built into the 2023/24 operational budget. The initial annual savings of $500m was upgraded to $540m to cover increased provision to settle collective employment agreements. The breakdown above reflects targets built into operational budgets on a bottom-up basis to ensure accountability and accurate reporting. Savings are phased throughout the year with more savings expected to be realised in the later months.</w:t>
      </w:r>
      <w:r w:rsidR="009E072E">
        <w:t xml:space="preserve"> </w:t>
      </w:r>
      <w:r w:rsidRPr="000D3205">
        <w:t xml:space="preserve">These savings have been directed to: </w:t>
      </w:r>
    </w:p>
    <w:p w14:paraId="6F8DBBD5" w14:textId="5EBDEC6D" w:rsidR="000D3205" w:rsidRPr="000D3205" w:rsidRDefault="000D3205" w:rsidP="000D3205">
      <w:pPr>
        <w:pStyle w:val="ListBullet"/>
      </w:pPr>
      <w:r w:rsidRPr="000D3205">
        <w:t xml:space="preserve">Implementation of the Breast Screening Review and the </w:t>
      </w:r>
      <w:r w:rsidR="009E072E">
        <w:t>i</w:t>
      </w:r>
      <w:r w:rsidRPr="000D3205">
        <w:t>mplementation of the Immunisation Taskforce report</w:t>
      </w:r>
    </w:p>
    <w:p w14:paraId="2B6BC17B" w14:textId="3396DA24" w:rsidR="000D3205" w:rsidRPr="000D3205" w:rsidRDefault="000D3205" w:rsidP="000D3205">
      <w:pPr>
        <w:pStyle w:val="ListBullet"/>
      </w:pPr>
      <w:r w:rsidRPr="000D3205">
        <w:t xml:space="preserve">A funding pool for Winter initiatives, improving both preparedness and response, including negotiating contracts with primary and community care and accelerating recruitment to support hospital hotspots </w:t>
      </w:r>
    </w:p>
    <w:p w14:paraId="5FEA6320" w14:textId="43FD36C1" w:rsidR="000D3205" w:rsidRPr="000D3205" w:rsidRDefault="000D3205" w:rsidP="000D3205">
      <w:pPr>
        <w:pStyle w:val="ListBullet"/>
      </w:pPr>
      <w:r w:rsidRPr="000D3205">
        <w:t>A funding pool for initiatives</w:t>
      </w:r>
      <w:r w:rsidRPr="000D3205">
        <w:rPr>
          <w:b/>
          <w:bCs/>
        </w:rPr>
        <w:t xml:space="preserve"> </w:t>
      </w:r>
      <w:r w:rsidRPr="000D3205">
        <w:t xml:space="preserve">to help baseline outreach services that were established during COVID-19 to better support priority populations, enabling these services to be more widely used for immunisation and screening follow up, supporting our work to pursue health equity. This also included work with primary care to support follow up of patients who had deferred care </w:t>
      </w:r>
    </w:p>
    <w:p w14:paraId="3DE99B7E" w14:textId="77777777" w:rsidR="000D3205" w:rsidRPr="000D3205" w:rsidRDefault="000D3205" w:rsidP="000D3205">
      <w:pPr>
        <w:pStyle w:val="ListBullet"/>
      </w:pPr>
      <w:r w:rsidRPr="000D3205">
        <w:t>Covering wage and cost uplifts across the employed and community workforces above annual funding increase.</w:t>
      </w:r>
    </w:p>
    <w:p w14:paraId="482E7477" w14:textId="02CEFE66" w:rsidR="000D3205" w:rsidRDefault="000D3205" w:rsidP="000D3205">
      <w:r>
        <w:rPr>
          <w:noProof/>
        </w:rPr>
        <w:drawing>
          <wp:inline distT="0" distB="0" distL="0" distR="0" wp14:anchorId="5A024E98" wp14:editId="523CD213">
            <wp:extent cx="6120130" cy="3628521"/>
            <wp:effectExtent l="0" t="0" r="0" b="0"/>
            <wp:docPr id="1825775845" name="Picture 1825775845" descr="Table showing the drivers of savings and the saving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75845" name="Picture 1825775845" descr="Table showing the drivers of savings and the saving figures."/>
                    <pic:cNvPicPr/>
                  </pic:nvPicPr>
                  <pic:blipFill>
                    <a:blip r:embed="rId40"/>
                    <a:stretch>
                      <a:fillRect/>
                    </a:stretch>
                  </pic:blipFill>
                  <pic:spPr>
                    <a:xfrm>
                      <a:off x="0" y="0"/>
                      <a:ext cx="6120130" cy="3628521"/>
                    </a:xfrm>
                    <a:prstGeom prst="rect">
                      <a:avLst/>
                    </a:prstGeom>
                  </pic:spPr>
                </pic:pic>
              </a:graphicData>
            </a:graphic>
          </wp:inline>
        </w:drawing>
      </w:r>
    </w:p>
    <w:p w14:paraId="18689ED8" w14:textId="77777777" w:rsidR="001F2268" w:rsidRDefault="001F2268" w:rsidP="000D3205">
      <w:pPr>
        <w:pStyle w:val="Heading4"/>
      </w:pPr>
    </w:p>
    <w:p w14:paraId="2BD4D5BC" w14:textId="1728EF14" w:rsidR="000D3205" w:rsidRPr="000D3205" w:rsidRDefault="000D3205" w:rsidP="000D3205">
      <w:pPr>
        <w:pStyle w:val="Heading4"/>
      </w:pPr>
      <w:r w:rsidRPr="000D3205">
        <w:t xml:space="preserve">Hospital </w:t>
      </w:r>
      <w:r w:rsidR="009E072E">
        <w:t>and</w:t>
      </w:r>
      <w:r w:rsidRPr="000D3205">
        <w:t xml:space="preserve"> Specialist Services/Efficiency reporting</w:t>
      </w:r>
    </w:p>
    <w:p w14:paraId="1F18584D" w14:textId="1C86076D" w:rsidR="000D3205" w:rsidRPr="000D3205" w:rsidRDefault="000D3205" w:rsidP="000D3205">
      <w:r w:rsidRPr="000D3205">
        <w:t xml:space="preserve">We are working to adjust budgets to meet the expectations of the Regional Directors. Further, we are </w:t>
      </w:r>
      <w:r w:rsidR="009E072E">
        <w:t>analysing</w:t>
      </w:r>
      <w:r w:rsidRPr="000D3205">
        <w:t xml:space="preserve"> major cost categories</w:t>
      </w:r>
      <w:r w:rsidR="009E072E">
        <w:t xml:space="preserve"> and their impact on </w:t>
      </w:r>
      <w:r w:rsidRPr="000D3205">
        <w:t xml:space="preserve">budget risks </w:t>
      </w:r>
      <w:r w:rsidR="009E072E">
        <w:t>for</w:t>
      </w:r>
      <w:r w:rsidR="009E072E" w:rsidRPr="000D3205">
        <w:t xml:space="preserve"> </w:t>
      </w:r>
      <w:r w:rsidR="009E072E">
        <w:t xml:space="preserve">Budget </w:t>
      </w:r>
      <w:r w:rsidRPr="000D3205">
        <w:t>24, reformation of the planning and purchasing approaches, and some technology enablers</w:t>
      </w:r>
      <w:r w:rsidR="009E072E">
        <w:t>. These include</w:t>
      </w:r>
      <w:r w:rsidRPr="000D3205">
        <w:t>:</w:t>
      </w:r>
    </w:p>
    <w:p w14:paraId="0D5260EF" w14:textId="2025B5E7" w:rsidR="000E1A18" w:rsidRDefault="000E1A18" w:rsidP="000D3205">
      <w:pPr>
        <w:pStyle w:val="ListBullet"/>
      </w:pPr>
      <w:r>
        <w:t xml:space="preserve">Ongoing cost reviews at a regional </w:t>
      </w:r>
      <w:r w:rsidRPr="00234C27">
        <w:t>level (circa half a billion target)</w:t>
      </w:r>
      <w:r>
        <w:t>.</w:t>
      </w:r>
      <w:r w:rsidR="00640612">
        <w:rPr>
          <w:rStyle w:val="FootnoteReference"/>
        </w:rPr>
        <w:footnoteReference w:id="15"/>
      </w:r>
    </w:p>
    <w:p w14:paraId="1BC97801" w14:textId="02A4F4DD" w:rsidR="000D3205" w:rsidRPr="000D3205" w:rsidRDefault="000D3205" w:rsidP="000D3205">
      <w:pPr>
        <w:pStyle w:val="ListBullet"/>
      </w:pPr>
      <w:r w:rsidRPr="000D3205">
        <w:t>Care Capacity Demand Management (CCDM) will morph into a deep dive on nursing investment and productivity. This will morph into more affordable workforce models for Nursing, RMOs and SMOs</w:t>
      </w:r>
    </w:p>
    <w:p w14:paraId="1B0D8F23" w14:textId="3D01822C" w:rsidR="000D3205" w:rsidRPr="000D3205" w:rsidRDefault="000D3205" w:rsidP="000D3205">
      <w:pPr>
        <w:pStyle w:val="ListBullet"/>
      </w:pPr>
      <w:r w:rsidRPr="000D3205">
        <w:t>Allied Health underspend due to vacancies will lead to a deep dive on the constraints these vacancies have created in patient flow and productivity</w:t>
      </w:r>
    </w:p>
    <w:p w14:paraId="72390435" w14:textId="14A19884" w:rsidR="000D3205" w:rsidRPr="000D3205" w:rsidRDefault="000D3205" w:rsidP="000D3205">
      <w:pPr>
        <w:pStyle w:val="ListBullet"/>
      </w:pPr>
      <w:r w:rsidRPr="000D3205">
        <w:t>The whole area of clinical supply costs will be informed by engagement with National Clinical Networks to get clinicians to champion reduction in variation of practice (collapsing 250,000 supply lines to closer to 60,000 which is best practice), but this is a long-burn initiative which will shift the cost curve over the next five years</w:t>
      </w:r>
    </w:p>
    <w:p w14:paraId="106364EF" w14:textId="3817C8B4" w:rsidR="000D3205" w:rsidRPr="000D3205" w:rsidRDefault="000D3205" w:rsidP="000D3205">
      <w:pPr>
        <w:pStyle w:val="ListBullet"/>
      </w:pPr>
      <w:r w:rsidRPr="000D3205">
        <w:t>Productivity measures are limited to those which can be collected reliably by SI&amp;I and we have a one year roadmap in play (SI&amp;I, Finance, H&amp;SS and EY). Focus on operating theatres and bed flow management</w:t>
      </w:r>
    </w:p>
    <w:p w14:paraId="5023EC15" w14:textId="77777777" w:rsidR="000D3205" w:rsidRPr="000D3205" w:rsidRDefault="000D3205" w:rsidP="000D3205">
      <w:pPr>
        <w:pStyle w:val="ListBullet"/>
      </w:pPr>
      <w:r w:rsidRPr="000D3205">
        <w:t>National laboratory commissioning (2 years)</w:t>
      </w:r>
    </w:p>
    <w:p w14:paraId="0D24B182" w14:textId="77777777" w:rsidR="000D3205" w:rsidRPr="000D3205" w:rsidRDefault="000D3205" w:rsidP="000D3205">
      <w:pPr>
        <w:pStyle w:val="ListBullet"/>
      </w:pPr>
      <w:r w:rsidRPr="000D3205">
        <w:t>National radiology commissioning (2 years)</w:t>
      </w:r>
    </w:p>
    <w:p w14:paraId="53BA6D77" w14:textId="77777777" w:rsidR="000D3205" w:rsidRPr="000D3205" w:rsidRDefault="000D3205" w:rsidP="000D3205">
      <w:pPr>
        <w:pStyle w:val="ListBullet"/>
      </w:pPr>
      <w:r w:rsidRPr="000D3205">
        <w:t>National outsource surgical services commissioning (2 years)</w:t>
      </w:r>
    </w:p>
    <w:p w14:paraId="320652A3" w14:textId="77777777" w:rsidR="000D3205" w:rsidRPr="000D3205" w:rsidRDefault="000D3205" w:rsidP="000D3205">
      <w:pPr>
        <w:pStyle w:val="ListBullet"/>
      </w:pPr>
      <w:r w:rsidRPr="000D3205">
        <w:t>National payroll and rostering to drive workforce analytics and overtime/leave management (5 years)</w:t>
      </w:r>
    </w:p>
    <w:p w14:paraId="379CF9FA" w14:textId="77777777" w:rsidR="000D3205" w:rsidRPr="000D3205" w:rsidRDefault="000D3205" w:rsidP="000D3205">
      <w:pPr>
        <w:pStyle w:val="ListBullet"/>
      </w:pPr>
      <w:r w:rsidRPr="000D3205">
        <w:t>National and Regional hospital operating models and control centres (1 year)</w:t>
      </w:r>
    </w:p>
    <w:p w14:paraId="1C2EBF98" w14:textId="77777777" w:rsidR="000D3205" w:rsidRPr="000D3205" w:rsidRDefault="000D3205" w:rsidP="000D3205">
      <w:pPr>
        <w:pStyle w:val="ListBullet"/>
      </w:pPr>
      <w:r w:rsidRPr="000D3205">
        <w:t>National Booking system, referral management and waitlist management (unknown timeline D&amp;D enabler)</w:t>
      </w:r>
    </w:p>
    <w:p w14:paraId="4878E08B" w14:textId="77777777" w:rsidR="000D3205" w:rsidRPr="000D3205" w:rsidRDefault="000D3205" w:rsidP="000D3205">
      <w:pPr>
        <w:pStyle w:val="ListBullet"/>
      </w:pPr>
      <w:r w:rsidRPr="000D3205">
        <w:t>Laboratory and Radiology results access (unknown timeline D&amp;D enabler)</w:t>
      </w:r>
    </w:p>
    <w:p w14:paraId="604B026B" w14:textId="77777777" w:rsidR="000D3205" w:rsidRPr="000D3205" w:rsidRDefault="000D3205" w:rsidP="000D3205">
      <w:pPr>
        <w:pStyle w:val="ListBullet"/>
      </w:pPr>
      <w:r w:rsidRPr="000D3205">
        <w:t>Regional Clinical Delivery Networks implemented across a range of specialties (roadmap to be announced)</w:t>
      </w:r>
    </w:p>
    <w:p w14:paraId="3CB2B087" w14:textId="77777777" w:rsidR="001F2268" w:rsidRDefault="001F2268" w:rsidP="000D3205">
      <w:pPr>
        <w:pStyle w:val="Heading4"/>
      </w:pPr>
    </w:p>
    <w:p w14:paraId="07B59B68" w14:textId="77777777" w:rsidR="001F2268" w:rsidRDefault="001F2268" w:rsidP="001F2268"/>
    <w:p w14:paraId="6FFC0DD5" w14:textId="77777777" w:rsidR="001F2268" w:rsidRPr="001F2268" w:rsidRDefault="001F2268" w:rsidP="001F2268"/>
    <w:p w14:paraId="02AB9160" w14:textId="490AC19E" w:rsidR="000D3205" w:rsidRPr="00A561A4" w:rsidRDefault="000D3205" w:rsidP="000D3205">
      <w:pPr>
        <w:pStyle w:val="Heading4"/>
      </w:pPr>
      <w:r w:rsidRPr="00A561A4">
        <w:t>Mental Health Output Class</w:t>
      </w:r>
    </w:p>
    <w:p w14:paraId="0AF4CF31" w14:textId="3BBDCA62" w:rsidR="000D3205" w:rsidRPr="00A561A4" w:rsidRDefault="000D3205" w:rsidP="000D3205">
      <w:r w:rsidRPr="00A561A4">
        <w:t>The first quarter 2023/24 mental health output class as shown in the table below indicates that mental health expenditure is higher than the draft budget by $6.658</w:t>
      </w:r>
      <w:r w:rsidR="00B31001">
        <w:t>m</w:t>
      </w:r>
      <w:r w:rsidRPr="00A561A4">
        <w:t>.</w:t>
      </w:r>
    </w:p>
    <w:p w14:paraId="431ECA96" w14:textId="2BDC1962" w:rsidR="000D3205" w:rsidRDefault="000D3205" w:rsidP="000D3205">
      <w:r w:rsidRPr="00A561A4">
        <w:rPr>
          <w:rFonts w:ascii="Arial" w:hAnsi="Arial" w:cs="Arial"/>
          <w:noProof/>
          <w:szCs w:val="24"/>
        </w:rPr>
        <w:drawing>
          <wp:inline distT="0" distB="0" distL="0" distR="0" wp14:anchorId="35C6856B" wp14:editId="2B56ED17">
            <wp:extent cx="5980675" cy="2905524"/>
            <wp:effectExtent l="0" t="0" r="1270" b="9525"/>
            <wp:docPr id="1825775855" name="Picture 1825775855" descr="Table showing the Mental Health Output Class based on Actual, Draft Budget, and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75855" name="Picture 1825775855" descr="Table showing the Mental Health Output Class based on Actual, Draft Budget, and Variance."/>
                    <pic:cNvPicPr/>
                  </pic:nvPicPr>
                  <pic:blipFill>
                    <a:blip r:embed="rId41"/>
                    <a:stretch>
                      <a:fillRect/>
                    </a:stretch>
                  </pic:blipFill>
                  <pic:spPr>
                    <a:xfrm>
                      <a:off x="0" y="0"/>
                      <a:ext cx="5987652" cy="2908913"/>
                    </a:xfrm>
                    <a:prstGeom prst="rect">
                      <a:avLst/>
                    </a:prstGeom>
                  </pic:spPr>
                </pic:pic>
              </a:graphicData>
            </a:graphic>
          </wp:inline>
        </w:drawing>
      </w:r>
    </w:p>
    <w:p w14:paraId="2800129A" w14:textId="2CE3A082" w:rsidR="000D3205" w:rsidRPr="000D3205" w:rsidRDefault="000D3205" w:rsidP="000D3205">
      <w:r w:rsidRPr="000D3205">
        <w:t xml:space="preserve">The higher mental health expenditure was mainly due to higher personnel cost. Salary increases from collective employment agreements are higher than the budgeted price increase. Service continues to experience recruitment challenges to fill vacancies. Penal rates and allowances to employ staff to partially fill gaps in priority rosters, due to vacancies, are also more expensive than budget. </w:t>
      </w:r>
    </w:p>
    <w:p w14:paraId="25D668BA" w14:textId="77777777" w:rsidR="000D3205" w:rsidRPr="000D3205" w:rsidRDefault="000D3205" w:rsidP="000D3205">
      <w:r w:rsidRPr="000D3205">
        <w:t>The budget is currently draft due to:</w:t>
      </w:r>
    </w:p>
    <w:p w14:paraId="2D7C65B0" w14:textId="0553C48A" w:rsidR="000D3205" w:rsidRPr="000D3205" w:rsidRDefault="000D3205" w:rsidP="000D3205">
      <w:pPr>
        <w:pStyle w:val="ListBullet"/>
      </w:pPr>
      <w:r w:rsidRPr="000D3205">
        <w:t>Service level agreement between Mental Health and Addiction Corporate and H</w:t>
      </w:r>
      <w:r w:rsidR="00643010">
        <w:t>&amp;</w:t>
      </w:r>
      <w:r w:rsidRPr="000D3205">
        <w:t>SS Districts to deliver Budget initiatives are being finalised</w:t>
      </w:r>
    </w:p>
    <w:p w14:paraId="1855DAAB" w14:textId="77777777" w:rsidR="000D3205" w:rsidRPr="000D3205" w:rsidRDefault="000D3205" w:rsidP="000D3205">
      <w:pPr>
        <w:pStyle w:val="ListBullet"/>
      </w:pPr>
      <w:r w:rsidRPr="000D3205">
        <w:t>Further contract transfers to Te Aka Whai Ora are being finalised.</w:t>
      </w:r>
    </w:p>
    <w:p w14:paraId="4648A52C" w14:textId="77777777" w:rsidR="000D3205" w:rsidRPr="000612B1" w:rsidRDefault="000D3205" w:rsidP="000D3205">
      <w:pPr>
        <w:pStyle w:val="Heading4"/>
      </w:pPr>
      <w:r w:rsidRPr="000612B1">
        <w:t>Finance Reporting Roadmap</w:t>
      </w:r>
    </w:p>
    <w:tbl>
      <w:tblPr>
        <w:tblStyle w:val="TeWhatuOra"/>
        <w:tblW w:w="0" w:type="auto"/>
        <w:tblLook w:val="0420" w:firstRow="1" w:lastRow="0" w:firstColumn="0" w:lastColumn="0" w:noHBand="0" w:noVBand="1"/>
      </w:tblPr>
      <w:tblGrid>
        <w:gridCol w:w="6941"/>
        <w:gridCol w:w="2075"/>
      </w:tblGrid>
      <w:tr w:rsidR="000D3205" w:rsidRPr="000D3205" w14:paraId="4C35F778" w14:textId="77777777" w:rsidTr="000D3205">
        <w:trPr>
          <w:cnfStyle w:val="100000000000" w:firstRow="1" w:lastRow="0" w:firstColumn="0" w:lastColumn="0" w:oddVBand="0" w:evenVBand="0" w:oddHBand="0" w:evenHBand="0" w:firstRowFirstColumn="0" w:firstRowLastColumn="0" w:lastRowFirstColumn="0" w:lastRowLastColumn="0"/>
        </w:trPr>
        <w:tc>
          <w:tcPr>
            <w:tcW w:w="6941" w:type="dxa"/>
          </w:tcPr>
          <w:p w14:paraId="6922CADF" w14:textId="77777777" w:rsidR="000D3205" w:rsidRPr="000D3205" w:rsidRDefault="000D3205" w:rsidP="000D3205">
            <w:pPr>
              <w:spacing w:before="0" w:after="0" w:line="240" w:lineRule="auto"/>
              <w:rPr>
                <w:rFonts w:ascii="Arial" w:eastAsia="Calibri" w:hAnsi="Arial" w:cs="Arial"/>
                <w:bCs/>
                <w:szCs w:val="24"/>
              </w:rPr>
            </w:pPr>
            <w:r w:rsidRPr="000D3205">
              <w:rPr>
                <w:rFonts w:ascii="Arial" w:eastAsia="Calibri" w:hAnsi="Arial" w:cs="Arial"/>
                <w:bCs/>
                <w:szCs w:val="24"/>
              </w:rPr>
              <w:t>FPIM Deliverables Summary</w:t>
            </w:r>
          </w:p>
        </w:tc>
        <w:tc>
          <w:tcPr>
            <w:tcW w:w="2075" w:type="dxa"/>
          </w:tcPr>
          <w:p w14:paraId="76CDB216" w14:textId="77777777" w:rsidR="000D3205" w:rsidRPr="000D3205" w:rsidRDefault="000D3205" w:rsidP="000D3205">
            <w:pPr>
              <w:spacing w:before="0" w:after="0" w:line="240" w:lineRule="auto"/>
              <w:jc w:val="center"/>
              <w:rPr>
                <w:rFonts w:ascii="Arial" w:eastAsia="Calibri" w:hAnsi="Arial" w:cs="Arial"/>
                <w:bCs/>
                <w:szCs w:val="24"/>
              </w:rPr>
            </w:pPr>
            <w:r w:rsidRPr="000D3205">
              <w:rPr>
                <w:rFonts w:ascii="Arial" w:eastAsia="Calibri" w:hAnsi="Arial" w:cs="Arial"/>
                <w:bCs/>
                <w:szCs w:val="24"/>
              </w:rPr>
              <w:t>Status</w:t>
            </w:r>
          </w:p>
        </w:tc>
      </w:tr>
      <w:tr w:rsidR="000D3205" w:rsidRPr="000D3205" w14:paraId="76D96E05" w14:textId="77777777" w:rsidTr="000D3205">
        <w:trPr>
          <w:trHeight w:val="1030"/>
        </w:trPr>
        <w:tc>
          <w:tcPr>
            <w:tcW w:w="6941" w:type="dxa"/>
          </w:tcPr>
          <w:p w14:paraId="4D638BA3" w14:textId="77777777" w:rsidR="000D3205" w:rsidRPr="000D3205" w:rsidRDefault="000D3205" w:rsidP="000D3205">
            <w:pPr>
              <w:rPr>
                <w:rFonts w:ascii="Arial" w:eastAsia="Times New Roman" w:hAnsi="Arial" w:cs="Arial"/>
                <w:szCs w:val="24"/>
              </w:rPr>
            </w:pPr>
            <w:r w:rsidRPr="000D3205">
              <w:rPr>
                <w:rFonts w:ascii="Arial" w:eastAsia="Times New Roman" w:hAnsi="Arial" w:cs="Arial"/>
                <w:szCs w:val="24"/>
              </w:rPr>
              <w:t>All deliverables are on track year to date. Whanganui, Mid Central, Hawke’s Bay and Nelson/Marlborough have all successfully gone live, over 97% of Te Whatu Ora financial system transactions are now live on FPIM.</w:t>
            </w:r>
          </w:p>
        </w:tc>
        <w:tc>
          <w:tcPr>
            <w:tcW w:w="2075" w:type="dxa"/>
          </w:tcPr>
          <w:p w14:paraId="7EF0CC45" w14:textId="77777777" w:rsidR="000D3205" w:rsidRPr="000D3205" w:rsidRDefault="000D3205" w:rsidP="000D3205">
            <w:pPr>
              <w:spacing w:before="0" w:after="0" w:line="240" w:lineRule="auto"/>
              <w:jc w:val="center"/>
              <w:rPr>
                <w:rFonts w:ascii="Arial" w:eastAsia="Calibri" w:hAnsi="Arial" w:cs="Arial"/>
                <w:szCs w:val="24"/>
              </w:rPr>
            </w:pPr>
            <w:r w:rsidRPr="000D3205">
              <w:rPr>
                <w:rFonts w:ascii="Cambria Math" w:eastAsia="Calibri" w:hAnsi="Cambria Math" w:cs="Cambria Math"/>
                <w:color w:val="00B050"/>
                <w:szCs w:val="24"/>
                <w:shd w:val="clear" w:color="auto" w:fill="FFFFFF"/>
              </w:rPr>
              <w:t>◉</w:t>
            </w:r>
            <w:r w:rsidRPr="000D3205">
              <w:rPr>
                <w:rFonts w:ascii="Arial" w:eastAsia="Calibri" w:hAnsi="Arial" w:cs="Arial"/>
                <w:color w:val="00B050"/>
                <w:szCs w:val="24"/>
                <w:shd w:val="clear" w:color="auto" w:fill="FFFFFF"/>
              </w:rPr>
              <w:t xml:space="preserve"> </w:t>
            </w:r>
          </w:p>
        </w:tc>
      </w:tr>
      <w:tr w:rsidR="000D3205" w:rsidRPr="000D3205" w14:paraId="4FC4BF84" w14:textId="77777777" w:rsidTr="000D3205">
        <w:trPr>
          <w:trHeight w:val="704"/>
        </w:trPr>
        <w:tc>
          <w:tcPr>
            <w:tcW w:w="6941" w:type="dxa"/>
          </w:tcPr>
          <w:p w14:paraId="0E5EB8DF" w14:textId="77777777" w:rsidR="000D3205" w:rsidRPr="000D3205" w:rsidRDefault="000D3205" w:rsidP="000D3205">
            <w:pPr>
              <w:rPr>
                <w:rFonts w:ascii="Arial" w:eastAsia="Times New Roman" w:hAnsi="Arial" w:cs="Arial"/>
                <w:szCs w:val="24"/>
              </w:rPr>
            </w:pPr>
            <w:r w:rsidRPr="000D3205">
              <w:rPr>
                <w:rFonts w:ascii="Arial" w:eastAsia="Times New Roman" w:hAnsi="Arial" w:cs="Arial"/>
                <w:szCs w:val="24"/>
              </w:rPr>
              <w:lastRenderedPageBreak/>
              <w:t>Whole of Te Whatu Ora Delegations Policy updated and delegations to match loaded into FPIM system.</w:t>
            </w:r>
          </w:p>
        </w:tc>
        <w:tc>
          <w:tcPr>
            <w:tcW w:w="2075" w:type="dxa"/>
          </w:tcPr>
          <w:p w14:paraId="62E6EAA6" w14:textId="77777777" w:rsidR="000D3205" w:rsidRPr="000D3205" w:rsidRDefault="000D3205" w:rsidP="000D3205">
            <w:pPr>
              <w:spacing w:before="0" w:after="0" w:line="240" w:lineRule="auto"/>
              <w:jc w:val="center"/>
              <w:rPr>
                <w:rFonts w:ascii="Arial" w:eastAsia="Calibri" w:hAnsi="Arial" w:cs="Arial"/>
                <w:b/>
                <w:bCs/>
                <w:szCs w:val="24"/>
              </w:rPr>
            </w:pPr>
            <w:r w:rsidRPr="000D3205">
              <w:rPr>
                <w:rFonts w:ascii="Cambria Math" w:eastAsia="Calibri" w:hAnsi="Cambria Math" w:cs="Cambria Math"/>
                <w:color w:val="00B050"/>
                <w:szCs w:val="24"/>
                <w:shd w:val="clear" w:color="auto" w:fill="FFFFFF"/>
              </w:rPr>
              <w:t>◉</w:t>
            </w:r>
          </w:p>
        </w:tc>
      </w:tr>
    </w:tbl>
    <w:p w14:paraId="2F9D1739" w14:textId="77777777" w:rsidR="000D3205" w:rsidRDefault="000D3205" w:rsidP="00F27DCD">
      <w:pPr>
        <w:pStyle w:val="TableText"/>
      </w:pPr>
    </w:p>
    <w:tbl>
      <w:tblPr>
        <w:tblStyle w:val="TeWhatuOra"/>
        <w:tblW w:w="0" w:type="auto"/>
        <w:tblLook w:val="0420" w:firstRow="1" w:lastRow="0" w:firstColumn="0" w:lastColumn="0" w:noHBand="0" w:noVBand="1"/>
      </w:tblPr>
      <w:tblGrid>
        <w:gridCol w:w="6941"/>
        <w:gridCol w:w="2075"/>
      </w:tblGrid>
      <w:tr w:rsidR="000D3205" w:rsidRPr="000D3205" w14:paraId="5FE39924" w14:textId="77777777" w:rsidTr="000D3205">
        <w:trPr>
          <w:cnfStyle w:val="100000000000" w:firstRow="1" w:lastRow="0" w:firstColumn="0" w:lastColumn="0" w:oddVBand="0" w:evenVBand="0" w:oddHBand="0" w:evenHBand="0" w:firstRowFirstColumn="0" w:firstRowLastColumn="0" w:lastRowFirstColumn="0" w:lastRowLastColumn="0"/>
        </w:trPr>
        <w:tc>
          <w:tcPr>
            <w:tcW w:w="6941" w:type="dxa"/>
          </w:tcPr>
          <w:p w14:paraId="14991EB0" w14:textId="77777777" w:rsidR="000D3205" w:rsidRPr="000D3205" w:rsidRDefault="000D3205" w:rsidP="000D3205">
            <w:pPr>
              <w:spacing w:before="0" w:after="0" w:line="240" w:lineRule="auto"/>
              <w:rPr>
                <w:rFonts w:ascii="Arial" w:eastAsia="Calibri" w:hAnsi="Arial" w:cs="Arial"/>
                <w:bCs/>
                <w:szCs w:val="24"/>
              </w:rPr>
            </w:pPr>
            <w:r w:rsidRPr="000D3205">
              <w:rPr>
                <w:rFonts w:ascii="Arial" w:eastAsia="Calibri" w:hAnsi="Arial" w:cs="Arial"/>
                <w:bCs/>
                <w:szCs w:val="24"/>
              </w:rPr>
              <w:t>Financial Reporting Deliverables Summary</w:t>
            </w:r>
          </w:p>
        </w:tc>
        <w:tc>
          <w:tcPr>
            <w:tcW w:w="2075" w:type="dxa"/>
          </w:tcPr>
          <w:p w14:paraId="513B02B4" w14:textId="77777777" w:rsidR="000D3205" w:rsidRPr="000D3205" w:rsidRDefault="000D3205" w:rsidP="000D3205">
            <w:pPr>
              <w:spacing w:before="0" w:after="0" w:line="240" w:lineRule="auto"/>
              <w:jc w:val="center"/>
              <w:rPr>
                <w:rFonts w:ascii="Arial" w:eastAsia="Calibri" w:hAnsi="Arial" w:cs="Arial"/>
                <w:bCs/>
                <w:szCs w:val="24"/>
              </w:rPr>
            </w:pPr>
            <w:r w:rsidRPr="000D3205">
              <w:rPr>
                <w:rFonts w:ascii="Arial" w:eastAsia="Calibri" w:hAnsi="Arial" w:cs="Arial"/>
                <w:bCs/>
                <w:szCs w:val="24"/>
              </w:rPr>
              <w:t>Status</w:t>
            </w:r>
          </w:p>
        </w:tc>
      </w:tr>
      <w:tr w:rsidR="000D3205" w:rsidRPr="000D3205" w14:paraId="33FBE5FE" w14:textId="77777777" w:rsidTr="000D3205">
        <w:tc>
          <w:tcPr>
            <w:tcW w:w="6941" w:type="dxa"/>
          </w:tcPr>
          <w:p w14:paraId="3976ED8B" w14:textId="77777777" w:rsidR="000D3205" w:rsidRPr="000D3205" w:rsidRDefault="000D3205" w:rsidP="000D3205">
            <w:pPr>
              <w:rPr>
                <w:rFonts w:ascii="Arial" w:eastAsia="Times New Roman" w:hAnsi="Arial" w:cs="Arial"/>
                <w:szCs w:val="24"/>
              </w:rPr>
            </w:pPr>
            <w:r w:rsidRPr="000D3205">
              <w:rPr>
                <w:rFonts w:ascii="Arial" w:eastAsia="Times New Roman" w:hAnsi="Arial" w:cs="Arial"/>
                <w:szCs w:val="24"/>
              </w:rPr>
              <w:t>All costs across the business were mapped in 2022/23 to the new functional structure</w:t>
            </w:r>
          </w:p>
        </w:tc>
        <w:tc>
          <w:tcPr>
            <w:tcW w:w="2075" w:type="dxa"/>
          </w:tcPr>
          <w:p w14:paraId="2283C3D1" w14:textId="77777777" w:rsidR="000D3205" w:rsidRPr="000D3205" w:rsidRDefault="000D3205" w:rsidP="000D3205">
            <w:pPr>
              <w:spacing w:before="0" w:after="0" w:line="240" w:lineRule="auto"/>
              <w:jc w:val="center"/>
              <w:rPr>
                <w:rFonts w:ascii="Arial" w:eastAsia="Calibri" w:hAnsi="Arial" w:cs="Arial"/>
                <w:b/>
                <w:bCs/>
                <w:szCs w:val="24"/>
              </w:rPr>
            </w:pPr>
            <w:r w:rsidRPr="000D3205">
              <w:rPr>
                <w:rFonts w:ascii="Cambria Math" w:eastAsia="Calibri" w:hAnsi="Cambria Math" w:cs="Cambria Math"/>
                <w:color w:val="00B050"/>
                <w:szCs w:val="24"/>
                <w:shd w:val="clear" w:color="auto" w:fill="FFFFFF"/>
              </w:rPr>
              <w:t>◉</w:t>
            </w:r>
          </w:p>
        </w:tc>
      </w:tr>
      <w:tr w:rsidR="000D3205" w:rsidRPr="000D3205" w14:paraId="41561B91" w14:textId="77777777" w:rsidTr="000D3205">
        <w:tc>
          <w:tcPr>
            <w:tcW w:w="6941" w:type="dxa"/>
          </w:tcPr>
          <w:p w14:paraId="61B31C89" w14:textId="77777777" w:rsidR="000D3205" w:rsidRPr="000D3205" w:rsidRDefault="000D3205" w:rsidP="000D3205">
            <w:pPr>
              <w:rPr>
                <w:rFonts w:ascii="Arial" w:eastAsia="Times New Roman" w:hAnsi="Arial" w:cs="Arial"/>
                <w:szCs w:val="24"/>
              </w:rPr>
            </w:pPr>
            <w:r w:rsidRPr="000D3205">
              <w:rPr>
                <w:rFonts w:ascii="Arial" w:eastAsia="Times New Roman" w:hAnsi="Arial" w:cs="Arial"/>
                <w:szCs w:val="24"/>
              </w:rPr>
              <w:t>The Mental Health ringfence for 20-22/23 was confirmed with MOH in June 2023</w:t>
            </w:r>
          </w:p>
        </w:tc>
        <w:tc>
          <w:tcPr>
            <w:tcW w:w="2075" w:type="dxa"/>
          </w:tcPr>
          <w:p w14:paraId="2F5A96C0" w14:textId="77777777" w:rsidR="000D3205" w:rsidRPr="000D3205" w:rsidRDefault="000D3205" w:rsidP="000D3205">
            <w:pPr>
              <w:spacing w:before="0" w:after="0" w:line="240" w:lineRule="auto"/>
              <w:jc w:val="center"/>
              <w:rPr>
                <w:rFonts w:ascii="Arial" w:eastAsia="Calibri" w:hAnsi="Arial" w:cs="Arial"/>
                <w:b/>
                <w:bCs/>
                <w:szCs w:val="24"/>
              </w:rPr>
            </w:pPr>
            <w:r w:rsidRPr="000D3205">
              <w:rPr>
                <w:rFonts w:ascii="Cambria Math" w:eastAsia="Calibri" w:hAnsi="Cambria Math" w:cs="Cambria Math"/>
                <w:color w:val="00B050"/>
                <w:szCs w:val="24"/>
                <w:shd w:val="clear" w:color="auto" w:fill="FFFFFF"/>
              </w:rPr>
              <w:t>◉</w:t>
            </w:r>
          </w:p>
        </w:tc>
      </w:tr>
      <w:tr w:rsidR="000D3205" w:rsidRPr="000D3205" w14:paraId="02625214" w14:textId="77777777" w:rsidTr="000D3205">
        <w:tc>
          <w:tcPr>
            <w:tcW w:w="6941" w:type="dxa"/>
          </w:tcPr>
          <w:p w14:paraId="1F6C5F05" w14:textId="77777777" w:rsidR="000D3205" w:rsidRPr="000D3205" w:rsidRDefault="000D3205" w:rsidP="000D3205">
            <w:pPr>
              <w:rPr>
                <w:rFonts w:ascii="Arial" w:eastAsia="Times New Roman" w:hAnsi="Arial" w:cs="Arial"/>
                <w:szCs w:val="24"/>
              </w:rPr>
            </w:pPr>
            <w:r w:rsidRPr="000D3205">
              <w:rPr>
                <w:rFonts w:ascii="Arial" w:eastAsia="Times New Roman" w:hAnsi="Arial" w:cs="Arial"/>
                <w:szCs w:val="24"/>
              </w:rPr>
              <w:t>Opening Balance Sheet was finalised in July and audit clearance provided</w:t>
            </w:r>
          </w:p>
        </w:tc>
        <w:tc>
          <w:tcPr>
            <w:tcW w:w="2075" w:type="dxa"/>
          </w:tcPr>
          <w:p w14:paraId="1B861863" w14:textId="77777777" w:rsidR="000D3205" w:rsidRPr="000D3205" w:rsidRDefault="000D3205" w:rsidP="000D3205">
            <w:pPr>
              <w:spacing w:before="0" w:after="0" w:line="240" w:lineRule="auto"/>
              <w:jc w:val="center"/>
              <w:rPr>
                <w:rFonts w:ascii="Arial" w:eastAsia="Calibri" w:hAnsi="Arial" w:cs="Arial"/>
                <w:b/>
                <w:bCs/>
                <w:szCs w:val="24"/>
              </w:rPr>
            </w:pPr>
            <w:r w:rsidRPr="000D3205">
              <w:rPr>
                <w:rFonts w:ascii="Cambria Math" w:eastAsia="Calibri" w:hAnsi="Cambria Math" w:cs="Cambria Math"/>
                <w:color w:val="00B050"/>
                <w:szCs w:val="24"/>
                <w:shd w:val="clear" w:color="auto" w:fill="FFFFFF"/>
              </w:rPr>
              <w:t>◉</w:t>
            </w:r>
          </w:p>
        </w:tc>
      </w:tr>
      <w:tr w:rsidR="000D3205" w:rsidRPr="000D3205" w14:paraId="3D896ED3" w14:textId="77777777" w:rsidTr="000D3205">
        <w:tc>
          <w:tcPr>
            <w:tcW w:w="6941" w:type="dxa"/>
          </w:tcPr>
          <w:p w14:paraId="10F38104" w14:textId="77777777" w:rsidR="000D3205" w:rsidRPr="000D3205" w:rsidRDefault="000D3205" w:rsidP="000D3205">
            <w:pPr>
              <w:rPr>
                <w:rFonts w:ascii="Arial" w:eastAsia="Times New Roman" w:hAnsi="Arial" w:cs="Arial"/>
                <w:szCs w:val="24"/>
              </w:rPr>
            </w:pPr>
            <w:r w:rsidRPr="000D3205">
              <w:rPr>
                <w:rFonts w:ascii="Arial" w:eastAsia="Times New Roman" w:hAnsi="Arial" w:cs="Arial"/>
                <w:szCs w:val="24"/>
              </w:rPr>
              <w:t xml:space="preserve">Year End Financial Statements were consolidated, audited and signed off by Board then Audit Clearance provided by deadline of 31 October 2023 </w:t>
            </w:r>
          </w:p>
        </w:tc>
        <w:tc>
          <w:tcPr>
            <w:tcW w:w="2075" w:type="dxa"/>
          </w:tcPr>
          <w:p w14:paraId="68A92F53" w14:textId="77777777" w:rsidR="000D3205" w:rsidRPr="000D3205" w:rsidRDefault="000D3205" w:rsidP="000D3205">
            <w:pPr>
              <w:spacing w:before="0" w:after="0" w:line="240" w:lineRule="auto"/>
              <w:jc w:val="center"/>
              <w:rPr>
                <w:rFonts w:ascii="Arial" w:eastAsia="Calibri" w:hAnsi="Arial" w:cs="Arial"/>
                <w:b/>
                <w:bCs/>
                <w:szCs w:val="24"/>
              </w:rPr>
            </w:pPr>
            <w:r w:rsidRPr="000D3205">
              <w:rPr>
                <w:rFonts w:ascii="Cambria Math" w:eastAsia="Calibri" w:hAnsi="Cambria Math" w:cs="Cambria Math"/>
                <w:color w:val="00B050"/>
                <w:szCs w:val="24"/>
                <w:shd w:val="clear" w:color="auto" w:fill="FFFFFF"/>
              </w:rPr>
              <w:t>◉</w:t>
            </w:r>
          </w:p>
        </w:tc>
      </w:tr>
      <w:tr w:rsidR="000D3205" w:rsidRPr="000D3205" w14:paraId="78CF0CD1" w14:textId="77777777" w:rsidTr="000D3205">
        <w:tc>
          <w:tcPr>
            <w:tcW w:w="6941" w:type="dxa"/>
          </w:tcPr>
          <w:p w14:paraId="5C6D6F2A" w14:textId="77777777" w:rsidR="000D3205" w:rsidRPr="000D3205" w:rsidRDefault="000D3205" w:rsidP="000D3205">
            <w:pPr>
              <w:rPr>
                <w:rFonts w:ascii="Arial" w:eastAsia="Times New Roman" w:hAnsi="Arial" w:cs="Arial"/>
                <w:szCs w:val="24"/>
              </w:rPr>
            </w:pPr>
            <w:r w:rsidRPr="000D3205">
              <w:rPr>
                <w:rFonts w:ascii="Arial" w:eastAsia="Times New Roman" w:hAnsi="Arial" w:cs="Arial"/>
                <w:szCs w:val="24"/>
              </w:rPr>
              <w:t>Quarterly CFIS reporting was delivered</w:t>
            </w:r>
          </w:p>
        </w:tc>
        <w:tc>
          <w:tcPr>
            <w:tcW w:w="2075" w:type="dxa"/>
          </w:tcPr>
          <w:p w14:paraId="6D4E8847" w14:textId="77777777" w:rsidR="000D3205" w:rsidRPr="000D3205" w:rsidRDefault="000D3205" w:rsidP="000D3205">
            <w:pPr>
              <w:spacing w:before="0" w:after="0" w:line="240" w:lineRule="auto"/>
              <w:jc w:val="center"/>
              <w:rPr>
                <w:rFonts w:ascii="Arial" w:eastAsia="Calibri" w:hAnsi="Arial" w:cs="Arial"/>
                <w:b/>
                <w:bCs/>
                <w:szCs w:val="24"/>
              </w:rPr>
            </w:pPr>
            <w:r w:rsidRPr="000D3205">
              <w:rPr>
                <w:rFonts w:ascii="Cambria Math" w:eastAsia="Calibri" w:hAnsi="Cambria Math" w:cs="Cambria Math"/>
                <w:color w:val="00B050"/>
                <w:szCs w:val="24"/>
                <w:shd w:val="clear" w:color="auto" w:fill="FFFFFF"/>
              </w:rPr>
              <w:t>◉</w:t>
            </w:r>
          </w:p>
        </w:tc>
      </w:tr>
    </w:tbl>
    <w:p w14:paraId="6ACD6B33" w14:textId="77777777" w:rsidR="000D3205" w:rsidRDefault="000D3205" w:rsidP="000D3205"/>
    <w:p w14:paraId="75B0A439" w14:textId="6B565A27" w:rsidR="000D3205" w:rsidRDefault="000D3205" w:rsidP="000D3205">
      <w:pPr>
        <w:pStyle w:val="Heading4"/>
      </w:pPr>
      <w:r w:rsidRPr="000D3205">
        <w:t>Appropriation and Output Class Reporting</w:t>
      </w:r>
    </w:p>
    <w:tbl>
      <w:tblPr>
        <w:tblStyle w:val="TeWhatuOra"/>
        <w:tblW w:w="5000" w:type="pct"/>
        <w:tblLook w:val="0420" w:firstRow="1" w:lastRow="0" w:firstColumn="0" w:lastColumn="0" w:noHBand="0" w:noVBand="1"/>
      </w:tblPr>
      <w:tblGrid>
        <w:gridCol w:w="4042"/>
        <w:gridCol w:w="1862"/>
        <w:gridCol w:w="1862"/>
        <w:gridCol w:w="1862"/>
      </w:tblGrid>
      <w:tr w:rsidR="000D3205" w:rsidRPr="000D3205" w14:paraId="25BBC92F" w14:textId="77777777" w:rsidTr="000D3205">
        <w:trPr>
          <w:cnfStyle w:val="100000000000" w:firstRow="1" w:lastRow="0" w:firstColumn="0" w:lastColumn="0" w:oddVBand="0" w:evenVBand="0" w:oddHBand="0" w:evenHBand="0" w:firstRowFirstColumn="0" w:firstRowLastColumn="0" w:lastRowFirstColumn="0" w:lastRowLastColumn="0"/>
          <w:trHeight w:val="473"/>
        </w:trPr>
        <w:tc>
          <w:tcPr>
            <w:tcW w:w="2099" w:type="pct"/>
            <w:hideMark/>
          </w:tcPr>
          <w:p w14:paraId="7E1ED7D0" w14:textId="77777777" w:rsidR="000D3205" w:rsidRPr="000D3205" w:rsidRDefault="000D3205" w:rsidP="000D3205">
            <w:pPr>
              <w:rPr>
                <w:bCs/>
              </w:rPr>
            </w:pPr>
            <w:r w:rsidRPr="000D3205">
              <w:rPr>
                <w:bCs/>
              </w:rPr>
              <w:t>Output Class</w:t>
            </w:r>
          </w:p>
        </w:tc>
        <w:tc>
          <w:tcPr>
            <w:tcW w:w="967" w:type="pct"/>
            <w:hideMark/>
          </w:tcPr>
          <w:p w14:paraId="004A3948" w14:textId="77777777" w:rsidR="000D3205" w:rsidRPr="000D3205" w:rsidRDefault="000D3205" w:rsidP="000D3205">
            <w:pPr>
              <w:rPr>
                <w:bCs/>
              </w:rPr>
            </w:pPr>
            <w:r w:rsidRPr="000D3205">
              <w:rPr>
                <w:bCs/>
              </w:rPr>
              <w:t>Q1 2023/24 Actual</w:t>
            </w:r>
          </w:p>
          <w:p w14:paraId="3A84363B" w14:textId="77777777" w:rsidR="000D3205" w:rsidRPr="000D3205" w:rsidRDefault="000D3205" w:rsidP="000D3205">
            <w:pPr>
              <w:rPr>
                <w:bCs/>
              </w:rPr>
            </w:pPr>
            <w:r w:rsidRPr="000D3205">
              <w:rPr>
                <w:bCs/>
              </w:rPr>
              <w:t>$millions</w:t>
            </w:r>
          </w:p>
        </w:tc>
        <w:tc>
          <w:tcPr>
            <w:tcW w:w="967" w:type="pct"/>
            <w:hideMark/>
          </w:tcPr>
          <w:p w14:paraId="7D213C50" w14:textId="77777777" w:rsidR="000D3205" w:rsidRPr="000D3205" w:rsidRDefault="000D3205" w:rsidP="000D3205">
            <w:pPr>
              <w:rPr>
                <w:bCs/>
              </w:rPr>
            </w:pPr>
            <w:r w:rsidRPr="000D3205">
              <w:rPr>
                <w:bCs/>
              </w:rPr>
              <w:t>Q1 2023/24 Budget</w:t>
            </w:r>
          </w:p>
          <w:p w14:paraId="7F13D134" w14:textId="77777777" w:rsidR="000D3205" w:rsidRPr="000D3205" w:rsidRDefault="000D3205" w:rsidP="000D3205">
            <w:pPr>
              <w:rPr>
                <w:bCs/>
              </w:rPr>
            </w:pPr>
            <w:r w:rsidRPr="000D3205">
              <w:rPr>
                <w:bCs/>
              </w:rPr>
              <w:t>$millions</w:t>
            </w:r>
          </w:p>
        </w:tc>
        <w:tc>
          <w:tcPr>
            <w:tcW w:w="967" w:type="pct"/>
            <w:hideMark/>
          </w:tcPr>
          <w:p w14:paraId="364DB9BE" w14:textId="77777777" w:rsidR="000D3205" w:rsidRPr="000D3205" w:rsidRDefault="000D3205" w:rsidP="000D3205">
            <w:pPr>
              <w:rPr>
                <w:bCs/>
              </w:rPr>
            </w:pPr>
            <w:r w:rsidRPr="000D3205">
              <w:rPr>
                <w:bCs/>
              </w:rPr>
              <w:t>Q1 2023/24 Variance</w:t>
            </w:r>
          </w:p>
          <w:p w14:paraId="5EDB7F9E" w14:textId="77777777" w:rsidR="000D3205" w:rsidRPr="000D3205" w:rsidRDefault="000D3205" w:rsidP="000D3205">
            <w:pPr>
              <w:rPr>
                <w:bCs/>
              </w:rPr>
            </w:pPr>
            <w:r w:rsidRPr="000D3205">
              <w:rPr>
                <w:bCs/>
              </w:rPr>
              <w:t>$millions</w:t>
            </w:r>
          </w:p>
        </w:tc>
      </w:tr>
      <w:tr w:rsidR="000D3205" w:rsidRPr="000D3205" w14:paraId="1C8D4BD7" w14:textId="77777777" w:rsidTr="000D3205">
        <w:trPr>
          <w:trHeight w:val="473"/>
        </w:trPr>
        <w:tc>
          <w:tcPr>
            <w:tcW w:w="2099" w:type="pct"/>
            <w:hideMark/>
          </w:tcPr>
          <w:p w14:paraId="3021E26C" w14:textId="77777777" w:rsidR="000D3205" w:rsidRPr="000D3205" w:rsidRDefault="000D3205" w:rsidP="000D3205">
            <w:r w:rsidRPr="000D3205">
              <w:t>Hospital &amp; Specialist Services</w:t>
            </w:r>
          </w:p>
        </w:tc>
        <w:tc>
          <w:tcPr>
            <w:tcW w:w="967" w:type="pct"/>
            <w:hideMark/>
          </w:tcPr>
          <w:p w14:paraId="1EF8149D" w14:textId="77777777" w:rsidR="000D3205" w:rsidRPr="000D3205" w:rsidRDefault="000D3205" w:rsidP="000D3205">
            <w:r w:rsidRPr="000D3205">
              <w:t>3,745</w:t>
            </w:r>
          </w:p>
        </w:tc>
        <w:tc>
          <w:tcPr>
            <w:tcW w:w="967" w:type="pct"/>
            <w:hideMark/>
          </w:tcPr>
          <w:p w14:paraId="2E3B9A89" w14:textId="77777777" w:rsidR="000D3205" w:rsidRPr="000D3205" w:rsidRDefault="000D3205" w:rsidP="000D3205">
            <w:r w:rsidRPr="000D3205">
              <w:t>3,574</w:t>
            </w:r>
          </w:p>
        </w:tc>
        <w:tc>
          <w:tcPr>
            <w:tcW w:w="967" w:type="pct"/>
            <w:hideMark/>
          </w:tcPr>
          <w:p w14:paraId="3FA448E5" w14:textId="77777777" w:rsidR="000D3205" w:rsidRPr="000D3205" w:rsidRDefault="000D3205" w:rsidP="000D3205">
            <w:r w:rsidRPr="000D3205">
              <w:t>(171)</w:t>
            </w:r>
          </w:p>
        </w:tc>
      </w:tr>
      <w:tr w:rsidR="000D3205" w:rsidRPr="000D3205" w14:paraId="54890648" w14:textId="77777777" w:rsidTr="000D3205">
        <w:trPr>
          <w:trHeight w:val="473"/>
        </w:trPr>
        <w:tc>
          <w:tcPr>
            <w:tcW w:w="2099" w:type="pct"/>
            <w:hideMark/>
          </w:tcPr>
          <w:p w14:paraId="73A337FE" w14:textId="77777777" w:rsidR="000D3205" w:rsidRPr="000D3205" w:rsidRDefault="000D3205" w:rsidP="000D3205">
            <w:r w:rsidRPr="000D3205">
              <w:t>Mental Health &amp; Addictions</w:t>
            </w:r>
          </w:p>
        </w:tc>
        <w:tc>
          <w:tcPr>
            <w:tcW w:w="967" w:type="pct"/>
            <w:hideMark/>
          </w:tcPr>
          <w:p w14:paraId="57A7F0A6" w14:textId="77777777" w:rsidR="000D3205" w:rsidRPr="000D3205" w:rsidRDefault="000D3205" w:rsidP="000D3205">
            <w:r w:rsidRPr="000D3205">
              <w:t>567</w:t>
            </w:r>
          </w:p>
        </w:tc>
        <w:tc>
          <w:tcPr>
            <w:tcW w:w="967" w:type="pct"/>
            <w:hideMark/>
          </w:tcPr>
          <w:p w14:paraId="60C8075D" w14:textId="77777777" w:rsidR="000D3205" w:rsidRPr="000D3205" w:rsidRDefault="000D3205" w:rsidP="000D3205">
            <w:r w:rsidRPr="000D3205">
              <w:t>560</w:t>
            </w:r>
          </w:p>
        </w:tc>
        <w:tc>
          <w:tcPr>
            <w:tcW w:w="967" w:type="pct"/>
            <w:hideMark/>
          </w:tcPr>
          <w:p w14:paraId="74CF6CAC" w14:textId="77777777" w:rsidR="000D3205" w:rsidRPr="000D3205" w:rsidRDefault="000D3205" w:rsidP="000D3205">
            <w:r w:rsidRPr="000D3205">
              <w:t>(7)</w:t>
            </w:r>
          </w:p>
        </w:tc>
      </w:tr>
      <w:tr w:rsidR="000D3205" w:rsidRPr="000D3205" w14:paraId="5B9CF4B1" w14:textId="77777777" w:rsidTr="000D3205">
        <w:trPr>
          <w:trHeight w:val="473"/>
        </w:trPr>
        <w:tc>
          <w:tcPr>
            <w:tcW w:w="2099" w:type="pct"/>
            <w:hideMark/>
          </w:tcPr>
          <w:p w14:paraId="27C2E57A" w14:textId="77777777" w:rsidR="000D3205" w:rsidRPr="000D3205" w:rsidRDefault="000D3205" w:rsidP="000D3205">
            <w:r w:rsidRPr="000D3205">
              <w:t>Primary &amp; Community Services</w:t>
            </w:r>
          </w:p>
        </w:tc>
        <w:tc>
          <w:tcPr>
            <w:tcW w:w="967" w:type="pct"/>
            <w:hideMark/>
          </w:tcPr>
          <w:p w14:paraId="7AEA53AE" w14:textId="77777777" w:rsidR="000D3205" w:rsidRPr="000D3205" w:rsidRDefault="000D3205" w:rsidP="000D3205">
            <w:r w:rsidRPr="000D3205">
              <w:t>2,120</w:t>
            </w:r>
          </w:p>
        </w:tc>
        <w:tc>
          <w:tcPr>
            <w:tcW w:w="967" w:type="pct"/>
            <w:hideMark/>
          </w:tcPr>
          <w:p w14:paraId="0A993CAA" w14:textId="77777777" w:rsidR="000D3205" w:rsidRPr="000D3205" w:rsidRDefault="000D3205" w:rsidP="000D3205">
            <w:r w:rsidRPr="000D3205">
              <w:t>2,283</w:t>
            </w:r>
          </w:p>
        </w:tc>
        <w:tc>
          <w:tcPr>
            <w:tcW w:w="967" w:type="pct"/>
            <w:hideMark/>
          </w:tcPr>
          <w:p w14:paraId="33B90260" w14:textId="77777777" w:rsidR="000D3205" w:rsidRPr="000D3205" w:rsidRDefault="000D3205" w:rsidP="000D3205">
            <w:r w:rsidRPr="000D3205">
              <w:t>163</w:t>
            </w:r>
          </w:p>
        </w:tc>
      </w:tr>
      <w:tr w:rsidR="000D3205" w:rsidRPr="000D3205" w14:paraId="7773B1F2" w14:textId="77777777" w:rsidTr="000D3205">
        <w:trPr>
          <w:trHeight w:val="473"/>
        </w:trPr>
        <w:tc>
          <w:tcPr>
            <w:tcW w:w="2099" w:type="pct"/>
            <w:hideMark/>
          </w:tcPr>
          <w:p w14:paraId="2F63FFA5" w14:textId="77777777" w:rsidR="000D3205" w:rsidRPr="000D3205" w:rsidRDefault="000D3205" w:rsidP="000D3205">
            <w:r w:rsidRPr="000D3205">
              <w:t>Public Health</w:t>
            </w:r>
          </w:p>
        </w:tc>
        <w:tc>
          <w:tcPr>
            <w:tcW w:w="967" w:type="pct"/>
            <w:hideMark/>
          </w:tcPr>
          <w:p w14:paraId="2A533283" w14:textId="77777777" w:rsidR="000D3205" w:rsidRPr="000D3205" w:rsidRDefault="000D3205" w:rsidP="000D3205">
            <w:r w:rsidRPr="000D3205">
              <w:t>134</w:t>
            </w:r>
          </w:p>
        </w:tc>
        <w:tc>
          <w:tcPr>
            <w:tcW w:w="967" w:type="pct"/>
            <w:hideMark/>
          </w:tcPr>
          <w:p w14:paraId="54C58FB3" w14:textId="77777777" w:rsidR="000D3205" w:rsidRPr="000D3205" w:rsidRDefault="000D3205" w:rsidP="000D3205">
            <w:r w:rsidRPr="000D3205">
              <w:t>89</w:t>
            </w:r>
          </w:p>
        </w:tc>
        <w:tc>
          <w:tcPr>
            <w:tcW w:w="967" w:type="pct"/>
            <w:hideMark/>
          </w:tcPr>
          <w:p w14:paraId="3A26A423" w14:textId="77777777" w:rsidR="000D3205" w:rsidRPr="000D3205" w:rsidRDefault="000D3205" w:rsidP="000D3205">
            <w:r w:rsidRPr="000D3205">
              <w:t>(45)</w:t>
            </w:r>
          </w:p>
        </w:tc>
      </w:tr>
      <w:tr w:rsidR="000D3205" w:rsidRPr="000D3205" w14:paraId="200A6E23" w14:textId="77777777" w:rsidTr="000D3205">
        <w:trPr>
          <w:trHeight w:val="473"/>
        </w:trPr>
        <w:tc>
          <w:tcPr>
            <w:tcW w:w="2099" w:type="pct"/>
            <w:hideMark/>
          </w:tcPr>
          <w:p w14:paraId="2C7E8BF3" w14:textId="77777777" w:rsidR="000D3205" w:rsidRPr="000D3205" w:rsidRDefault="000D3205" w:rsidP="000D3205">
            <w:r w:rsidRPr="000D3205">
              <w:t>COVID-19</w:t>
            </w:r>
          </w:p>
        </w:tc>
        <w:tc>
          <w:tcPr>
            <w:tcW w:w="967" w:type="pct"/>
            <w:hideMark/>
          </w:tcPr>
          <w:p w14:paraId="0DCBA6A6" w14:textId="77777777" w:rsidR="000D3205" w:rsidRPr="000D3205" w:rsidRDefault="000D3205" w:rsidP="000D3205">
            <w:r w:rsidRPr="000D3205">
              <w:t>42</w:t>
            </w:r>
          </w:p>
        </w:tc>
        <w:tc>
          <w:tcPr>
            <w:tcW w:w="967" w:type="pct"/>
            <w:hideMark/>
          </w:tcPr>
          <w:p w14:paraId="58C4D8B7" w14:textId="77777777" w:rsidR="000D3205" w:rsidRPr="000D3205" w:rsidRDefault="000D3205" w:rsidP="000D3205">
            <w:r w:rsidRPr="000D3205">
              <w:t>74</w:t>
            </w:r>
          </w:p>
        </w:tc>
        <w:tc>
          <w:tcPr>
            <w:tcW w:w="967" w:type="pct"/>
            <w:hideMark/>
          </w:tcPr>
          <w:p w14:paraId="12BAB6FB" w14:textId="77777777" w:rsidR="000D3205" w:rsidRPr="000D3205" w:rsidRDefault="000D3205" w:rsidP="000D3205">
            <w:r w:rsidRPr="000D3205">
              <w:t>31</w:t>
            </w:r>
          </w:p>
        </w:tc>
      </w:tr>
      <w:tr w:rsidR="000D3205" w:rsidRPr="000D3205" w14:paraId="555AAF1E" w14:textId="77777777" w:rsidTr="000D3205">
        <w:trPr>
          <w:trHeight w:val="473"/>
        </w:trPr>
        <w:tc>
          <w:tcPr>
            <w:tcW w:w="2099" w:type="pct"/>
            <w:hideMark/>
          </w:tcPr>
          <w:p w14:paraId="4B2FFBF9" w14:textId="77777777" w:rsidR="000D3205" w:rsidRPr="000D3205" w:rsidRDefault="000D3205" w:rsidP="000D3205">
            <w:pPr>
              <w:rPr>
                <w:b/>
                <w:bCs/>
              </w:rPr>
            </w:pPr>
            <w:r w:rsidRPr="000D3205">
              <w:rPr>
                <w:b/>
                <w:bCs/>
              </w:rPr>
              <w:t>Total</w:t>
            </w:r>
          </w:p>
        </w:tc>
        <w:tc>
          <w:tcPr>
            <w:tcW w:w="967" w:type="pct"/>
            <w:hideMark/>
          </w:tcPr>
          <w:p w14:paraId="0AE24F56" w14:textId="77777777" w:rsidR="000D3205" w:rsidRPr="000D3205" w:rsidRDefault="000D3205" w:rsidP="000D3205">
            <w:pPr>
              <w:rPr>
                <w:b/>
                <w:bCs/>
              </w:rPr>
            </w:pPr>
            <w:r w:rsidRPr="000D3205">
              <w:rPr>
                <w:b/>
                <w:bCs/>
              </w:rPr>
              <w:t>6,609</w:t>
            </w:r>
          </w:p>
        </w:tc>
        <w:tc>
          <w:tcPr>
            <w:tcW w:w="967" w:type="pct"/>
            <w:hideMark/>
          </w:tcPr>
          <w:p w14:paraId="270A3B7C" w14:textId="77777777" w:rsidR="000D3205" w:rsidRPr="000D3205" w:rsidRDefault="000D3205" w:rsidP="000D3205">
            <w:pPr>
              <w:rPr>
                <w:b/>
                <w:bCs/>
              </w:rPr>
            </w:pPr>
            <w:r w:rsidRPr="000D3205">
              <w:rPr>
                <w:b/>
                <w:bCs/>
              </w:rPr>
              <w:t>6,581</w:t>
            </w:r>
          </w:p>
        </w:tc>
        <w:tc>
          <w:tcPr>
            <w:tcW w:w="967" w:type="pct"/>
            <w:hideMark/>
          </w:tcPr>
          <w:p w14:paraId="4E98C216" w14:textId="77777777" w:rsidR="000D3205" w:rsidRPr="000D3205" w:rsidRDefault="000D3205" w:rsidP="000D3205">
            <w:pPr>
              <w:rPr>
                <w:b/>
                <w:bCs/>
              </w:rPr>
            </w:pPr>
            <w:r w:rsidRPr="000D3205">
              <w:rPr>
                <w:b/>
                <w:bCs/>
              </w:rPr>
              <w:t>(29)</w:t>
            </w:r>
          </w:p>
        </w:tc>
      </w:tr>
    </w:tbl>
    <w:p w14:paraId="6BDBCEAB" w14:textId="77777777" w:rsidR="000D3205" w:rsidRDefault="000D3205" w:rsidP="00F27DCD">
      <w:pPr>
        <w:pStyle w:val="TableText"/>
      </w:pPr>
    </w:p>
    <w:tbl>
      <w:tblPr>
        <w:tblStyle w:val="TeWhatuOra"/>
        <w:tblW w:w="5000" w:type="pct"/>
        <w:tblLook w:val="0420" w:firstRow="1" w:lastRow="0" w:firstColumn="0" w:lastColumn="0" w:noHBand="0" w:noVBand="1"/>
      </w:tblPr>
      <w:tblGrid>
        <w:gridCol w:w="1954"/>
        <w:gridCol w:w="2353"/>
        <w:gridCol w:w="1972"/>
        <w:gridCol w:w="1535"/>
        <w:gridCol w:w="1814"/>
      </w:tblGrid>
      <w:tr w:rsidR="000D3205" w:rsidRPr="000D3205" w14:paraId="5A5B571F" w14:textId="77777777" w:rsidTr="000D3205">
        <w:trPr>
          <w:cnfStyle w:val="100000000000" w:firstRow="1" w:lastRow="0" w:firstColumn="0" w:lastColumn="0" w:oddVBand="0" w:evenVBand="0" w:oddHBand="0" w:evenHBand="0" w:firstRowFirstColumn="0" w:firstRowLastColumn="0" w:lastRowFirstColumn="0" w:lastRowLastColumn="0"/>
        </w:trPr>
        <w:tc>
          <w:tcPr>
            <w:tcW w:w="1015" w:type="pct"/>
          </w:tcPr>
          <w:p w14:paraId="0D33CC11" w14:textId="77777777" w:rsidR="000D3205" w:rsidRPr="000D3205" w:rsidRDefault="000D3205" w:rsidP="000D3205">
            <w:r w:rsidRPr="000D3205">
              <w:t>Appropriation</w:t>
            </w:r>
          </w:p>
        </w:tc>
        <w:tc>
          <w:tcPr>
            <w:tcW w:w="1222" w:type="pct"/>
          </w:tcPr>
          <w:p w14:paraId="17286DF0" w14:textId="77777777" w:rsidR="000D3205" w:rsidRPr="000D3205" w:rsidRDefault="000D3205" w:rsidP="000D3205">
            <w:r w:rsidRPr="000D3205">
              <w:t>Hospital &amp; Specialist Services</w:t>
            </w:r>
          </w:p>
          <w:p w14:paraId="050E47CA" w14:textId="77777777" w:rsidR="000D3205" w:rsidRPr="000D3205" w:rsidRDefault="000D3205" w:rsidP="000D3205">
            <w:r w:rsidRPr="000D3205">
              <w:t>$millions</w:t>
            </w:r>
          </w:p>
        </w:tc>
        <w:tc>
          <w:tcPr>
            <w:tcW w:w="1024" w:type="pct"/>
          </w:tcPr>
          <w:p w14:paraId="0FE4BB52" w14:textId="77777777" w:rsidR="000D3205" w:rsidRPr="000D3205" w:rsidRDefault="000D3205" w:rsidP="000D3205">
            <w:r w:rsidRPr="000D3205">
              <w:t>Primary, Public &amp; Community</w:t>
            </w:r>
          </w:p>
          <w:p w14:paraId="54F2EF56" w14:textId="77777777" w:rsidR="000D3205" w:rsidRPr="000D3205" w:rsidRDefault="000D3205" w:rsidP="000D3205">
            <w:r w:rsidRPr="000D3205">
              <w:t>$millions</w:t>
            </w:r>
          </w:p>
        </w:tc>
        <w:tc>
          <w:tcPr>
            <w:tcW w:w="797" w:type="pct"/>
          </w:tcPr>
          <w:p w14:paraId="06D49914" w14:textId="77777777" w:rsidR="000D3205" w:rsidRPr="000D3205" w:rsidRDefault="000D3205" w:rsidP="000D3205">
            <w:r w:rsidRPr="000D3205">
              <w:t>COVID-19</w:t>
            </w:r>
          </w:p>
          <w:p w14:paraId="250137C9" w14:textId="77777777" w:rsidR="000D3205" w:rsidRPr="000D3205" w:rsidRDefault="000D3205" w:rsidP="000D3205">
            <w:r w:rsidRPr="000D3205">
              <w:t>$millions</w:t>
            </w:r>
          </w:p>
        </w:tc>
        <w:tc>
          <w:tcPr>
            <w:tcW w:w="942" w:type="pct"/>
          </w:tcPr>
          <w:p w14:paraId="3AC5D13E" w14:textId="77777777" w:rsidR="000D3205" w:rsidRPr="000D3205" w:rsidRDefault="000D3205" w:rsidP="000D3205">
            <w:r w:rsidRPr="000D3205">
              <w:t>Total</w:t>
            </w:r>
          </w:p>
          <w:p w14:paraId="51F90C57" w14:textId="77777777" w:rsidR="000D3205" w:rsidRPr="000D3205" w:rsidRDefault="000D3205" w:rsidP="000D3205">
            <w:r w:rsidRPr="000D3205">
              <w:t>$millions</w:t>
            </w:r>
          </w:p>
        </w:tc>
      </w:tr>
      <w:tr w:rsidR="000D3205" w:rsidRPr="000D3205" w14:paraId="616C5B63" w14:textId="77777777" w:rsidTr="000D3205">
        <w:tc>
          <w:tcPr>
            <w:tcW w:w="1015" w:type="pct"/>
          </w:tcPr>
          <w:p w14:paraId="7D2A2137" w14:textId="77777777" w:rsidR="000D3205" w:rsidRPr="000D3205" w:rsidRDefault="000D3205" w:rsidP="000D3205">
            <w:r w:rsidRPr="000D3205">
              <w:lastRenderedPageBreak/>
              <w:t>Income</w:t>
            </w:r>
          </w:p>
        </w:tc>
        <w:tc>
          <w:tcPr>
            <w:tcW w:w="1222" w:type="pct"/>
          </w:tcPr>
          <w:p w14:paraId="54493CD5" w14:textId="77777777" w:rsidR="000D3205" w:rsidRPr="000D3205" w:rsidRDefault="000D3205" w:rsidP="000D3205">
            <w:r w:rsidRPr="000D3205">
              <w:t>4,040.355</w:t>
            </w:r>
          </w:p>
        </w:tc>
        <w:tc>
          <w:tcPr>
            <w:tcW w:w="1024" w:type="pct"/>
          </w:tcPr>
          <w:p w14:paraId="18AF88FB" w14:textId="77777777" w:rsidR="000D3205" w:rsidRPr="000D3205" w:rsidRDefault="000D3205" w:rsidP="000D3205">
            <w:r w:rsidRPr="000D3205">
              <w:t>2,489.758</w:t>
            </w:r>
          </w:p>
        </w:tc>
        <w:tc>
          <w:tcPr>
            <w:tcW w:w="797" w:type="pct"/>
          </w:tcPr>
          <w:p w14:paraId="2126B13E" w14:textId="77777777" w:rsidR="000D3205" w:rsidRPr="000D3205" w:rsidRDefault="000D3205" w:rsidP="000D3205">
            <w:r w:rsidRPr="000D3205">
              <w:t>90.904</w:t>
            </w:r>
          </w:p>
        </w:tc>
        <w:tc>
          <w:tcPr>
            <w:tcW w:w="942" w:type="pct"/>
          </w:tcPr>
          <w:p w14:paraId="646A69DE" w14:textId="77777777" w:rsidR="000D3205" w:rsidRPr="000D3205" w:rsidRDefault="000D3205" w:rsidP="000D3205">
            <w:r w:rsidRPr="000D3205">
              <w:t>6,621.016</w:t>
            </w:r>
          </w:p>
        </w:tc>
      </w:tr>
      <w:tr w:rsidR="000D3205" w:rsidRPr="000D3205" w14:paraId="1F4E0A9E" w14:textId="77777777" w:rsidTr="000D3205">
        <w:tc>
          <w:tcPr>
            <w:tcW w:w="1015" w:type="pct"/>
          </w:tcPr>
          <w:p w14:paraId="14FADAD4" w14:textId="77777777" w:rsidR="000D3205" w:rsidRPr="000D3205" w:rsidRDefault="000D3205" w:rsidP="000D3205">
            <w:r w:rsidRPr="000D3205">
              <w:t>Expenditure</w:t>
            </w:r>
          </w:p>
        </w:tc>
        <w:tc>
          <w:tcPr>
            <w:tcW w:w="1222" w:type="pct"/>
          </w:tcPr>
          <w:p w14:paraId="76A9C623" w14:textId="77777777" w:rsidR="000D3205" w:rsidRPr="000D3205" w:rsidRDefault="000D3205" w:rsidP="000D3205">
            <w:r w:rsidRPr="000D3205">
              <w:t>4,345.145</w:t>
            </w:r>
          </w:p>
        </w:tc>
        <w:tc>
          <w:tcPr>
            <w:tcW w:w="1024" w:type="pct"/>
          </w:tcPr>
          <w:p w14:paraId="6A2325B9" w14:textId="77777777" w:rsidR="000D3205" w:rsidRPr="000D3205" w:rsidRDefault="000D3205" w:rsidP="000D3205">
            <w:r w:rsidRPr="000D3205">
              <w:t>2,223.575</w:t>
            </w:r>
          </w:p>
        </w:tc>
        <w:tc>
          <w:tcPr>
            <w:tcW w:w="797" w:type="pct"/>
          </w:tcPr>
          <w:p w14:paraId="616B1188" w14:textId="77777777" w:rsidR="000D3205" w:rsidRPr="000D3205" w:rsidRDefault="000D3205" w:rsidP="000D3205">
            <w:r w:rsidRPr="000D3205">
              <w:t>42.298</w:t>
            </w:r>
          </w:p>
        </w:tc>
        <w:tc>
          <w:tcPr>
            <w:tcW w:w="942" w:type="pct"/>
          </w:tcPr>
          <w:p w14:paraId="638C7AC0" w14:textId="77777777" w:rsidR="000D3205" w:rsidRPr="000D3205" w:rsidRDefault="000D3205" w:rsidP="000D3205">
            <w:r w:rsidRPr="000D3205">
              <w:t>6,611.018</w:t>
            </w:r>
          </w:p>
        </w:tc>
      </w:tr>
      <w:tr w:rsidR="000D3205" w:rsidRPr="000D3205" w14:paraId="7B400394" w14:textId="77777777" w:rsidTr="000D3205">
        <w:tc>
          <w:tcPr>
            <w:tcW w:w="1015" w:type="pct"/>
          </w:tcPr>
          <w:p w14:paraId="0FFA1456" w14:textId="77777777" w:rsidR="000D3205" w:rsidRPr="000D3205" w:rsidRDefault="000D3205" w:rsidP="000D3205">
            <w:pPr>
              <w:rPr>
                <w:b/>
                <w:bCs/>
              </w:rPr>
            </w:pPr>
            <w:r w:rsidRPr="000D3205">
              <w:rPr>
                <w:b/>
                <w:bCs/>
              </w:rPr>
              <w:t>Variance</w:t>
            </w:r>
          </w:p>
        </w:tc>
        <w:tc>
          <w:tcPr>
            <w:tcW w:w="1222" w:type="pct"/>
          </w:tcPr>
          <w:p w14:paraId="07EADEEB" w14:textId="77777777" w:rsidR="000D3205" w:rsidRPr="000D3205" w:rsidRDefault="000D3205" w:rsidP="000D3205">
            <w:pPr>
              <w:rPr>
                <w:b/>
                <w:bCs/>
              </w:rPr>
            </w:pPr>
            <w:r w:rsidRPr="000D3205">
              <w:rPr>
                <w:b/>
                <w:bCs/>
              </w:rPr>
              <w:t>(304.790)</w:t>
            </w:r>
          </w:p>
        </w:tc>
        <w:tc>
          <w:tcPr>
            <w:tcW w:w="1024" w:type="pct"/>
          </w:tcPr>
          <w:p w14:paraId="58768F46" w14:textId="77777777" w:rsidR="000D3205" w:rsidRPr="000D3205" w:rsidRDefault="000D3205" w:rsidP="000D3205">
            <w:pPr>
              <w:rPr>
                <w:b/>
                <w:bCs/>
              </w:rPr>
            </w:pPr>
            <w:r w:rsidRPr="000D3205">
              <w:rPr>
                <w:b/>
                <w:bCs/>
              </w:rPr>
              <w:t>266.183</w:t>
            </w:r>
          </w:p>
        </w:tc>
        <w:tc>
          <w:tcPr>
            <w:tcW w:w="797" w:type="pct"/>
          </w:tcPr>
          <w:p w14:paraId="57634938" w14:textId="77777777" w:rsidR="000D3205" w:rsidRPr="000D3205" w:rsidRDefault="000D3205" w:rsidP="000D3205">
            <w:pPr>
              <w:rPr>
                <w:b/>
                <w:bCs/>
              </w:rPr>
            </w:pPr>
            <w:r w:rsidRPr="000D3205">
              <w:rPr>
                <w:b/>
                <w:bCs/>
              </w:rPr>
              <w:t>48.606</w:t>
            </w:r>
          </w:p>
        </w:tc>
        <w:tc>
          <w:tcPr>
            <w:tcW w:w="942" w:type="pct"/>
          </w:tcPr>
          <w:p w14:paraId="16FCCC8D" w14:textId="77777777" w:rsidR="000D3205" w:rsidRPr="000D3205" w:rsidRDefault="000D3205" w:rsidP="000D3205">
            <w:pPr>
              <w:rPr>
                <w:b/>
                <w:bCs/>
              </w:rPr>
            </w:pPr>
            <w:r w:rsidRPr="000D3205">
              <w:rPr>
                <w:b/>
                <w:bCs/>
              </w:rPr>
              <w:t>9.998</w:t>
            </w:r>
          </w:p>
        </w:tc>
      </w:tr>
    </w:tbl>
    <w:p w14:paraId="6B65916B" w14:textId="77777777" w:rsidR="000D3205" w:rsidRDefault="000D3205" w:rsidP="000D3205">
      <w:pPr>
        <w:pStyle w:val="Heading2"/>
      </w:pPr>
      <w:bookmarkStart w:id="100" w:name="_Toc157771865"/>
      <w:r>
        <w:t>Infrastructure Investment</w:t>
      </w:r>
      <w:bookmarkEnd w:id="100"/>
      <w:r>
        <w:t xml:space="preserve"> </w:t>
      </w:r>
    </w:p>
    <w:p w14:paraId="3288A7D7" w14:textId="0FF67272" w:rsidR="000D3205" w:rsidRDefault="000D3205" w:rsidP="000D3205">
      <w:r>
        <w:t>The Infrastructure and Investment Group (IIG) oversees a portfolio of health sector capital projects that require Crown funding or exceed $10</w:t>
      </w:r>
      <w:r w:rsidR="00BF3381">
        <w:t>m</w:t>
      </w:r>
      <w:r>
        <w:t xml:space="preserve"> in capital cost (per project). These are currently 110 projects across the motu with a combined total value of $7.825</w:t>
      </w:r>
      <w:r w:rsidR="00BF3381">
        <w:t>b</w:t>
      </w:r>
      <w:r>
        <w:t xml:space="preserve">. </w:t>
      </w:r>
    </w:p>
    <w:p w14:paraId="2B0C2E54" w14:textId="61FDA65A" w:rsidR="000D3205" w:rsidRDefault="000D3205" w:rsidP="000D3205">
      <w:r>
        <w:t>Performance reporting indicates that most projects are on track with 48 projects in delivery and 36 projects in the completed/debrief phase. The table below shows the number of projects in each project phase and the movement in the quarter</w:t>
      </w:r>
      <w:r w:rsidR="00B73FAA">
        <w:t>.</w:t>
      </w:r>
    </w:p>
    <w:tbl>
      <w:tblPr>
        <w:tblStyle w:val="TeWhatuOra"/>
        <w:tblpPr w:leftFromText="180" w:rightFromText="180" w:vertAnchor="text"/>
        <w:tblW w:w="8354" w:type="dxa"/>
        <w:tblLook w:val="0420" w:firstRow="1" w:lastRow="0" w:firstColumn="0" w:lastColumn="0" w:noHBand="0" w:noVBand="1"/>
      </w:tblPr>
      <w:tblGrid>
        <w:gridCol w:w="1975"/>
        <w:gridCol w:w="1276"/>
        <w:gridCol w:w="1275"/>
        <w:gridCol w:w="1276"/>
        <w:gridCol w:w="1134"/>
        <w:gridCol w:w="1418"/>
      </w:tblGrid>
      <w:tr w:rsidR="000D3205" w:rsidRPr="000D3205" w14:paraId="307B6478" w14:textId="77777777" w:rsidTr="000D3205">
        <w:trPr>
          <w:cnfStyle w:val="100000000000" w:firstRow="1" w:lastRow="0" w:firstColumn="0" w:lastColumn="0" w:oddVBand="0" w:evenVBand="0" w:oddHBand="0" w:evenHBand="0" w:firstRowFirstColumn="0" w:firstRowLastColumn="0" w:lastRowFirstColumn="0" w:lastRowLastColumn="0"/>
          <w:trHeight w:val="679"/>
        </w:trPr>
        <w:tc>
          <w:tcPr>
            <w:tcW w:w="1975" w:type="dxa"/>
          </w:tcPr>
          <w:p w14:paraId="1DA5CC95" w14:textId="77777777" w:rsidR="000D3205" w:rsidRPr="000D3205" w:rsidRDefault="000D3205" w:rsidP="000D3205">
            <w:pPr>
              <w:rPr>
                <w:bCs/>
              </w:rPr>
            </w:pPr>
          </w:p>
        </w:tc>
        <w:tc>
          <w:tcPr>
            <w:tcW w:w="1276" w:type="dxa"/>
            <w:hideMark/>
          </w:tcPr>
          <w:p w14:paraId="7CA63FC6" w14:textId="77777777" w:rsidR="000D3205" w:rsidRPr="000D3205" w:rsidRDefault="000D3205" w:rsidP="000D3205">
            <w:pPr>
              <w:rPr>
                <w:bCs/>
              </w:rPr>
            </w:pPr>
            <w:r w:rsidRPr="000D3205">
              <w:rPr>
                <w:bCs/>
              </w:rPr>
              <w:t>Define</w:t>
            </w:r>
          </w:p>
        </w:tc>
        <w:tc>
          <w:tcPr>
            <w:tcW w:w="1275" w:type="dxa"/>
            <w:hideMark/>
          </w:tcPr>
          <w:p w14:paraId="10E9925B" w14:textId="77777777" w:rsidR="000D3205" w:rsidRPr="000D3205" w:rsidRDefault="000D3205" w:rsidP="000D3205">
            <w:pPr>
              <w:rPr>
                <w:bCs/>
              </w:rPr>
            </w:pPr>
            <w:r w:rsidRPr="000D3205">
              <w:rPr>
                <w:bCs/>
              </w:rPr>
              <w:t>Design</w:t>
            </w:r>
          </w:p>
        </w:tc>
        <w:tc>
          <w:tcPr>
            <w:tcW w:w="1276" w:type="dxa"/>
            <w:hideMark/>
          </w:tcPr>
          <w:p w14:paraId="6BA0779C" w14:textId="77777777" w:rsidR="000D3205" w:rsidRPr="000D3205" w:rsidRDefault="000D3205" w:rsidP="000D3205">
            <w:pPr>
              <w:rPr>
                <w:bCs/>
              </w:rPr>
            </w:pPr>
            <w:r w:rsidRPr="000D3205">
              <w:rPr>
                <w:bCs/>
              </w:rPr>
              <w:t>Deliver</w:t>
            </w:r>
          </w:p>
        </w:tc>
        <w:tc>
          <w:tcPr>
            <w:tcW w:w="1134" w:type="dxa"/>
            <w:hideMark/>
          </w:tcPr>
          <w:p w14:paraId="0619919D" w14:textId="77777777" w:rsidR="000D3205" w:rsidRPr="000D3205" w:rsidRDefault="000D3205" w:rsidP="000D3205">
            <w:pPr>
              <w:rPr>
                <w:bCs/>
              </w:rPr>
            </w:pPr>
            <w:r w:rsidRPr="000D3205">
              <w:rPr>
                <w:bCs/>
              </w:rPr>
              <w:t>Debrief</w:t>
            </w:r>
          </w:p>
        </w:tc>
        <w:tc>
          <w:tcPr>
            <w:tcW w:w="1418" w:type="dxa"/>
            <w:hideMark/>
          </w:tcPr>
          <w:p w14:paraId="1DF3E3EB" w14:textId="77777777" w:rsidR="000D3205" w:rsidRPr="000D3205" w:rsidRDefault="000D3205" w:rsidP="000D3205">
            <w:pPr>
              <w:rPr>
                <w:bCs/>
              </w:rPr>
            </w:pPr>
            <w:r w:rsidRPr="000D3205">
              <w:rPr>
                <w:bCs/>
              </w:rPr>
              <w:t>Total</w:t>
            </w:r>
          </w:p>
        </w:tc>
      </w:tr>
      <w:tr w:rsidR="000D3205" w:rsidRPr="000D3205" w14:paraId="1A8E3877" w14:textId="77777777" w:rsidTr="000D3205">
        <w:trPr>
          <w:trHeight w:val="573"/>
        </w:trPr>
        <w:tc>
          <w:tcPr>
            <w:tcW w:w="1975" w:type="dxa"/>
          </w:tcPr>
          <w:p w14:paraId="08CA2EFB" w14:textId="77777777" w:rsidR="000D3205" w:rsidRPr="000D3205" w:rsidRDefault="000D3205" w:rsidP="000D3205">
            <w:pPr>
              <w:rPr>
                <w:b/>
                <w:bCs/>
              </w:rPr>
            </w:pPr>
            <w:r w:rsidRPr="000D3205">
              <w:rPr>
                <w:b/>
                <w:bCs/>
              </w:rPr>
              <w:t>Portfolio as at 31 August 2023</w:t>
            </w:r>
          </w:p>
        </w:tc>
        <w:tc>
          <w:tcPr>
            <w:tcW w:w="1276" w:type="dxa"/>
            <w:hideMark/>
          </w:tcPr>
          <w:p w14:paraId="4F790F6D" w14:textId="77777777" w:rsidR="000D3205" w:rsidRPr="000D3205" w:rsidRDefault="000D3205" w:rsidP="000D3205">
            <w:r w:rsidRPr="000D3205">
              <w:t>4</w:t>
            </w:r>
          </w:p>
          <w:p w14:paraId="7251A3EF" w14:textId="77777777" w:rsidR="000D3205" w:rsidRPr="000D3205" w:rsidRDefault="000D3205" w:rsidP="000D3205">
            <w:r w:rsidRPr="000D3205">
              <w:t>$0.09 billion</w:t>
            </w:r>
          </w:p>
        </w:tc>
        <w:tc>
          <w:tcPr>
            <w:tcW w:w="1275" w:type="dxa"/>
            <w:hideMark/>
          </w:tcPr>
          <w:p w14:paraId="410AF1C6" w14:textId="77777777" w:rsidR="000D3205" w:rsidRPr="000D3205" w:rsidRDefault="000D3205" w:rsidP="000D3205">
            <w:r w:rsidRPr="000D3205">
              <w:t>23</w:t>
            </w:r>
          </w:p>
          <w:p w14:paraId="5BEA0CC6" w14:textId="77777777" w:rsidR="000D3205" w:rsidRPr="000D3205" w:rsidRDefault="000D3205" w:rsidP="000D3205">
            <w:r w:rsidRPr="000D3205">
              <w:t>$1.58 billion</w:t>
            </w:r>
          </w:p>
        </w:tc>
        <w:tc>
          <w:tcPr>
            <w:tcW w:w="1276" w:type="dxa"/>
            <w:hideMark/>
          </w:tcPr>
          <w:p w14:paraId="3CF8EB96" w14:textId="77777777" w:rsidR="000D3205" w:rsidRPr="000D3205" w:rsidRDefault="000D3205" w:rsidP="000D3205">
            <w:r w:rsidRPr="000D3205">
              <w:t>50</w:t>
            </w:r>
          </w:p>
          <w:p w14:paraId="3472A34C" w14:textId="77777777" w:rsidR="000D3205" w:rsidRPr="000D3205" w:rsidRDefault="000D3205" w:rsidP="000D3205">
            <w:r w:rsidRPr="000D3205">
              <w:t>$4.88 billion</w:t>
            </w:r>
          </w:p>
        </w:tc>
        <w:tc>
          <w:tcPr>
            <w:tcW w:w="1134" w:type="dxa"/>
            <w:hideMark/>
          </w:tcPr>
          <w:p w14:paraId="2CEF713A" w14:textId="77777777" w:rsidR="000D3205" w:rsidRPr="000D3205" w:rsidRDefault="000D3205" w:rsidP="000D3205">
            <w:r w:rsidRPr="000D3205">
              <w:t>33</w:t>
            </w:r>
          </w:p>
          <w:p w14:paraId="78D79702" w14:textId="77777777" w:rsidR="000D3205" w:rsidRPr="000D3205" w:rsidRDefault="000D3205" w:rsidP="000D3205">
            <w:r w:rsidRPr="000D3205">
              <w:t>$1.28 billion</w:t>
            </w:r>
          </w:p>
        </w:tc>
        <w:tc>
          <w:tcPr>
            <w:tcW w:w="1418" w:type="dxa"/>
            <w:hideMark/>
          </w:tcPr>
          <w:p w14:paraId="01C918DF" w14:textId="77777777" w:rsidR="000D3205" w:rsidRPr="000D3205" w:rsidRDefault="000D3205" w:rsidP="000D3205">
            <w:r w:rsidRPr="000D3205">
              <w:t>110</w:t>
            </w:r>
          </w:p>
          <w:p w14:paraId="1ACBE148" w14:textId="77777777" w:rsidR="000D3205" w:rsidRPr="000D3205" w:rsidRDefault="000D3205" w:rsidP="000D3205">
            <w:r w:rsidRPr="000D3205">
              <w:t>$7.83 billion</w:t>
            </w:r>
          </w:p>
        </w:tc>
      </w:tr>
      <w:tr w:rsidR="000D3205" w:rsidRPr="000D3205" w14:paraId="3B5B0D04" w14:textId="77777777" w:rsidTr="000D3205">
        <w:trPr>
          <w:trHeight w:val="573"/>
        </w:trPr>
        <w:tc>
          <w:tcPr>
            <w:tcW w:w="1975" w:type="dxa"/>
          </w:tcPr>
          <w:p w14:paraId="5D18E546" w14:textId="77777777" w:rsidR="000D3205" w:rsidRPr="000D3205" w:rsidRDefault="000D3205" w:rsidP="000D3205">
            <w:pPr>
              <w:rPr>
                <w:b/>
                <w:bCs/>
              </w:rPr>
            </w:pPr>
            <w:r w:rsidRPr="000D3205">
              <w:rPr>
                <w:b/>
                <w:bCs/>
              </w:rPr>
              <w:t>Portfolio as at 30 September 2023</w:t>
            </w:r>
          </w:p>
        </w:tc>
        <w:tc>
          <w:tcPr>
            <w:tcW w:w="1276" w:type="dxa"/>
            <w:hideMark/>
          </w:tcPr>
          <w:p w14:paraId="1F20A98A" w14:textId="77777777" w:rsidR="000D3205" w:rsidRPr="000D3205" w:rsidRDefault="000D3205" w:rsidP="000D3205">
            <w:r w:rsidRPr="000D3205">
              <w:t>5</w:t>
            </w:r>
          </w:p>
          <w:p w14:paraId="4314D751" w14:textId="77777777" w:rsidR="000D3205" w:rsidRPr="000D3205" w:rsidRDefault="000D3205" w:rsidP="000D3205">
            <w:r w:rsidRPr="000D3205">
              <w:t>$0.09 billion</w:t>
            </w:r>
          </w:p>
        </w:tc>
        <w:tc>
          <w:tcPr>
            <w:tcW w:w="1275" w:type="dxa"/>
            <w:hideMark/>
          </w:tcPr>
          <w:p w14:paraId="11952382" w14:textId="77777777" w:rsidR="000D3205" w:rsidRPr="000D3205" w:rsidRDefault="000D3205" w:rsidP="000D3205">
            <w:r w:rsidRPr="000D3205">
              <w:t>21</w:t>
            </w:r>
          </w:p>
          <w:p w14:paraId="217FE6FA" w14:textId="77777777" w:rsidR="000D3205" w:rsidRPr="000D3205" w:rsidRDefault="000D3205" w:rsidP="000D3205">
            <w:r w:rsidRPr="000D3205">
              <w:t>$1.58 billion</w:t>
            </w:r>
          </w:p>
        </w:tc>
        <w:tc>
          <w:tcPr>
            <w:tcW w:w="1276" w:type="dxa"/>
            <w:hideMark/>
          </w:tcPr>
          <w:p w14:paraId="42CCD9DD" w14:textId="77777777" w:rsidR="000D3205" w:rsidRPr="000D3205" w:rsidRDefault="000D3205" w:rsidP="000D3205">
            <w:r w:rsidRPr="000D3205">
              <w:t>48</w:t>
            </w:r>
          </w:p>
          <w:p w14:paraId="47CED358" w14:textId="77777777" w:rsidR="000D3205" w:rsidRPr="000D3205" w:rsidRDefault="000D3205" w:rsidP="000D3205">
            <w:r w:rsidRPr="000D3205">
              <w:t>$4.86 billion</w:t>
            </w:r>
          </w:p>
        </w:tc>
        <w:tc>
          <w:tcPr>
            <w:tcW w:w="1134" w:type="dxa"/>
            <w:hideMark/>
          </w:tcPr>
          <w:p w14:paraId="648EAB90" w14:textId="77777777" w:rsidR="000D3205" w:rsidRPr="000D3205" w:rsidRDefault="000D3205" w:rsidP="000D3205">
            <w:r w:rsidRPr="000D3205">
              <w:t>36</w:t>
            </w:r>
          </w:p>
          <w:p w14:paraId="50588FEC" w14:textId="77777777" w:rsidR="000D3205" w:rsidRPr="000D3205" w:rsidRDefault="000D3205" w:rsidP="000D3205">
            <w:r w:rsidRPr="000D3205">
              <w:t>$1.30 billion</w:t>
            </w:r>
          </w:p>
        </w:tc>
        <w:tc>
          <w:tcPr>
            <w:tcW w:w="1418" w:type="dxa"/>
            <w:hideMark/>
          </w:tcPr>
          <w:p w14:paraId="70963E0D" w14:textId="77777777" w:rsidR="000D3205" w:rsidRPr="000D3205" w:rsidRDefault="000D3205" w:rsidP="000D3205">
            <w:r w:rsidRPr="000D3205">
              <w:t>110</w:t>
            </w:r>
          </w:p>
          <w:p w14:paraId="4ED77973" w14:textId="77777777" w:rsidR="000D3205" w:rsidRPr="000D3205" w:rsidRDefault="000D3205" w:rsidP="000D3205">
            <w:r w:rsidRPr="000D3205">
              <w:t>$7.83 billion</w:t>
            </w:r>
          </w:p>
        </w:tc>
      </w:tr>
      <w:tr w:rsidR="000D3205" w:rsidRPr="000D3205" w14:paraId="4FAA2BA6" w14:textId="77777777" w:rsidTr="000D3205">
        <w:trPr>
          <w:trHeight w:val="519"/>
        </w:trPr>
        <w:tc>
          <w:tcPr>
            <w:tcW w:w="1975" w:type="dxa"/>
          </w:tcPr>
          <w:p w14:paraId="2F0F1CEF" w14:textId="77777777" w:rsidR="000D3205" w:rsidRPr="000D3205" w:rsidRDefault="000D3205" w:rsidP="000D3205">
            <w:pPr>
              <w:rPr>
                <w:b/>
                <w:bCs/>
              </w:rPr>
            </w:pPr>
            <w:r w:rsidRPr="000D3205">
              <w:rPr>
                <w:b/>
                <w:bCs/>
              </w:rPr>
              <w:t>Movement In</w:t>
            </w:r>
          </w:p>
        </w:tc>
        <w:tc>
          <w:tcPr>
            <w:tcW w:w="1276" w:type="dxa"/>
          </w:tcPr>
          <w:p w14:paraId="71D5C56D" w14:textId="77777777" w:rsidR="000D3205" w:rsidRPr="000D3205" w:rsidRDefault="000D3205" w:rsidP="000D3205">
            <w:r w:rsidRPr="000D3205">
              <w:t>1</w:t>
            </w:r>
          </w:p>
        </w:tc>
        <w:tc>
          <w:tcPr>
            <w:tcW w:w="1275" w:type="dxa"/>
          </w:tcPr>
          <w:p w14:paraId="3103E72D" w14:textId="77777777" w:rsidR="000D3205" w:rsidRPr="000D3205" w:rsidRDefault="000D3205" w:rsidP="000D3205">
            <w:r w:rsidRPr="000D3205">
              <w:t>-</w:t>
            </w:r>
          </w:p>
        </w:tc>
        <w:tc>
          <w:tcPr>
            <w:tcW w:w="1276" w:type="dxa"/>
          </w:tcPr>
          <w:p w14:paraId="7DC8777F" w14:textId="77777777" w:rsidR="000D3205" w:rsidRPr="000D3205" w:rsidRDefault="000D3205" w:rsidP="000D3205">
            <w:r w:rsidRPr="000D3205">
              <w:t>1*</w:t>
            </w:r>
          </w:p>
        </w:tc>
        <w:tc>
          <w:tcPr>
            <w:tcW w:w="1134" w:type="dxa"/>
          </w:tcPr>
          <w:p w14:paraId="0E9D2E4A" w14:textId="77777777" w:rsidR="000D3205" w:rsidRPr="000D3205" w:rsidRDefault="000D3205" w:rsidP="000D3205">
            <w:r w:rsidRPr="000D3205">
              <w:t>3</w:t>
            </w:r>
          </w:p>
        </w:tc>
        <w:tc>
          <w:tcPr>
            <w:tcW w:w="1418" w:type="dxa"/>
          </w:tcPr>
          <w:p w14:paraId="3F0576C5" w14:textId="77777777" w:rsidR="000D3205" w:rsidRPr="000D3205" w:rsidRDefault="000D3205" w:rsidP="000D3205">
            <w:r w:rsidRPr="000D3205">
              <w:t>1</w:t>
            </w:r>
          </w:p>
        </w:tc>
      </w:tr>
      <w:tr w:rsidR="000D3205" w:rsidRPr="000D3205" w14:paraId="4A573829" w14:textId="77777777" w:rsidTr="000D3205">
        <w:trPr>
          <w:trHeight w:val="519"/>
        </w:trPr>
        <w:tc>
          <w:tcPr>
            <w:tcW w:w="1975" w:type="dxa"/>
            <w:hideMark/>
          </w:tcPr>
          <w:p w14:paraId="4E594F1A" w14:textId="77777777" w:rsidR="000D3205" w:rsidRPr="000D3205" w:rsidRDefault="000D3205" w:rsidP="000D3205">
            <w:pPr>
              <w:rPr>
                <w:b/>
                <w:bCs/>
              </w:rPr>
            </w:pPr>
            <w:r w:rsidRPr="000D3205">
              <w:rPr>
                <w:b/>
                <w:bCs/>
              </w:rPr>
              <w:t>Movement Out</w:t>
            </w:r>
          </w:p>
        </w:tc>
        <w:tc>
          <w:tcPr>
            <w:tcW w:w="1276" w:type="dxa"/>
            <w:hideMark/>
          </w:tcPr>
          <w:p w14:paraId="533C8371" w14:textId="77777777" w:rsidR="000D3205" w:rsidRPr="000D3205" w:rsidRDefault="000D3205" w:rsidP="000D3205">
            <w:r w:rsidRPr="000D3205">
              <w:t>-</w:t>
            </w:r>
          </w:p>
        </w:tc>
        <w:tc>
          <w:tcPr>
            <w:tcW w:w="1275" w:type="dxa"/>
            <w:hideMark/>
          </w:tcPr>
          <w:p w14:paraId="538B6E93" w14:textId="77777777" w:rsidR="000D3205" w:rsidRPr="000D3205" w:rsidRDefault="000D3205" w:rsidP="000D3205">
            <w:r w:rsidRPr="000D3205">
              <w:t>2*</w:t>
            </w:r>
          </w:p>
        </w:tc>
        <w:tc>
          <w:tcPr>
            <w:tcW w:w="1276" w:type="dxa"/>
            <w:hideMark/>
          </w:tcPr>
          <w:p w14:paraId="271DE627" w14:textId="77777777" w:rsidR="000D3205" w:rsidRPr="000D3205" w:rsidRDefault="000D3205" w:rsidP="000D3205">
            <w:r w:rsidRPr="000D3205">
              <w:t>3</w:t>
            </w:r>
          </w:p>
        </w:tc>
        <w:tc>
          <w:tcPr>
            <w:tcW w:w="1134" w:type="dxa"/>
            <w:hideMark/>
          </w:tcPr>
          <w:p w14:paraId="41133D76" w14:textId="77777777" w:rsidR="000D3205" w:rsidRPr="000D3205" w:rsidRDefault="000D3205" w:rsidP="000D3205"/>
        </w:tc>
        <w:tc>
          <w:tcPr>
            <w:tcW w:w="1418" w:type="dxa"/>
            <w:hideMark/>
          </w:tcPr>
          <w:p w14:paraId="1A29A2CC" w14:textId="77777777" w:rsidR="000D3205" w:rsidRPr="000D3205" w:rsidRDefault="000D3205" w:rsidP="000D3205">
            <w:r w:rsidRPr="000D3205">
              <w:t>1</w:t>
            </w:r>
          </w:p>
        </w:tc>
      </w:tr>
    </w:tbl>
    <w:p w14:paraId="14B294CB" w14:textId="77777777" w:rsidR="000D3205" w:rsidRDefault="000D3205" w:rsidP="000D3205"/>
    <w:p w14:paraId="60D38006" w14:textId="77777777" w:rsidR="000D3205" w:rsidRPr="000D3205" w:rsidRDefault="000D3205" w:rsidP="000D3205"/>
    <w:p w14:paraId="29184394" w14:textId="77777777" w:rsidR="000D3205" w:rsidRPr="000D3205" w:rsidRDefault="000D3205" w:rsidP="000D3205"/>
    <w:p w14:paraId="53939BAE" w14:textId="77777777" w:rsidR="000D3205" w:rsidRPr="000D3205" w:rsidRDefault="000D3205" w:rsidP="000D3205"/>
    <w:p w14:paraId="7CF6AD6B" w14:textId="77777777" w:rsidR="000D3205" w:rsidRPr="000D3205" w:rsidRDefault="000D3205" w:rsidP="000D3205"/>
    <w:p w14:paraId="0F92C485" w14:textId="77777777" w:rsidR="000D3205" w:rsidRPr="000D3205" w:rsidRDefault="000D3205" w:rsidP="000D3205"/>
    <w:p w14:paraId="21DB1BE4" w14:textId="77777777" w:rsidR="000D3205" w:rsidRPr="000D3205" w:rsidRDefault="000D3205" w:rsidP="000D3205"/>
    <w:p w14:paraId="6ECDA6B3" w14:textId="77777777" w:rsidR="000D3205" w:rsidRPr="000D3205" w:rsidRDefault="000D3205" w:rsidP="000D3205"/>
    <w:p w14:paraId="0F9C9DE8" w14:textId="77777777" w:rsidR="000D3205" w:rsidRPr="000D3205" w:rsidRDefault="000D3205" w:rsidP="000D3205"/>
    <w:p w14:paraId="038C421A" w14:textId="63823D9C" w:rsidR="000D3205" w:rsidRDefault="000D3205" w:rsidP="000D3205">
      <w:r w:rsidRPr="000D3205">
        <w:t xml:space="preserve">*Two projects, both currently in </w:t>
      </w:r>
      <w:r w:rsidR="00B73FAA">
        <w:t>d</w:t>
      </w:r>
      <w:r w:rsidRPr="000D3205">
        <w:t xml:space="preserve">esign, were merged and one other project moved from </w:t>
      </w:r>
      <w:r w:rsidR="00B73FAA">
        <w:t>d</w:t>
      </w:r>
      <w:r w:rsidRPr="000D3205">
        <w:t xml:space="preserve">esign to </w:t>
      </w:r>
      <w:r w:rsidR="00B73FAA">
        <w:t>d</w:t>
      </w:r>
      <w:r w:rsidRPr="000D3205">
        <w:t>eliver.</w:t>
      </w:r>
    </w:p>
    <w:p w14:paraId="1C1965A1" w14:textId="0F9F1136" w:rsidR="001B04C9" w:rsidRDefault="001B04C9">
      <w:pPr>
        <w:spacing w:before="0" w:after="160" w:line="259" w:lineRule="auto"/>
      </w:pPr>
      <w:r>
        <w:br w:type="page"/>
      </w:r>
    </w:p>
    <w:p w14:paraId="646400EF" w14:textId="64B44CC9" w:rsidR="000D3205" w:rsidRDefault="001B04C9" w:rsidP="001B04C9">
      <w:pPr>
        <w:pStyle w:val="Heading2"/>
      </w:pPr>
      <w:bookmarkStart w:id="101" w:name="_Toc157771866"/>
      <w:r w:rsidRPr="001B04C9">
        <w:lastRenderedPageBreak/>
        <w:t xml:space="preserve">Budget Spending Summary as at </w:t>
      </w:r>
      <w:r w:rsidR="001F2268">
        <w:t xml:space="preserve">            </w:t>
      </w:r>
      <w:r w:rsidRPr="001B04C9">
        <w:t>30 September 2023</w:t>
      </w:r>
      <w:bookmarkEnd w:id="101"/>
    </w:p>
    <w:tbl>
      <w:tblPr>
        <w:tblStyle w:val="TeWhatuOra"/>
        <w:tblW w:w="5000" w:type="pct"/>
        <w:tblLook w:val="0420" w:firstRow="1" w:lastRow="0" w:firstColumn="0" w:lastColumn="0" w:noHBand="0" w:noVBand="1"/>
      </w:tblPr>
      <w:tblGrid>
        <w:gridCol w:w="2173"/>
        <w:gridCol w:w="4152"/>
        <w:gridCol w:w="1789"/>
        <w:gridCol w:w="1514"/>
      </w:tblGrid>
      <w:tr w:rsidR="001B04C9" w:rsidRPr="001B04C9" w14:paraId="5531F5C2" w14:textId="77777777" w:rsidTr="001B04C9">
        <w:trPr>
          <w:cnfStyle w:val="100000000000" w:firstRow="1" w:lastRow="0" w:firstColumn="0" w:lastColumn="0" w:oddVBand="0" w:evenVBand="0" w:oddHBand="0" w:evenHBand="0" w:firstRowFirstColumn="0" w:firstRowLastColumn="0" w:lastRowFirstColumn="0" w:lastRowLastColumn="0"/>
          <w:trHeight w:val="795"/>
        </w:trPr>
        <w:tc>
          <w:tcPr>
            <w:tcW w:w="1128" w:type="pct"/>
          </w:tcPr>
          <w:p w14:paraId="73948C9F" w14:textId="77777777" w:rsidR="001B04C9" w:rsidRPr="001B04C9" w:rsidRDefault="001B04C9" w:rsidP="001B04C9">
            <w:pPr>
              <w:rPr>
                <w:bCs/>
              </w:rPr>
            </w:pPr>
          </w:p>
          <w:p w14:paraId="24E3967E" w14:textId="77777777" w:rsidR="001B04C9" w:rsidRPr="001B04C9" w:rsidRDefault="001B04C9" w:rsidP="001B04C9">
            <w:pPr>
              <w:rPr>
                <w:bCs/>
              </w:rPr>
            </w:pPr>
            <w:r w:rsidRPr="001B04C9">
              <w:rPr>
                <w:bCs/>
              </w:rPr>
              <w:t xml:space="preserve">Te Pae Priority Actions </w:t>
            </w:r>
          </w:p>
        </w:tc>
        <w:tc>
          <w:tcPr>
            <w:tcW w:w="2156" w:type="pct"/>
            <w:hideMark/>
          </w:tcPr>
          <w:p w14:paraId="4A111473" w14:textId="77777777" w:rsidR="001B04C9" w:rsidRPr="001B04C9" w:rsidRDefault="001B04C9" w:rsidP="001B04C9">
            <w:r w:rsidRPr="001B04C9">
              <w:rPr>
                <w:bCs/>
              </w:rPr>
              <w:t>Initiative</w:t>
            </w:r>
          </w:p>
        </w:tc>
        <w:tc>
          <w:tcPr>
            <w:tcW w:w="929" w:type="pct"/>
            <w:hideMark/>
          </w:tcPr>
          <w:p w14:paraId="0C4A4DDB" w14:textId="77777777" w:rsidR="001B04C9" w:rsidRPr="001B04C9" w:rsidRDefault="001B04C9" w:rsidP="001B04C9">
            <w:r w:rsidRPr="001B04C9">
              <w:rPr>
                <w:bCs/>
              </w:rPr>
              <w:t>2023/24 Funding</w:t>
            </w:r>
          </w:p>
          <w:p w14:paraId="19998861" w14:textId="77777777" w:rsidR="001B04C9" w:rsidRPr="001B04C9" w:rsidRDefault="001B04C9" w:rsidP="001B04C9">
            <w:r w:rsidRPr="001B04C9">
              <w:rPr>
                <w:bCs/>
              </w:rPr>
              <w:t>($ m)</w:t>
            </w:r>
          </w:p>
        </w:tc>
        <w:tc>
          <w:tcPr>
            <w:tcW w:w="786" w:type="pct"/>
            <w:hideMark/>
          </w:tcPr>
          <w:p w14:paraId="32119F18" w14:textId="77777777" w:rsidR="001B04C9" w:rsidRPr="001B04C9" w:rsidRDefault="001B04C9" w:rsidP="001B04C9">
            <w:r w:rsidRPr="001B04C9">
              <w:rPr>
                <w:bCs/>
              </w:rPr>
              <w:t>Spent to 30 September</w:t>
            </w:r>
          </w:p>
          <w:p w14:paraId="69113BD9" w14:textId="77777777" w:rsidR="001B04C9" w:rsidRPr="001B04C9" w:rsidRDefault="001B04C9" w:rsidP="001B04C9">
            <w:r w:rsidRPr="001B04C9">
              <w:rPr>
                <w:bCs/>
              </w:rPr>
              <w:t>($ m)</w:t>
            </w:r>
          </w:p>
        </w:tc>
      </w:tr>
      <w:tr w:rsidR="001B04C9" w:rsidRPr="001B04C9" w14:paraId="141F8030" w14:textId="77777777" w:rsidTr="001B04C9">
        <w:trPr>
          <w:trHeight w:val="525"/>
        </w:trPr>
        <w:tc>
          <w:tcPr>
            <w:tcW w:w="1128" w:type="pct"/>
            <w:vMerge w:val="restart"/>
          </w:tcPr>
          <w:p w14:paraId="78ADEBF7" w14:textId="77777777" w:rsidR="001B04C9" w:rsidRPr="001B04C9" w:rsidRDefault="001B04C9" w:rsidP="001B04C9">
            <w:r w:rsidRPr="001B04C9">
              <w:rPr>
                <w:b/>
                <w:bCs/>
              </w:rPr>
              <w:t>1.</w:t>
            </w:r>
            <w:r w:rsidRPr="001B04C9">
              <w:t xml:space="preserve"> Place whānau at the heart of the system to improve equity and outcomes</w:t>
            </w:r>
          </w:p>
        </w:tc>
        <w:tc>
          <w:tcPr>
            <w:tcW w:w="2156" w:type="pct"/>
            <w:hideMark/>
          </w:tcPr>
          <w:p w14:paraId="4342506D" w14:textId="77777777" w:rsidR="001B04C9" w:rsidRPr="001B04C9" w:rsidRDefault="001B04C9" w:rsidP="001B04C9">
            <w:r w:rsidRPr="001B04C9">
              <w:t>Addressing the Burden of Diabetes for Pacific Communities</w:t>
            </w:r>
          </w:p>
        </w:tc>
        <w:tc>
          <w:tcPr>
            <w:tcW w:w="929" w:type="pct"/>
            <w:hideMark/>
          </w:tcPr>
          <w:p w14:paraId="62143C70" w14:textId="77777777" w:rsidR="001B04C9" w:rsidRPr="001B04C9" w:rsidRDefault="001B04C9" w:rsidP="001B04C9">
            <w:r w:rsidRPr="001B04C9">
              <w:t>5.00</w:t>
            </w:r>
          </w:p>
        </w:tc>
        <w:tc>
          <w:tcPr>
            <w:tcW w:w="786" w:type="pct"/>
            <w:hideMark/>
          </w:tcPr>
          <w:p w14:paraId="3D5F8288" w14:textId="77777777" w:rsidR="001B04C9" w:rsidRPr="001B04C9" w:rsidRDefault="001B04C9" w:rsidP="001B04C9">
            <w:r w:rsidRPr="001B04C9">
              <w:t>0.250</w:t>
            </w:r>
          </w:p>
        </w:tc>
      </w:tr>
      <w:tr w:rsidR="001B04C9" w:rsidRPr="001B04C9" w14:paraId="12BFAC6A" w14:textId="77777777" w:rsidTr="001B04C9">
        <w:trPr>
          <w:trHeight w:val="525"/>
        </w:trPr>
        <w:tc>
          <w:tcPr>
            <w:tcW w:w="1128" w:type="pct"/>
            <w:vMerge/>
          </w:tcPr>
          <w:p w14:paraId="178570AE" w14:textId="77777777" w:rsidR="001B04C9" w:rsidRPr="001B04C9" w:rsidRDefault="001B04C9" w:rsidP="001B04C9"/>
        </w:tc>
        <w:tc>
          <w:tcPr>
            <w:tcW w:w="2156" w:type="pct"/>
            <w:hideMark/>
          </w:tcPr>
          <w:p w14:paraId="7540825F" w14:textId="77777777" w:rsidR="001B04C9" w:rsidRPr="001B04C9" w:rsidRDefault="001B04C9" w:rsidP="001B04C9">
            <w:r w:rsidRPr="001B04C9">
              <w:t>Improving Access to Primary Health Care Services for Transgender People</w:t>
            </w:r>
          </w:p>
        </w:tc>
        <w:tc>
          <w:tcPr>
            <w:tcW w:w="929" w:type="pct"/>
            <w:hideMark/>
          </w:tcPr>
          <w:p w14:paraId="46D67B6F" w14:textId="77777777" w:rsidR="001B04C9" w:rsidRPr="001B04C9" w:rsidRDefault="001B04C9" w:rsidP="001B04C9">
            <w:r w:rsidRPr="001B04C9">
              <w:t>0.58</w:t>
            </w:r>
          </w:p>
        </w:tc>
        <w:tc>
          <w:tcPr>
            <w:tcW w:w="786" w:type="pct"/>
            <w:hideMark/>
          </w:tcPr>
          <w:p w14:paraId="2D4A3428" w14:textId="77777777" w:rsidR="001B04C9" w:rsidRPr="001B04C9" w:rsidRDefault="001B04C9" w:rsidP="001B04C9">
            <w:r w:rsidRPr="001B04C9">
              <w:t>0.049</w:t>
            </w:r>
          </w:p>
        </w:tc>
      </w:tr>
      <w:tr w:rsidR="001B04C9" w:rsidRPr="001B04C9" w14:paraId="71AF7207" w14:textId="77777777" w:rsidTr="001B04C9">
        <w:trPr>
          <w:trHeight w:val="525"/>
        </w:trPr>
        <w:tc>
          <w:tcPr>
            <w:tcW w:w="1128" w:type="pct"/>
            <w:vMerge/>
          </w:tcPr>
          <w:p w14:paraId="5E4615BA" w14:textId="77777777" w:rsidR="001B04C9" w:rsidRPr="001B04C9" w:rsidRDefault="001B04C9" w:rsidP="001B04C9"/>
        </w:tc>
        <w:tc>
          <w:tcPr>
            <w:tcW w:w="2156" w:type="pct"/>
            <w:hideMark/>
          </w:tcPr>
          <w:p w14:paraId="41BC7BC1" w14:textId="77777777" w:rsidR="001B04C9" w:rsidRPr="001B04C9" w:rsidRDefault="001B04C9" w:rsidP="001B04C9">
            <w:r w:rsidRPr="001B04C9">
              <w:t>Introducing a Rights-based Approach to Health Care for Intersex Children and Young People</w:t>
            </w:r>
          </w:p>
        </w:tc>
        <w:tc>
          <w:tcPr>
            <w:tcW w:w="929" w:type="pct"/>
            <w:hideMark/>
          </w:tcPr>
          <w:p w14:paraId="76E46643" w14:textId="77777777" w:rsidR="001B04C9" w:rsidRPr="001B04C9" w:rsidRDefault="001B04C9" w:rsidP="001B04C9">
            <w:r w:rsidRPr="001B04C9">
              <w:t>0.70</w:t>
            </w:r>
          </w:p>
        </w:tc>
        <w:tc>
          <w:tcPr>
            <w:tcW w:w="786" w:type="pct"/>
            <w:hideMark/>
          </w:tcPr>
          <w:p w14:paraId="33341FA9" w14:textId="77777777" w:rsidR="001B04C9" w:rsidRPr="001B04C9" w:rsidRDefault="001B04C9" w:rsidP="001B04C9">
            <w:r w:rsidRPr="001B04C9">
              <w:t>0.058</w:t>
            </w:r>
          </w:p>
        </w:tc>
      </w:tr>
      <w:tr w:rsidR="001B04C9" w:rsidRPr="001B04C9" w14:paraId="36703C9A" w14:textId="77777777" w:rsidTr="001B04C9">
        <w:trPr>
          <w:trHeight w:val="525"/>
        </w:trPr>
        <w:tc>
          <w:tcPr>
            <w:tcW w:w="1128" w:type="pct"/>
            <w:vMerge/>
          </w:tcPr>
          <w:p w14:paraId="72B67C5D" w14:textId="77777777" w:rsidR="001B04C9" w:rsidRPr="001B04C9" w:rsidRDefault="001B04C9" w:rsidP="001B04C9"/>
        </w:tc>
        <w:tc>
          <w:tcPr>
            <w:tcW w:w="2156" w:type="pct"/>
            <w:hideMark/>
          </w:tcPr>
          <w:p w14:paraId="5DCDE582" w14:textId="77777777" w:rsidR="001B04C9" w:rsidRPr="001B04C9" w:rsidRDefault="001B04C9" w:rsidP="001B04C9">
            <w:r w:rsidRPr="001B04C9">
              <w:t>Mana Ake – Continuation and Expansion of Mental Wellbeing Support for Primary and Intermediate School-aged Students</w:t>
            </w:r>
          </w:p>
        </w:tc>
        <w:tc>
          <w:tcPr>
            <w:tcW w:w="929" w:type="pct"/>
            <w:hideMark/>
          </w:tcPr>
          <w:p w14:paraId="3EEA9174" w14:textId="77777777" w:rsidR="001B04C9" w:rsidRPr="001B04C9" w:rsidRDefault="001B04C9" w:rsidP="001B04C9">
            <w:r w:rsidRPr="001B04C9">
              <w:t>21.82</w:t>
            </w:r>
          </w:p>
        </w:tc>
        <w:tc>
          <w:tcPr>
            <w:tcW w:w="786" w:type="pct"/>
            <w:hideMark/>
          </w:tcPr>
          <w:p w14:paraId="47DAF831" w14:textId="77777777" w:rsidR="001B04C9" w:rsidRPr="001B04C9" w:rsidRDefault="001B04C9" w:rsidP="001B04C9">
            <w:r w:rsidRPr="001B04C9">
              <w:t>5.587</w:t>
            </w:r>
          </w:p>
        </w:tc>
      </w:tr>
      <w:tr w:rsidR="001B04C9" w:rsidRPr="001B04C9" w14:paraId="355B181D" w14:textId="77777777" w:rsidTr="001B04C9">
        <w:trPr>
          <w:trHeight w:val="525"/>
        </w:trPr>
        <w:tc>
          <w:tcPr>
            <w:tcW w:w="1128" w:type="pct"/>
            <w:vMerge/>
          </w:tcPr>
          <w:p w14:paraId="0AD1C0C2" w14:textId="77777777" w:rsidR="001B04C9" w:rsidRPr="001B04C9" w:rsidRDefault="001B04C9" w:rsidP="001B04C9"/>
        </w:tc>
        <w:tc>
          <w:tcPr>
            <w:tcW w:w="2156" w:type="pct"/>
            <w:hideMark/>
          </w:tcPr>
          <w:p w14:paraId="2BDC79AA" w14:textId="77777777" w:rsidR="001B04C9" w:rsidRPr="001B04C9" w:rsidRDefault="001B04C9" w:rsidP="001B04C9">
            <w:r w:rsidRPr="001B04C9">
              <w:t>Neonatal Retinopathy Screening</w:t>
            </w:r>
          </w:p>
        </w:tc>
        <w:tc>
          <w:tcPr>
            <w:tcW w:w="929" w:type="pct"/>
            <w:hideMark/>
          </w:tcPr>
          <w:p w14:paraId="44344886" w14:textId="77777777" w:rsidR="001B04C9" w:rsidRPr="001B04C9" w:rsidRDefault="001B04C9" w:rsidP="001B04C9">
            <w:r w:rsidRPr="001B04C9">
              <w:t>2.33</w:t>
            </w:r>
          </w:p>
        </w:tc>
        <w:tc>
          <w:tcPr>
            <w:tcW w:w="786" w:type="pct"/>
            <w:hideMark/>
          </w:tcPr>
          <w:p w14:paraId="24CF0763" w14:textId="77777777" w:rsidR="001B04C9" w:rsidRPr="001B04C9" w:rsidRDefault="001B04C9" w:rsidP="001B04C9">
            <w:r w:rsidRPr="001B04C9">
              <w:t>0.000</w:t>
            </w:r>
          </w:p>
        </w:tc>
      </w:tr>
      <w:tr w:rsidR="001B04C9" w:rsidRPr="001B04C9" w14:paraId="1A83C852" w14:textId="77777777" w:rsidTr="001B04C9">
        <w:trPr>
          <w:trHeight w:val="525"/>
        </w:trPr>
        <w:tc>
          <w:tcPr>
            <w:tcW w:w="1128" w:type="pct"/>
            <w:vMerge/>
          </w:tcPr>
          <w:p w14:paraId="02B8DE64" w14:textId="77777777" w:rsidR="001B04C9" w:rsidRPr="001B04C9" w:rsidRDefault="001B04C9" w:rsidP="001B04C9"/>
        </w:tc>
        <w:tc>
          <w:tcPr>
            <w:tcW w:w="2156" w:type="pct"/>
            <w:hideMark/>
          </w:tcPr>
          <w:p w14:paraId="09384B3E" w14:textId="77777777" w:rsidR="001B04C9" w:rsidRPr="001B04C9" w:rsidRDefault="001B04C9" w:rsidP="001B04C9">
            <w:r w:rsidRPr="001B04C9">
              <w:t>Pacific Primary and Community Care Provider Development –Securing Future Capability and Shifting into New Models of Care</w:t>
            </w:r>
          </w:p>
        </w:tc>
        <w:tc>
          <w:tcPr>
            <w:tcW w:w="929" w:type="pct"/>
            <w:hideMark/>
          </w:tcPr>
          <w:p w14:paraId="4FAB43BF" w14:textId="77777777" w:rsidR="001B04C9" w:rsidRPr="001B04C9" w:rsidRDefault="001B04C9" w:rsidP="001B04C9">
            <w:r w:rsidRPr="001B04C9">
              <w:t>14.04</w:t>
            </w:r>
          </w:p>
        </w:tc>
        <w:tc>
          <w:tcPr>
            <w:tcW w:w="786" w:type="pct"/>
            <w:hideMark/>
          </w:tcPr>
          <w:p w14:paraId="7852C606" w14:textId="77777777" w:rsidR="001B04C9" w:rsidRPr="001B04C9" w:rsidRDefault="001B04C9" w:rsidP="001B04C9">
            <w:r w:rsidRPr="001B04C9">
              <w:t>1.942</w:t>
            </w:r>
          </w:p>
        </w:tc>
      </w:tr>
      <w:tr w:rsidR="001B04C9" w:rsidRPr="001B04C9" w14:paraId="7AF00666" w14:textId="77777777" w:rsidTr="001B04C9">
        <w:trPr>
          <w:trHeight w:val="525"/>
        </w:trPr>
        <w:tc>
          <w:tcPr>
            <w:tcW w:w="1128" w:type="pct"/>
            <w:vMerge/>
          </w:tcPr>
          <w:p w14:paraId="4CA8BA3F" w14:textId="77777777" w:rsidR="001B04C9" w:rsidRPr="001B04C9" w:rsidRDefault="001B04C9" w:rsidP="001B04C9"/>
        </w:tc>
        <w:tc>
          <w:tcPr>
            <w:tcW w:w="2156" w:type="pct"/>
            <w:hideMark/>
          </w:tcPr>
          <w:p w14:paraId="7FFDCF29" w14:textId="77777777" w:rsidR="001B04C9" w:rsidRPr="001B04C9" w:rsidRDefault="001B04C9" w:rsidP="001B04C9">
            <w:r w:rsidRPr="001B04C9">
              <w:t>Piki – Continuation of Integrated Primary Mental Health and Addiction Support for Young People in Greater Wellington</w:t>
            </w:r>
          </w:p>
        </w:tc>
        <w:tc>
          <w:tcPr>
            <w:tcW w:w="929" w:type="pct"/>
            <w:hideMark/>
          </w:tcPr>
          <w:p w14:paraId="470154A6" w14:textId="77777777" w:rsidR="001B04C9" w:rsidRPr="001B04C9" w:rsidRDefault="001B04C9" w:rsidP="001B04C9">
            <w:r w:rsidRPr="001B04C9">
              <w:t>3.50</w:t>
            </w:r>
          </w:p>
        </w:tc>
        <w:tc>
          <w:tcPr>
            <w:tcW w:w="786" w:type="pct"/>
            <w:hideMark/>
          </w:tcPr>
          <w:p w14:paraId="19194EC8" w14:textId="77777777" w:rsidR="001B04C9" w:rsidRPr="001B04C9" w:rsidRDefault="001B04C9" w:rsidP="001B04C9">
            <w:r w:rsidRPr="001B04C9">
              <w:t>0.919</w:t>
            </w:r>
          </w:p>
        </w:tc>
      </w:tr>
      <w:tr w:rsidR="001B04C9" w:rsidRPr="001B04C9" w14:paraId="264C1C5A" w14:textId="77777777" w:rsidTr="001B04C9">
        <w:trPr>
          <w:trHeight w:val="525"/>
        </w:trPr>
        <w:tc>
          <w:tcPr>
            <w:tcW w:w="1128" w:type="pct"/>
            <w:vMerge/>
          </w:tcPr>
          <w:p w14:paraId="65327CA6" w14:textId="77777777" w:rsidR="001B04C9" w:rsidRPr="001B04C9" w:rsidRDefault="001B04C9" w:rsidP="001B04C9"/>
        </w:tc>
        <w:tc>
          <w:tcPr>
            <w:tcW w:w="2156" w:type="pct"/>
            <w:hideMark/>
          </w:tcPr>
          <w:p w14:paraId="5CE4E769" w14:textId="77777777" w:rsidR="001B04C9" w:rsidRPr="001B04C9" w:rsidRDefault="001B04C9" w:rsidP="001B04C9">
            <w:r w:rsidRPr="001B04C9">
              <w:t>Population Health and Disease Management Capability</w:t>
            </w:r>
          </w:p>
        </w:tc>
        <w:tc>
          <w:tcPr>
            <w:tcW w:w="929" w:type="pct"/>
            <w:hideMark/>
          </w:tcPr>
          <w:p w14:paraId="548E91B1" w14:textId="77777777" w:rsidR="001B04C9" w:rsidRPr="001B04C9" w:rsidRDefault="001B04C9" w:rsidP="001B04C9">
            <w:r w:rsidRPr="001B04C9">
              <w:t>29.28</w:t>
            </w:r>
          </w:p>
        </w:tc>
        <w:tc>
          <w:tcPr>
            <w:tcW w:w="786" w:type="pct"/>
            <w:hideMark/>
          </w:tcPr>
          <w:p w14:paraId="7C781860" w14:textId="77777777" w:rsidR="001B04C9" w:rsidRPr="001B04C9" w:rsidRDefault="001B04C9" w:rsidP="001B04C9">
            <w:r w:rsidRPr="001B04C9">
              <w:t>7.974</w:t>
            </w:r>
          </w:p>
        </w:tc>
      </w:tr>
      <w:tr w:rsidR="001B04C9" w:rsidRPr="001B04C9" w14:paraId="7078CC1B" w14:textId="77777777" w:rsidTr="001B04C9">
        <w:trPr>
          <w:trHeight w:val="525"/>
        </w:trPr>
        <w:tc>
          <w:tcPr>
            <w:tcW w:w="1128" w:type="pct"/>
            <w:vMerge/>
          </w:tcPr>
          <w:p w14:paraId="50E87DBD" w14:textId="77777777" w:rsidR="001B04C9" w:rsidRPr="001B04C9" w:rsidRDefault="001B04C9" w:rsidP="001B04C9"/>
        </w:tc>
        <w:tc>
          <w:tcPr>
            <w:tcW w:w="2156" w:type="pct"/>
            <w:hideMark/>
          </w:tcPr>
          <w:p w14:paraId="022C9BB9" w14:textId="77777777" w:rsidR="001B04C9" w:rsidRPr="001B04C9" w:rsidRDefault="001B04C9" w:rsidP="001B04C9">
            <w:r w:rsidRPr="001B04C9">
              <w:t>Preventing Family Violence and Sexual Violence: Services for Victims of Non-fatal Strangulation</w:t>
            </w:r>
          </w:p>
          <w:p w14:paraId="045EB671" w14:textId="77777777" w:rsidR="001B04C9" w:rsidRPr="001B04C9" w:rsidRDefault="001B04C9" w:rsidP="001B04C9"/>
        </w:tc>
        <w:tc>
          <w:tcPr>
            <w:tcW w:w="929" w:type="pct"/>
            <w:hideMark/>
          </w:tcPr>
          <w:p w14:paraId="4089C34D" w14:textId="77777777" w:rsidR="001B04C9" w:rsidRPr="001B04C9" w:rsidRDefault="001B04C9" w:rsidP="001B04C9">
            <w:r w:rsidRPr="001B04C9">
              <w:t>2.03</w:t>
            </w:r>
          </w:p>
        </w:tc>
        <w:tc>
          <w:tcPr>
            <w:tcW w:w="786" w:type="pct"/>
            <w:hideMark/>
          </w:tcPr>
          <w:p w14:paraId="00163EED" w14:textId="77777777" w:rsidR="001B04C9" w:rsidRPr="001B04C9" w:rsidRDefault="001B04C9" w:rsidP="001B04C9">
            <w:r w:rsidRPr="001B04C9">
              <w:t>0.000</w:t>
            </w:r>
          </w:p>
        </w:tc>
      </w:tr>
      <w:tr w:rsidR="001B04C9" w:rsidRPr="001B04C9" w14:paraId="119DC342" w14:textId="77777777" w:rsidTr="001B04C9">
        <w:trPr>
          <w:trHeight w:val="525"/>
        </w:trPr>
        <w:tc>
          <w:tcPr>
            <w:tcW w:w="1128" w:type="pct"/>
            <w:vMerge/>
          </w:tcPr>
          <w:p w14:paraId="653B28FC" w14:textId="77777777" w:rsidR="001B04C9" w:rsidRPr="001B04C9" w:rsidRDefault="001B04C9" w:rsidP="001B04C9"/>
        </w:tc>
        <w:tc>
          <w:tcPr>
            <w:tcW w:w="2156" w:type="pct"/>
            <w:hideMark/>
          </w:tcPr>
          <w:p w14:paraId="29A038DE" w14:textId="77777777" w:rsidR="001B04C9" w:rsidRPr="001B04C9" w:rsidRDefault="001B04C9" w:rsidP="001B04C9">
            <w:r w:rsidRPr="001B04C9">
              <w:t>Specialist Mental Health and Addiction Services – Increasing Availability of Focused Supports</w:t>
            </w:r>
          </w:p>
        </w:tc>
        <w:tc>
          <w:tcPr>
            <w:tcW w:w="929" w:type="pct"/>
            <w:hideMark/>
          </w:tcPr>
          <w:p w14:paraId="02B27704" w14:textId="77777777" w:rsidR="001B04C9" w:rsidRPr="001B04C9" w:rsidRDefault="001B04C9" w:rsidP="001B04C9">
            <w:r w:rsidRPr="001B04C9">
              <w:t>14.70</w:t>
            </w:r>
          </w:p>
        </w:tc>
        <w:tc>
          <w:tcPr>
            <w:tcW w:w="786" w:type="pct"/>
            <w:hideMark/>
          </w:tcPr>
          <w:p w14:paraId="138C8A2E" w14:textId="77777777" w:rsidR="001B04C9" w:rsidRPr="001B04C9" w:rsidRDefault="001B04C9" w:rsidP="001B04C9">
            <w:r w:rsidRPr="001B04C9">
              <w:t>2.373</w:t>
            </w:r>
          </w:p>
        </w:tc>
      </w:tr>
      <w:tr w:rsidR="001B04C9" w:rsidRPr="001B04C9" w14:paraId="573AE34B" w14:textId="77777777" w:rsidTr="001B04C9">
        <w:trPr>
          <w:trHeight w:val="525"/>
        </w:trPr>
        <w:tc>
          <w:tcPr>
            <w:tcW w:w="1128" w:type="pct"/>
            <w:vMerge/>
          </w:tcPr>
          <w:p w14:paraId="6C587C76" w14:textId="77777777" w:rsidR="001B04C9" w:rsidRPr="001B04C9" w:rsidRDefault="001B04C9" w:rsidP="001B04C9"/>
        </w:tc>
        <w:tc>
          <w:tcPr>
            <w:tcW w:w="2156" w:type="pct"/>
            <w:hideMark/>
          </w:tcPr>
          <w:p w14:paraId="19ABB1A2" w14:textId="77777777" w:rsidR="001B04C9" w:rsidRPr="001B04C9" w:rsidRDefault="001B04C9" w:rsidP="001B04C9">
            <w:r w:rsidRPr="001B04C9">
              <w:t>Well Child Tamariki Ora – Continuation of the Enhanced Support Pilots</w:t>
            </w:r>
          </w:p>
        </w:tc>
        <w:tc>
          <w:tcPr>
            <w:tcW w:w="929" w:type="pct"/>
            <w:hideMark/>
          </w:tcPr>
          <w:p w14:paraId="6ACA4394" w14:textId="77777777" w:rsidR="001B04C9" w:rsidRPr="001B04C9" w:rsidRDefault="001B04C9" w:rsidP="001B04C9">
            <w:r w:rsidRPr="001B04C9">
              <w:t>1.25</w:t>
            </w:r>
          </w:p>
        </w:tc>
        <w:tc>
          <w:tcPr>
            <w:tcW w:w="786" w:type="pct"/>
            <w:hideMark/>
          </w:tcPr>
          <w:p w14:paraId="6C8F79A7" w14:textId="77777777" w:rsidR="001B04C9" w:rsidRPr="001B04C9" w:rsidRDefault="001B04C9" w:rsidP="001B04C9">
            <w:r w:rsidRPr="001B04C9">
              <w:t>0.313</w:t>
            </w:r>
          </w:p>
        </w:tc>
      </w:tr>
      <w:tr w:rsidR="001B04C9" w:rsidRPr="001B04C9" w14:paraId="041C0484" w14:textId="77777777" w:rsidTr="001B04C9">
        <w:trPr>
          <w:trHeight w:val="525"/>
        </w:trPr>
        <w:tc>
          <w:tcPr>
            <w:tcW w:w="1128" w:type="pct"/>
            <w:vMerge/>
          </w:tcPr>
          <w:p w14:paraId="092E962E" w14:textId="77777777" w:rsidR="001B04C9" w:rsidRPr="001B04C9" w:rsidRDefault="001B04C9" w:rsidP="001B04C9"/>
        </w:tc>
        <w:tc>
          <w:tcPr>
            <w:tcW w:w="2156" w:type="pct"/>
            <w:hideMark/>
          </w:tcPr>
          <w:p w14:paraId="5B4425B2" w14:textId="77777777" w:rsidR="001B04C9" w:rsidRPr="001B04C9" w:rsidRDefault="001B04C9" w:rsidP="001B04C9">
            <w:r w:rsidRPr="001B04C9">
              <w:t>HIV Action Plan Implementation</w:t>
            </w:r>
          </w:p>
        </w:tc>
        <w:tc>
          <w:tcPr>
            <w:tcW w:w="929" w:type="pct"/>
            <w:hideMark/>
          </w:tcPr>
          <w:p w14:paraId="60670656" w14:textId="77777777" w:rsidR="001B04C9" w:rsidRPr="001B04C9" w:rsidRDefault="001B04C9" w:rsidP="001B04C9">
            <w:r w:rsidRPr="001B04C9">
              <w:t>5.10</w:t>
            </w:r>
          </w:p>
        </w:tc>
        <w:tc>
          <w:tcPr>
            <w:tcW w:w="786" w:type="pct"/>
            <w:hideMark/>
          </w:tcPr>
          <w:p w14:paraId="6B6B07ED" w14:textId="77777777" w:rsidR="001B04C9" w:rsidRPr="001B04C9" w:rsidRDefault="001B04C9" w:rsidP="001B04C9">
            <w:r w:rsidRPr="001B04C9">
              <w:t>0.335</w:t>
            </w:r>
          </w:p>
        </w:tc>
      </w:tr>
      <w:tr w:rsidR="001B04C9" w:rsidRPr="001B04C9" w14:paraId="0703E023" w14:textId="77777777" w:rsidTr="001B04C9">
        <w:trPr>
          <w:trHeight w:val="525"/>
        </w:trPr>
        <w:tc>
          <w:tcPr>
            <w:tcW w:w="1128" w:type="pct"/>
            <w:vMerge/>
          </w:tcPr>
          <w:p w14:paraId="41E5E158" w14:textId="77777777" w:rsidR="001B04C9" w:rsidRPr="001B04C9" w:rsidRDefault="001B04C9" w:rsidP="001B04C9"/>
        </w:tc>
        <w:tc>
          <w:tcPr>
            <w:tcW w:w="2156" w:type="pct"/>
            <w:hideMark/>
          </w:tcPr>
          <w:p w14:paraId="2B02B8F3" w14:textId="77777777" w:rsidR="001B04C9" w:rsidRPr="001B04C9" w:rsidRDefault="001B04C9" w:rsidP="001B04C9">
            <w:r w:rsidRPr="001B04C9">
              <w:t>Smokefree Aotearoa 2025 Action Plan</w:t>
            </w:r>
          </w:p>
        </w:tc>
        <w:tc>
          <w:tcPr>
            <w:tcW w:w="929" w:type="pct"/>
            <w:hideMark/>
          </w:tcPr>
          <w:p w14:paraId="227DFCCC" w14:textId="77777777" w:rsidR="001B04C9" w:rsidRPr="001B04C9" w:rsidRDefault="001B04C9" w:rsidP="001B04C9">
            <w:r w:rsidRPr="001B04C9">
              <w:t>1.64</w:t>
            </w:r>
          </w:p>
        </w:tc>
        <w:tc>
          <w:tcPr>
            <w:tcW w:w="786" w:type="pct"/>
            <w:hideMark/>
          </w:tcPr>
          <w:p w14:paraId="5657F2A1" w14:textId="77777777" w:rsidR="001B04C9" w:rsidRPr="001B04C9" w:rsidRDefault="001B04C9" w:rsidP="001B04C9">
            <w:r w:rsidRPr="001B04C9">
              <w:t>0.000</w:t>
            </w:r>
          </w:p>
        </w:tc>
      </w:tr>
      <w:tr w:rsidR="001B04C9" w:rsidRPr="001B04C9" w14:paraId="665D6415" w14:textId="77777777" w:rsidTr="001B04C9">
        <w:trPr>
          <w:trHeight w:val="525"/>
        </w:trPr>
        <w:tc>
          <w:tcPr>
            <w:tcW w:w="1128" w:type="pct"/>
            <w:vMerge w:val="restart"/>
          </w:tcPr>
          <w:p w14:paraId="3ABA436E" w14:textId="77777777" w:rsidR="001B04C9" w:rsidRPr="001B04C9" w:rsidRDefault="001B04C9" w:rsidP="001B04C9">
            <w:r w:rsidRPr="001B04C9">
              <w:rPr>
                <w:b/>
                <w:bCs/>
              </w:rPr>
              <w:t>3.</w:t>
            </w:r>
            <w:r w:rsidRPr="001B04C9">
              <w:t xml:space="preserve"> Develop an inclusive health workforce</w:t>
            </w:r>
          </w:p>
        </w:tc>
        <w:tc>
          <w:tcPr>
            <w:tcW w:w="2156" w:type="pct"/>
            <w:hideMark/>
          </w:tcPr>
          <w:p w14:paraId="16B9ACF4" w14:textId="77777777" w:rsidR="001B04C9" w:rsidRPr="001B04C9" w:rsidRDefault="001B04C9" w:rsidP="001B04C9">
            <w:r w:rsidRPr="001B04C9">
              <w:t>Health Workforce Development</w:t>
            </w:r>
          </w:p>
        </w:tc>
        <w:tc>
          <w:tcPr>
            <w:tcW w:w="929" w:type="pct"/>
            <w:hideMark/>
          </w:tcPr>
          <w:p w14:paraId="6C2CC5E2" w14:textId="77777777" w:rsidR="001B04C9" w:rsidRPr="001B04C9" w:rsidRDefault="001B04C9" w:rsidP="001B04C9">
            <w:r w:rsidRPr="001B04C9">
              <w:t>21.00</w:t>
            </w:r>
          </w:p>
        </w:tc>
        <w:tc>
          <w:tcPr>
            <w:tcW w:w="786" w:type="pct"/>
            <w:hideMark/>
          </w:tcPr>
          <w:p w14:paraId="0CB0669E" w14:textId="77777777" w:rsidR="001B04C9" w:rsidRPr="001B04C9" w:rsidRDefault="001B04C9" w:rsidP="001B04C9">
            <w:r w:rsidRPr="001B04C9">
              <w:t>1.175</w:t>
            </w:r>
          </w:p>
        </w:tc>
      </w:tr>
      <w:tr w:rsidR="001B04C9" w:rsidRPr="001B04C9" w14:paraId="420277DA" w14:textId="77777777" w:rsidTr="001B04C9">
        <w:trPr>
          <w:trHeight w:val="869"/>
        </w:trPr>
        <w:tc>
          <w:tcPr>
            <w:tcW w:w="1128" w:type="pct"/>
            <w:vMerge/>
          </w:tcPr>
          <w:p w14:paraId="27D56BAC" w14:textId="77777777" w:rsidR="001B04C9" w:rsidRPr="001B04C9" w:rsidRDefault="001B04C9" w:rsidP="001B04C9"/>
        </w:tc>
        <w:tc>
          <w:tcPr>
            <w:tcW w:w="2156" w:type="pct"/>
            <w:hideMark/>
          </w:tcPr>
          <w:p w14:paraId="41906A7E" w14:textId="77777777" w:rsidR="001B04C9" w:rsidRPr="001B04C9" w:rsidRDefault="001B04C9" w:rsidP="001B04C9">
            <w:r w:rsidRPr="001B04C9">
              <w:t>Support Workers (Pay Equity) Settlements Act 2017</w:t>
            </w:r>
          </w:p>
        </w:tc>
        <w:tc>
          <w:tcPr>
            <w:tcW w:w="929" w:type="pct"/>
            <w:hideMark/>
          </w:tcPr>
          <w:p w14:paraId="5C5248C6" w14:textId="77777777" w:rsidR="001B04C9" w:rsidRPr="001B04C9" w:rsidRDefault="001B04C9" w:rsidP="001B04C9">
            <w:r w:rsidRPr="001B04C9">
              <w:t>38.63</w:t>
            </w:r>
          </w:p>
        </w:tc>
        <w:tc>
          <w:tcPr>
            <w:tcW w:w="786" w:type="pct"/>
            <w:hideMark/>
          </w:tcPr>
          <w:p w14:paraId="5BBECE70" w14:textId="77777777" w:rsidR="001B04C9" w:rsidRPr="001B04C9" w:rsidRDefault="001B04C9" w:rsidP="001B04C9">
            <w:r w:rsidRPr="001B04C9">
              <w:t>9.657</w:t>
            </w:r>
          </w:p>
        </w:tc>
      </w:tr>
      <w:tr w:rsidR="001B04C9" w:rsidRPr="001B04C9" w14:paraId="715253D3" w14:textId="77777777" w:rsidTr="001B04C9">
        <w:trPr>
          <w:trHeight w:val="525"/>
        </w:trPr>
        <w:tc>
          <w:tcPr>
            <w:tcW w:w="1128" w:type="pct"/>
            <w:vMerge w:val="restart"/>
          </w:tcPr>
          <w:p w14:paraId="73BCC5E0" w14:textId="77777777" w:rsidR="001B04C9" w:rsidRPr="001B04C9" w:rsidRDefault="001B04C9" w:rsidP="001B04C9">
            <w:r w:rsidRPr="001B04C9">
              <w:rPr>
                <w:b/>
                <w:bCs/>
              </w:rPr>
              <w:t>4.</w:t>
            </w:r>
            <w:r w:rsidRPr="001B04C9">
              <w:t xml:space="preserve"> Keep people well in their communities</w:t>
            </w:r>
          </w:p>
        </w:tc>
        <w:tc>
          <w:tcPr>
            <w:tcW w:w="2156" w:type="pct"/>
            <w:hideMark/>
          </w:tcPr>
          <w:p w14:paraId="2C0020DB" w14:textId="77777777" w:rsidR="001B04C9" w:rsidRPr="001B04C9" w:rsidRDefault="001B04C9" w:rsidP="001B04C9">
            <w:r w:rsidRPr="001B04C9">
              <w:t>Comprehensive Primary Care Teams</w:t>
            </w:r>
          </w:p>
        </w:tc>
        <w:tc>
          <w:tcPr>
            <w:tcW w:w="929" w:type="pct"/>
            <w:hideMark/>
          </w:tcPr>
          <w:p w14:paraId="1BF93C6A" w14:textId="77777777" w:rsidR="001B04C9" w:rsidRPr="001B04C9" w:rsidRDefault="001B04C9" w:rsidP="001B04C9">
            <w:r w:rsidRPr="001B04C9">
              <w:t>61.15</w:t>
            </w:r>
          </w:p>
        </w:tc>
        <w:tc>
          <w:tcPr>
            <w:tcW w:w="786" w:type="pct"/>
            <w:hideMark/>
          </w:tcPr>
          <w:p w14:paraId="438F7398" w14:textId="77777777" w:rsidR="001B04C9" w:rsidRPr="001B04C9" w:rsidRDefault="001B04C9" w:rsidP="001B04C9">
            <w:r w:rsidRPr="001B04C9">
              <w:t>4.215</w:t>
            </w:r>
          </w:p>
        </w:tc>
      </w:tr>
      <w:tr w:rsidR="001B04C9" w:rsidRPr="001B04C9" w14:paraId="68A5C7F3" w14:textId="77777777" w:rsidTr="001B04C9">
        <w:trPr>
          <w:trHeight w:val="1107"/>
        </w:trPr>
        <w:tc>
          <w:tcPr>
            <w:tcW w:w="1128" w:type="pct"/>
            <w:vMerge/>
          </w:tcPr>
          <w:p w14:paraId="7E66BC09" w14:textId="77777777" w:rsidR="001B04C9" w:rsidRPr="001B04C9" w:rsidRDefault="001B04C9" w:rsidP="001B04C9"/>
        </w:tc>
        <w:tc>
          <w:tcPr>
            <w:tcW w:w="2156" w:type="pct"/>
            <w:hideMark/>
          </w:tcPr>
          <w:p w14:paraId="6BF56538" w14:textId="77777777" w:rsidR="001B04C9" w:rsidRPr="001B04C9" w:rsidRDefault="001B04C9" w:rsidP="001B04C9">
            <w:r w:rsidRPr="001B04C9">
              <w:t>Continuing the Alcohol and Other Drug Treatment Courts: Waikato, Auckland, and Waitakere</w:t>
            </w:r>
          </w:p>
        </w:tc>
        <w:tc>
          <w:tcPr>
            <w:tcW w:w="929" w:type="pct"/>
            <w:hideMark/>
          </w:tcPr>
          <w:p w14:paraId="40390630" w14:textId="77777777" w:rsidR="001B04C9" w:rsidRPr="001B04C9" w:rsidRDefault="001B04C9" w:rsidP="001B04C9">
            <w:r w:rsidRPr="001B04C9">
              <w:t>8.12</w:t>
            </w:r>
          </w:p>
        </w:tc>
        <w:tc>
          <w:tcPr>
            <w:tcW w:w="786" w:type="pct"/>
            <w:hideMark/>
          </w:tcPr>
          <w:p w14:paraId="66AF2831" w14:textId="77777777" w:rsidR="001B04C9" w:rsidRPr="001B04C9" w:rsidRDefault="001B04C9" w:rsidP="001B04C9">
            <w:r w:rsidRPr="001B04C9">
              <w:t>1.905</w:t>
            </w:r>
          </w:p>
        </w:tc>
      </w:tr>
      <w:tr w:rsidR="001B04C9" w:rsidRPr="001B04C9" w14:paraId="48E12CF7" w14:textId="77777777" w:rsidTr="001B04C9">
        <w:trPr>
          <w:trHeight w:val="525"/>
        </w:trPr>
        <w:tc>
          <w:tcPr>
            <w:tcW w:w="1128" w:type="pct"/>
            <w:vMerge/>
          </w:tcPr>
          <w:p w14:paraId="3AF4A18D" w14:textId="77777777" w:rsidR="001B04C9" w:rsidRPr="001B04C9" w:rsidRDefault="001B04C9" w:rsidP="001B04C9"/>
        </w:tc>
        <w:tc>
          <w:tcPr>
            <w:tcW w:w="2156" w:type="pct"/>
            <w:hideMark/>
          </w:tcPr>
          <w:p w14:paraId="55E663C1" w14:textId="77777777" w:rsidR="001B04C9" w:rsidRPr="001B04C9" w:rsidRDefault="001B04C9" w:rsidP="001B04C9">
            <w:r w:rsidRPr="001B04C9">
              <w:t>Extending School Based Health Services</w:t>
            </w:r>
          </w:p>
        </w:tc>
        <w:tc>
          <w:tcPr>
            <w:tcW w:w="929" w:type="pct"/>
            <w:hideMark/>
          </w:tcPr>
          <w:p w14:paraId="028DD289" w14:textId="77777777" w:rsidR="001B04C9" w:rsidRPr="001B04C9" w:rsidRDefault="001B04C9" w:rsidP="001B04C9">
            <w:r w:rsidRPr="001B04C9">
              <w:t>3.14</w:t>
            </w:r>
          </w:p>
        </w:tc>
        <w:tc>
          <w:tcPr>
            <w:tcW w:w="786" w:type="pct"/>
            <w:hideMark/>
          </w:tcPr>
          <w:p w14:paraId="15D28912" w14:textId="77777777" w:rsidR="001B04C9" w:rsidRPr="001B04C9" w:rsidRDefault="001B04C9" w:rsidP="001B04C9">
            <w:r w:rsidRPr="001B04C9">
              <w:t>0.366</w:t>
            </w:r>
          </w:p>
        </w:tc>
      </w:tr>
      <w:tr w:rsidR="001B04C9" w:rsidRPr="001B04C9" w14:paraId="411E05AB" w14:textId="77777777" w:rsidTr="001B04C9">
        <w:trPr>
          <w:trHeight w:val="525"/>
        </w:trPr>
        <w:tc>
          <w:tcPr>
            <w:tcW w:w="1128" w:type="pct"/>
            <w:vMerge/>
          </w:tcPr>
          <w:p w14:paraId="0186DDC5" w14:textId="77777777" w:rsidR="001B04C9" w:rsidRPr="001B04C9" w:rsidRDefault="001B04C9" w:rsidP="001B04C9"/>
        </w:tc>
        <w:tc>
          <w:tcPr>
            <w:tcW w:w="2156" w:type="pct"/>
            <w:hideMark/>
          </w:tcPr>
          <w:p w14:paraId="2DF68078" w14:textId="77777777" w:rsidR="001B04C9" w:rsidRPr="001B04C9" w:rsidRDefault="001B04C9" w:rsidP="001B04C9">
            <w:r w:rsidRPr="001B04C9">
              <w:t>Preventing the harm from serious and organised crime in New Zealand</w:t>
            </w:r>
          </w:p>
        </w:tc>
        <w:tc>
          <w:tcPr>
            <w:tcW w:w="929" w:type="pct"/>
            <w:hideMark/>
          </w:tcPr>
          <w:p w14:paraId="64AB5462" w14:textId="77777777" w:rsidR="001B04C9" w:rsidRPr="001B04C9" w:rsidRDefault="001B04C9" w:rsidP="001B04C9">
            <w:r w:rsidRPr="001B04C9">
              <w:t>0.19</w:t>
            </w:r>
          </w:p>
        </w:tc>
        <w:tc>
          <w:tcPr>
            <w:tcW w:w="786" w:type="pct"/>
            <w:hideMark/>
          </w:tcPr>
          <w:p w14:paraId="1BD12250" w14:textId="77777777" w:rsidR="001B04C9" w:rsidRPr="001B04C9" w:rsidRDefault="001B04C9" w:rsidP="001B04C9">
            <w:r w:rsidRPr="001B04C9">
              <w:t>0.000</w:t>
            </w:r>
          </w:p>
        </w:tc>
      </w:tr>
      <w:tr w:rsidR="001B04C9" w:rsidRPr="001B04C9" w14:paraId="07BE11D9" w14:textId="77777777" w:rsidTr="001B04C9">
        <w:trPr>
          <w:trHeight w:val="525"/>
        </w:trPr>
        <w:tc>
          <w:tcPr>
            <w:tcW w:w="1128" w:type="pct"/>
            <w:vMerge/>
          </w:tcPr>
          <w:p w14:paraId="37CC4A36" w14:textId="77777777" w:rsidR="001B04C9" w:rsidRPr="001B04C9" w:rsidRDefault="001B04C9" w:rsidP="001B04C9"/>
        </w:tc>
        <w:tc>
          <w:tcPr>
            <w:tcW w:w="2156" w:type="pct"/>
            <w:hideMark/>
          </w:tcPr>
          <w:p w14:paraId="3347D255" w14:textId="77777777" w:rsidR="001B04C9" w:rsidRPr="001B04C9" w:rsidRDefault="001B04C9" w:rsidP="001B04C9">
            <w:r w:rsidRPr="001B04C9">
              <w:t>Service Integration for Locality Provider Networks</w:t>
            </w:r>
          </w:p>
        </w:tc>
        <w:tc>
          <w:tcPr>
            <w:tcW w:w="929" w:type="pct"/>
            <w:hideMark/>
          </w:tcPr>
          <w:p w14:paraId="655CE31D" w14:textId="77777777" w:rsidR="001B04C9" w:rsidRPr="001B04C9" w:rsidRDefault="001B04C9" w:rsidP="001B04C9">
            <w:r w:rsidRPr="001B04C9">
              <w:t>27.62</w:t>
            </w:r>
          </w:p>
        </w:tc>
        <w:tc>
          <w:tcPr>
            <w:tcW w:w="786" w:type="pct"/>
            <w:hideMark/>
          </w:tcPr>
          <w:p w14:paraId="3781C061" w14:textId="77777777" w:rsidR="001B04C9" w:rsidRPr="001B04C9" w:rsidRDefault="001B04C9" w:rsidP="001B04C9">
            <w:r w:rsidRPr="001B04C9">
              <w:t>1.785</w:t>
            </w:r>
          </w:p>
        </w:tc>
      </w:tr>
      <w:tr w:rsidR="001B04C9" w:rsidRPr="001B04C9" w14:paraId="09DD021E" w14:textId="77777777" w:rsidTr="001B04C9">
        <w:trPr>
          <w:trHeight w:val="794"/>
        </w:trPr>
        <w:tc>
          <w:tcPr>
            <w:tcW w:w="1128" w:type="pct"/>
            <w:vMerge/>
          </w:tcPr>
          <w:p w14:paraId="21BF65AF" w14:textId="77777777" w:rsidR="001B04C9" w:rsidRPr="001B04C9" w:rsidRDefault="001B04C9" w:rsidP="001B04C9"/>
        </w:tc>
        <w:tc>
          <w:tcPr>
            <w:tcW w:w="2156" w:type="pct"/>
            <w:hideMark/>
          </w:tcPr>
          <w:p w14:paraId="46ACB8B9" w14:textId="77777777" w:rsidR="001B04C9" w:rsidRPr="001B04C9" w:rsidRDefault="001B04C9" w:rsidP="001B04C9">
            <w:r w:rsidRPr="001B04C9">
              <w:t>New Public Health Agency and National Public Health Service Establishment</w:t>
            </w:r>
          </w:p>
        </w:tc>
        <w:tc>
          <w:tcPr>
            <w:tcW w:w="929" w:type="pct"/>
            <w:hideMark/>
          </w:tcPr>
          <w:p w14:paraId="6B377C5A" w14:textId="77777777" w:rsidR="001B04C9" w:rsidRPr="001B04C9" w:rsidRDefault="001B04C9" w:rsidP="001B04C9">
            <w:r w:rsidRPr="001B04C9">
              <w:t>10.20</w:t>
            </w:r>
          </w:p>
        </w:tc>
        <w:tc>
          <w:tcPr>
            <w:tcW w:w="786" w:type="pct"/>
            <w:hideMark/>
          </w:tcPr>
          <w:p w14:paraId="4AAA7F28" w14:textId="77777777" w:rsidR="001B04C9" w:rsidRPr="001B04C9" w:rsidRDefault="001B04C9" w:rsidP="001B04C9">
            <w:r w:rsidRPr="001B04C9">
              <w:t>1.558</w:t>
            </w:r>
          </w:p>
        </w:tc>
      </w:tr>
      <w:tr w:rsidR="001B04C9" w:rsidRPr="001B04C9" w14:paraId="23565F93" w14:textId="77777777" w:rsidTr="001B04C9">
        <w:trPr>
          <w:trHeight w:val="525"/>
        </w:trPr>
        <w:tc>
          <w:tcPr>
            <w:tcW w:w="1128" w:type="pct"/>
            <w:vMerge w:val="restart"/>
          </w:tcPr>
          <w:p w14:paraId="7EA6F18A" w14:textId="77777777" w:rsidR="001B04C9" w:rsidRPr="001B04C9" w:rsidRDefault="001B04C9" w:rsidP="001B04C9">
            <w:r w:rsidRPr="001B04C9">
              <w:rPr>
                <w:b/>
                <w:bCs/>
              </w:rPr>
              <w:t>5.</w:t>
            </w:r>
            <w:r w:rsidRPr="001B04C9">
              <w:t xml:space="preserve"> Develop greater use of digital services to provide more care in </w:t>
            </w:r>
            <w:r w:rsidRPr="001B04C9">
              <w:lastRenderedPageBreak/>
              <w:t>homes and communities</w:t>
            </w:r>
          </w:p>
        </w:tc>
        <w:tc>
          <w:tcPr>
            <w:tcW w:w="2156" w:type="pct"/>
            <w:hideMark/>
          </w:tcPr>
          <w:p w14:paraId="658D479F" w14:textId="77777777" w:rsidR="001B04C9" w:rsidRPr="001B04C9" w:rsidRDefault="001B04C9" w:rsidP="001B04C9">
            <w:r w:rsidRPr="001B04C9">
              <w:lastRenderedPageBreak/>
              <w:t>Establishing the National Public Health Service – Digital and Data Infrastructure</w:t>
            </w:r>
          </w:p>
        </w:tc>
        <w:tc>
          <w:tcPr>
            <w:tcW w:w="929" w:type="pct"/>
            <w:hideMark/>
          </w:tcPr>
          <w:p w14:paraId="78018EC7" w14:textId="77777777" w:rsidR="001B04C9" w:rsidRPr="001B04C9" w:rsidRDefault="001B04C9" w:rsidP="001B04C9">
            <w:r w:rsidRPr="001B04C9">
              <w:t>6.16</w:t>
            </w:r>
          </w:p>
        </w:tc>
        <w:tc>
          <w:tcPr>
            <w:tcW w:w="786" w:type="pct"/>
            <w:hideMark/>
          </w:tcPr>
          <w:p w14:paraId="6ECF5756" w14:textId="77777777" w:rsidR="001B04C9" w:rsidRPr="001B04C9" w:rsidRDefault="001B04C9" w:rsidP="001B04C9">
            <w:r w:rsidRPr="001B04C9">
              <w:t>0.000</w:t>
            </w:r>
          </w:p>
        </w:tc>
      </w:tr>
      <w:tr w:rsidR="001B04C9" w:rsidRPr="001B04C9" w14:paraId="7ED3E675" w14:textId="77777777" w:rsidTr="001B04C9">
        <w:trPr>
          <w:trHeight w:val="525"/>
        </w:trPr>
        <w:tc>
          <w:tcPr>
            <w:tcW w:w="1128" w:type="pct"/>
            <w:vMerge/>
          </w:tcPr>
          <w:p w14:paraId="439D6271" w14:textId="77777777" w:rsidR="001B04C9" w:rsidRPr="001B04C9" w:rsidRDefault="001B04C9" w:rsidP="001B04C9"/>
        </w:tc>
        <w:tc>
          <w:tcPr>
            <w:tcW w:w="2156" w:type="pct"/>
            <w:hideMark/>
          </w:tcPr>
          <w:p w14:paraId="07D6734E" w14:textId="77777777" w:rsidR="001B04C9" w:rsidRPr="001B04C9" w:rsidRDefault="001B04C9" w:rsidP="001B04C9">
            <w:r w:rsidRPr="001B04C9">
              <w:t>Southern Health System Digital Transformation Programme</w:t>
            </w:r>
          </w:p>
        </w:tc>
        <w:tc>
          <w:tcPr>
            <w:tcW w:w="929" w:type="pct"/>
            <w:hideMark/>
          </w:tcPr>
          <w:p w14:paraId="49121A2D" w14:textId="77777777" w:rsidR="001B04C9" w:rsidRPr="001B04C9" w:rsidRDefault="001B04C9" w:rsidP="001B04C9">
            <w:r w:rsidRPr="001B04C9">
              <w:t>4.23</w:t>
            </w:r>
          </w:p>
        </w:tc>
        <w:tc>
          <w:tcPr>
            <w:tcW w:w="786" w:type="pct"/>
            <w:hideMark/>
          </w:tcPr>
          <w:p w14:paraId="56831BF2" w14:textId="77777777" w:rsidR="001B04C9" w:rsidRPr="001B04C9" w:rsidRDefault="001B04C9" w:rsidP="001B04C9">
            <w:r w:rsidRPr="001B04C9">
              <w:t>0.856</w:t>
            </w:r>
          </w:p>
        </w:tc>
      </w:tr>
      <w:tr w:rsidR="001B04C9" w:rsidRPr="001B04C9" w14:paraId="1AA48C06" w14:textId="77777777" w:rsidTr="001B04C9">
        <w:trPr>
          <w:trHeight w:val="525"/>
        </w:trPr>
        <w:tc>
          <w:tcPr>
            <w:tcW w:w="1128" w:type="pct"/>
            <w:vMerge/>
          </w:tcPr>
          <w:p w14:paraId="223D04A7" w14:textId="77777777" w:rsidR="001B04C9" w:rsidRPr="001B04C9" w:rsidRDefault="001B04C9" w:rsidP="001B04C9"/>
        </w:tc>
        <w:tc>
          <w:tcPr>
            <w:tcW w:w="2156" w:type="pct"/>
            <w:hideMark/>
          </w:tcPr>
          <w:p w14:paraId="19E82EBF" w14:textId="77777777" w:rsidR="001B04C9" w:rsidRPr="001B04C9" w:rsidRDefault="001B04C9" w:rsidP="001B04C9">
            <w:r w:rsidRPr="001B04C9">
              <w:t>NEW DRAWDOWN: Health Data and Digital – Foundations and Innovation</w:t>
            </w:r>
          </w:p>
        </w:tc>
        <w:tc>
          <w:tcPr>
            <w:tcW w:w="929" w:type="pct"/>
            <w:hideMark/>
          </w:tcPr>
          <w:p w14:paraId="7B561213" w14:textId="77777777" w:rsidR="001B04C9" w:rsidRPr="001B04C9" w:rsidRDefault="001B04C9" w:rsidP="001B04C9">
            <w:r w:rsidRPr="001B04C9">
              <w:t>58.49</w:t>
            </w:r>
          </w:p>
        </w:tc>
        <w:tc>
          <w:tcPr>
            <w:tcW w:w="786" w:type="pct"/>
            <w:hideMark/>
          </w:tcPr>
          <w:p w14:paraId="3000680D" w14:textId="77777777" w:rsidR="001B04C9" w:rsidRPr="001B04C9" w:rsidRDefault="001B04C9" w:rsidP="001B04C9">
            <w:r w:rsidRPr="001B04C9">
              <w:t>0.000</w:t>
            </w:r>
          </w:p>
        </w:tc>
      </w:tr>
      <w:tr w:rsidR="001B04C9" w:rsidRPr="001B04C9" w14:paraId="312972FC" w14:textId="77777777" w:rsidTr="001B04C9">
        <w:trPr>
          <w:trHeight w:val="525"/>
        </w:trPr>
        <w:tc>
          <w:tcPr>
            <w:tcW w:w="1128" w:type="pct"/>
            <w:vMerge w:val="restart"/>
          </w:tcPr>
          <w:p w14:paraId="359C78BA" w14:textId="77777777" w:rsidR="001B04C9" w:rsidRPr="001B04C9" w:rsidRDefault="001B04C9" w:rsidP="001B04C9">
            <w:r w:rsidRPr="001B04C9">
              <w:rPr>
                <w:b/>
                <w:bCs/>
              </w:rPr>
              <w:t>6.</w:t>
            </w:r>
            <w:r w:rsidRPr="001B04C9">
              <w:t xml:space="preserve"> Establish Te Whatu Ora and Te Aka Whai Ora to support a financially sustainable system</w:t>
            </w:r>
          </w:p>
        </w:tc>
        <w:tc>
          <w:tcPr>
            <w:tcW w:w="2156" w:type="pct"/>
            <w:hideMark/>
          </w:tcPr>
          <w:p w14:paraId="4ED05A66" w14:textId="77777777" w:rsidR="001B04C9" w:rsidRPr="001B04C9" w:rsidRDefault="001B04C9" w:rsidP="001B04C9">
            <w:r w:rsidRPr="001B04C9">
              <w:t>Allowing Payment to Family Members for Support Services</w:t>
            </w:r>
          </w:p>
        </w:tc>
        <w:tc>
          <w:tcPr>
            <w:tcW w:w="929" w:type="pct"/>
            <w:hideMark/>
          </w:tcPr>
          <w:p w14:paraId="2A28EB4D" w14:textId="77777777" w:rsidR="001B04C9" w:rsidRPr="001B04C9" w:rsidRDefault="001B04C9" w:rsidP="001B04C9">
            <w:r w:rsidRPr="001B04C9">
              <w:t>17.00</w:t>
            </w:r>
          </w:p>
        </w:tc>
        <w:tc>
          <w:tcPr>
            <w:tcW w:w="786" w:type="pct"/>
            <w:hideMark/>
          </w:tcPr>
          <w:p w14:paraId="7ED7A031" w14:textId="77777777" w:rsidR="001B04C9" w:rsidRPr="001B04C9" w:rsidRDefault="001B04C9" w:rsidP="001B04C9">
            <w:r w:rsidRPr="001B04C9">
              <w:t>3.510</w:t>
            </w:r>
          </w:p>
        </w:tc>
      </w:tr>
      <w:tr w:rsidR="001B04C9" w:rsidRPr="001B04C9" w14:paraId="33CB4733" w14:textId="77777777" w:rsidTr="001B04C9">
        <w:trPr>
          <w:trHeight w:val="525"/>
        </w:trPr>
        <w:tc>
          <w:tcPr>
            <w:tcW w:w="1128" w:type="pct"/>
            <w:vMerge/>
          </w:tcPr>
          <w:p w14:paraId="1E2CF8B4" w14:textId="77777777" w:rsidR="001B04C9" w:rsidRPr="001B04C9" w:rsidRDefault="001B04C9" w:rsidP="001B04C9"/>
        </w:tc>
        <w:tc>
          <w:tcPr>
            <w:tcW w:w="2156" w:type="pct"/>
            <w:hideMark/>
          </w:tcPr>
          <w:p w14:paraId="3E4DCBFC" w14:textId="77777777" w:rsidR="001B04C9" w:rsidRPr="001B04C9" w:rsidRDefault="001B04C9" w:rsidP="001B04C9">
            <w:r w:rsidRPr="001B04C9">
              <w:t>Dementia Mate Wareware Action Plan - Implementation Support Funding</w:t>
            </w:r>
          </w:p>
        </w:tc>
        <w:tc>
          <w:tcPr>
            <w:tcW w:w="929" w:type="pct"/>
            <w:hideMark/>
          </w:tcPr>
          <w:p w14:paraId="49975E09" w14:textId="77777777" w:rsidR="001B04C9" w:rsidRPr="001B04C9" w:rsidRDefault="001B04C9" w:rsidP="001B04C9">
            <w:r w:rsidRPr="001B04C9">
              <w:t>2.86</w:t>
            </w:r>
          </w:p>
        </w:tc>
        <w:tc>
          <w:tcPr>
            <w:tcW w:w="786" w:type="pct"/>
            <w:hideMark/>
          </w:tcPr>
          <w:p w14:paraId="4EFF50CA" w14:textId="77777777" w:rsidR="001B04C9" w:rsidRPr="001B04C9" w:rsidRDefault="001B04C9" w:rsidP="001B04C9">
            <w:r w:rsidRPr="001B04C9">
              <w:t>0.715</w:t>
            </w:r>
          </w:p>
        </w:tc>
      </w:tr>
      <w:tr w:rsidR="001B04C9" w:rsidRPr="001B04C9" w14:paraId="18B62AD7" w14:textId="77777777" w:rsidTr="001B04C9">
        <w:trPr>
          <w:trHeight w:val="525"/>
        </w:trPr>
        <w:tc>
          <w:tcPr>
            <w:tcW w:w="1128" w:type="pct"/>
            <w:vMerge/>
          </w:tcPr>
          <w:p w14:paraId="187745FF" w14:textId="77777777" w:rsidR="001B04C9" w:rsidRPr="001B04C9" w:rsidRDefault="001B04C9" w:rsidP="001B04C9"/>
        </w:tc>
        <w:tc>
          <w:tcPr>
            <w:tcW w:w="2156" w:type="pct"/>
            <w:hideMark/>
          </w:tcPr>
          <w:p w14:paraId="32C512A4" w14:textId="77777777" w:rsidR="001B04C9" w:rsidRPr="001B04C9" w:rsidRDefault="001B04C9" w:rsidP="001B04C9">
            <w:r w:rsidRPr="001B04C9">
              <w:t>Emergency Air Ambulance Services – Additional Support Funding</w:t>
            </w:r>
          </w:p>
        </w:tc>
        <w:tc>
          <w:tcPr>
            <w:tcW w:w="929" w:type="pct"/>
            <w:hideMark/>
          </w:tcPr>
          <w:p w14:paraId="4D68F099" w14:textId="77777777" w:rsidR="001B04C9" w:rsidRPr="001B04C9" w:rsidRDefault="001B04C9" w:rsidP="001B04C9">
            <w:r w:rsidRPr="001B04C9">
              <w:t>22.51</w:t>
            </w:r>
          </w:p>
        </w:tc>
        <w:tc>
          <w:tcPr>
            <w:tcW w:w="786" w:type="pct"/>
            <w:hideMark/>
          </w:tcPr>
          <w:p w14:paraId="4DE30150" w14:textId="77777777" w:rsidR="001B04C9" w:rsidRPr="001B04C9" w:rsidRDefault="001B04C9" w:rsidP="001B04C9">
            <w:r w:rsidRPr="001B04C9">
              <w:t>5.628</w:t>
            </w:r>
          </w:p>
        </w:tc>
      </w:tr>
      <w:tr w:rsidR="001B04C9" w:rsidRPr="001B04C9" w14:paraId="41D4062E" w14:textId="77777777" w:rsidTr="001B04C9">
        <w:trPr>
          <w:trHeight w:val="525"/>
        </w:trPr>
        <w:tc>
          <w:tcPr>
            <w:tcW w:w="1128" w:type="pct"/>
            <w:vMerge/>
          </w:tcPr>
          <w:p w14:paraId="1F96263E" w14:textId="77777777" w:rsidR="001B04C9" w:rsidRPr="001B04C9" w:rsidRDefault="001B04C9" w:rsidP="001B04C9"/>
        </w:tc>
        <w:tc>
          <w:tcPr>
            <w:tcW w:w="2156" w:type="pct"/>
            <w:hideMark/>
          </w:tcPr>
          <w:p w14:paraId="5E45CB79" w14:textId="77777777" w:rsidR="001B04C9" w:rsidRPr="001B04C9" w:rsidRDefault="001B04C9" w:rsidP="001B04C9">
            <w:r w:rsidRPr="001B04C9">
              <w:t>Emergency Road Ambulance Services – Additional Support Funding</w:t>
            </w:r>
          </w:p>
        </w:tc>
        <w:tc>
          <w:tcPr>
            <w:tcW w:w="929" w:type="pct"/>
            <w:hideMark/>
          </w:tcPr>
          <w:p w14:paraId="369BCE94" w14:textId="77777777" w:rsidR="001B04C9" w:rsidRPr="001B04C9" w:rsidRDefault="001B04C9" w:rsidP="001B04C9">
            <w:r w:rsidRPr="001B04C9">
              <w:t>44.78</w:t>
            </w:r>
          </w:p>
        </w:tc>
        <w:tc>
          <w:tcPr>
            <w:tcW w:w="786" w:type="pct"/>
            <w:hideMark/>
          </w:tcPr>
          <w:p w14:paraId="1250D3A4" w14:textId="77777777" w:rsidR="001B04C9" w:rsidRPr="001B04C9" w:rsidRDefault="001B04C9" w:rsidP="001B04C9">
            <w:r w:rsidRPr="001B04C9">
              <w:t>7.925</w:t>
            </w:r>
          </w:p>
        </w:tc>
      </w:tr>
      <w:tr w:rsidR="001B04C9" w:rsidRPr="001B04C9" w14:paraId="4BCC31BB" w14:textId="77777777" w:rsidTr="001B04C9">
        <w:trPr>
          <w:trHeight w:val="525"/>
        </w:trPr>
        <w:tc>
          <w:tcPr>
            <w:tcW w:w="1128" w:type="pct"/>
            <w:vMerge/>
          </w:tcPr>
          <w:p w14:paraId="7DFDF71D" w14:textId="77777777" w:rsidR="001B04C9" w:rsidRPr="001B04C9" w:rsidRDefault="001B04C9" w:rsidP="001B04C9"/>
        </w:tc>
        <w:tc>
          <w:tcPr>
            <w:tcW w:w="2156" w:type="pct"/>
            <w:hideMark/>
          </w:tcPr>
          <w:p w14:paraId="12FDFCAA" w14:textId="77777777" w:rsidR="001B04C9" w:rsidRPr="001B04C9" w:rsidRDefault="001B04C9" w:rsidP="001B04C9">
            <w:r w:rsidRPr="001B04C9">
              <w:t>Primary Care Funding Formula – Equity Adjustments to Capitation</w:t>
            </w:r>
          </w:p>
        </w:tc>
        <w:tc>
          <w:tcPr>
            <w:tcW w:w="929" w:type="pct"/>
            <w:hideMark/>
          </w:tcPr>
          <w:p w14:paraId="34D2B33E" w14:textId="77777777" w:rsidR="001B04C9" w:rsidRPr="001B04C9" w:rsidRDefault="001B04C9" w:rsidP="001B04C9">
            <w:r w:rsidRPr="001B04C9">
              <w:t>24.41</w:t>
            </w:r>
          </w:p>
        </w:tc>
        <w:tc>
          <w:tcPr>
            <w:tcW w:w="786" w:type="pct"/>
            <w:hideMark/>
          </w:tcPr>
          <w:p w14:paraId="12330ED1" w14:textId="77777777" w:rsidR="001B04C9" w:rsidRPr="001B04C9" w:rsidRDefault="001B04C9" w:rsidP="001B04C9">
            <w:r w:rsidRPr="001B04C9">
              <w:t>6.104</w:t>
            </w:r>
          </w:p>
        </w:tc>
      </w:tr>
      <w:tr w:rsidR="001B04C9" w:rsidRPr="001B04C9" w14:paraId="69C3435E" w14:textId="77777777" w:rsidTr="001B04C9">
        <w:trPr>
          <w:trHeight w:val="525"/>
        </w:trPr>
        <w:tc>
          <w:tcPr>
            <w:tcW w:w="1128" w:type="pct"/>
          </w:tcPr>
          <w:p w14:paraId="739CA98C" w14:textId="77777777" w:rsidR="001B04C9" w:rsidRPr="001B04C9" w:rsidRDefault="001B04C9" w:rsidP="001B04C9"/>
        </w:tc>
        <w:tc>
          <w:tcPr>
            <w:tcW w:w="2156" w:type="pct"/>
          </w:tcPr>
          <w:p w14:paraId="5C215F29" w14:textId="77777777" w:rsidR="001B04C9" w:rsidRPr="001B04C9" w:rsidRDefault="001B04C9" w:rsidP="001B04C9">
            <w:r w:rsidRPr="001B04C9">
              <w:rPr>
                <w:b/>
                <w:bCs/>
              </w:rPr>
              <w:t>Total operating</w:t>
            </w:r>
          </w:p>
        </w:tc>
        <w:tc>
          <w:tcPr>
            <w:tcW w:w="929" w:type="pct"/>
          </w:tcPr>
          <w:p w14:paraId="074C991D" w14:textId="77777777" w:rsidR="001B04C9" w:rsidRPr="001B04C9" w:rsidRDefault="001B04C9" w:rsidP="001B04C9">
            <w:r w:rsidRPr="001B04C9">
              <w:rPr>
                <w:b/>
                <w:bCs/>
              </w:rPr>
              <w:t>454.11</w:t>
            </w:r>
          </w:p>
        </w:tc>
        <w:tc>
          <w:tcPr>
            <w:tcW w:w="786" w:type="pct"/>
          </w:tcPr>
          <w:p w14:paraId="209AB29F" w14:textId="77777777" w:rsidR="001B04C9" w:rsidRPr="001B04C9" w:rsidRDefault="001B04C9" w:rsidP="001B04C9">
            <w:r w:rsidRPr="001B04C9">
              <w:rPr>
                <w:b/>
                <w:bCs/>
              </w:rPr>
              <w:t>65.198</w:t>
            </w:r>
          </w:p>
        </w:tc>
      </w:tr>
    </w:tbl>
    <w:p w14:paraId="68E484B0" w14:textId="77777777" w:rsidR="001B04C9" w:rsidRDefault="001B04C9" w:rsidP="00F27DCD">
      <w:pPr>
        <w:pStyle w:val="TableText"/>
      </w:pPr>
    </w:p>
    <w:p w14:paraId="749495B6" w14:textId="68358963" w:rsidR="001B04C9" w:rsidRDefault="001B04C9" w:rsidP="001B04C9">
      <w:pPr>
        <w:pStyle w:val="Heading4"/>
      </w:pPr>
      <w:r w:rsidRPr="001B04C9">
        <w:t>North Island Weather Event Initiatives</w:t>
      </w:r>
    </w:p>
    <w:tbl>
      <w:tblPr>
        <w:tblStyle w:val="TeWhatuOra"/>
        <w:tblW w:w="5000" w:type="pct"/>
        <w:tblLook w:val="0420" w:firstRow="1" w:lastRow="0" w:firstColumn="0" w:lastColumn="0" w:noHBand="0" w:noVBand="1"/>
      </w:tblPr>
      <w:tblGrid>
        <w:gridCol w:w="5775"/>
        <w:gridCol w:w="1789"/>
        <w:gridCol w:w="2064"/>
      </w:tblGrid>
      <w:tr w:rsidR="001B04C9" w:rsidRPr="001B04C9" w14:paraId="1DFB8D3A" w14:textId="77777777" w:rsidTr="001B04C9">
        <w:trPr>
          <w:cnfStyle w:val="100000000000" w:firstRow="1" w:lastRow="0" w:firstColumn="0" w:lastColumn="0" w:oddVBand="0" w:evenVBand="0" w:oddHBand="0" w:evenHBand="0" w:firstRowFirstColumn="0" w:firstRowLastColumn="0" w:lastRowFirstColumn="0" w:lastRowLastColumn="0"/>
          <w:trHeight w:val="795"/>
        </w:trPr>
        <w:tc>
          <w:tcPr>
            <w:tcW w:w="2998" w:type="pct"/>
            <w:hideMark/>
          </w:tcPr>
          <w:p w14:paraId="34CE7D04" w14:textId="77777777" w:rsidR="001B04C9" w:rsidRPr="001B04C9" w:rsidRDefault="001B04C9" w:rsidP="001B04C9">
            <w:r w:rsidRPr="001B04C9">
              <w:rPr>
                <w:bCs/>
              </w:rPr>
              <w:t>Initiative</w:t>
            </w:r>
          </w:p>
        </w:tc>
        <w:tc>
          <w:tcPr>
            <w:tcW w:w="929" w:type="pct"/>
            <w:hideMark/>
          </w:tcPr>
          <w:p w14:paraId="709ECC54" w14:textId="77777777" w:rsidR="001B04C9" w:rsidRPr="001B04C9" w:rsidRDefault="001B04C9" w:rsidP="001B04C9">
            <w:r w:rsidRPr="001B04C9">
              <w:rPr>
                <w:bCs/>
              </w:rPr>
              <w:t>2023/24 Funding</w:t>
            </w:r>
          </w:p>
          <w:p w14:paraId="1711B678" w14:textId="77777777" w:rsidR="001B04C9" w:rsidRPr="001B04C9" w:rsidRDefault="001B04C9" w:rsidP="001B04C9">
            <w:r w:rsidRPr="001B04C9">
              <w:rPr>
                <w:bCs/>
              </w:rPr>
              <w:t>($ m)</w:t>
            </w:r>
          </w:p>
        </w:tc>
        <w:tc>
          <w:tcPr>
            <w:tcW w:w="1072" w:type="pct"/>
            <w:hideMark/>
          </w:tcPr>
          <w:p w14:paraId="1D91C820" w14:textId="77777777" w:rsidR="001B04C9" w:rsidRPr="001B04C9" w:rsidRDefault="001B04C9" w:rsidP="001B04C9">
            <w:r w:rsidRPr="001B04C9">
              <w:rPr>
                <w:bCs/>
              </w:rPr>
              <w:t>Spent to 31 July</w:t>
            </w:r>
          </w:p>
          <w:p w14:paraId="7CB745BE" w14:textId="77777777" w:rsidR="001B04C9" w:rsidRPr="001B04C9" w:rsidRDefault="001B04C9" w:rsidP="001B04C9">
            <w:r w:rsidRPr="001B04C9">
              <w:rPr>
                <w:bCs/>
              </w:rPr>
              <w:t>($ m)</w:t>
            </w:r>
          </w:p>
        </w:tc>
      </w:tr>
      <w:tr w:rsidR="001B04C9" w:rsidRPr="001B04C9" w14:paraId="2FFB7503" w14:textId="77777777" w:rsidTr="001B04C9">
        <w:trPr>
          <w:trHeight w:val="525"/>
        </w:trPr>
        <w:tc>
          <w:tcPr>
            <w:tcW w:w="2998" w:type="pct"/>
            <w:hideMark/>
          </w:tcPr>
          <w:p w14:paraId="56659FA5" w14:textId="77777777" w:rsidR="001B04C9" w:rsidRPr="001B04C9" w:rsidRDefault="001B04C9" w:rsidP="001B04C9">
            <w:r w:rsidRPr="001B04C9">
              <w:t>Hospital and Specialist Services</w:t>
            </w:r>
          </w:p>
        </w:tc>
        <w:tc>
          <w:tcPr>
            <w:tcW w:w="929" w:type="pct"/>
            <w:hideMark/>
          </w:tcPr>
          <w:p w14:paraId="13AA51EA" w14:textId="77777777" w:rsidR="001B04C9" w:rsidRPr="001B04C9" w:rsidRDefault="001B04C9" w:rsidP="001B04C9">
            <w:r w:rsidRPr="001B04C9">
              <w:t>4.753</w:t>
            </w:r>
          </w:p>
        </w:tc>
        <w:tc>
          <w:tcPr>
            <w:tcW w:w="1072" w:type="pct"/>
            <w:hideMark/>
          </w:tcPr>
          <w:p w14:paraId="081530BD" w14:textId="77777777" w:rsidR="001B04C9" w:rsidRPr="001B04C9" w:rsidRDefault="001B04C9" w:rsidP="001B04C9">
            <w:r w:rsidRPr="001B04C9">
              <w:t>1.188</w:t>
            </w:r>
          </w:p>
        </w:tc>
      </w:tr>
      <w:tr w:rsidR="001B04C9" w:rsidRPr="001B04C9" w14:paraId="339B37BD" w14:textId="77777777" w:rsidTr="001B04C9">
        <w:trPr>
          <w:trHeight w:val="525"/>
        </w:trPr>
        <w:tc>
          <w:tcPr>
            <w:tcW w:w="2998" w:type="pct"/>
            <w:hideMark/>
          </w:tcPr>
          <w:p w14:paraId="5CC4D053" w14:textId="77777777" w:rsidR="001B04C9" w:rsidRPr="001B04C9" w:rsidRDefault="001B04C9" w:rsidP="001B04C9">
            <w:r w:rsidRPr="001B04C9">
              <w:t>Mental Health and Wellbeing Response</w:t>
            </w:r>
          </w:p>
        </w:tc>
        <w:tc>
          <w:tcPr>
            <w:tcW w:w="929" w:type="pct"/>
            <w:hideMark/>
          </w:tcPr>
          <w:p w14:paraId="0578F100" w14:textId="77777777" w:rsidR="001B04C9" w:rsidRPr="001B04C9" w:rsidRDefault="001B04C9" w:rsidP="001B04C9">
            <w:r w:rsidRPr="001B04C9">
              <w:t>10.000</w:t>
            </w:r>
          </w:p>
        </w:tc>
        <w:tc>
          <w:tcPr>
            <w:tcW w:w="1072" w:type="pct"/>
            <w:hideMark/>
          </w:tcPr>
          <w:p w14:paraId="0BC22F3F" w14:textId="77777777" w:rsidR="001B04C9" w:rsidRPr="001B04C9" w:rsidRDefault="001B04C9" w:rsidP="001B04C9">
            <w:r w:rsidRPr="001B04C9">
              <w:t>0.650</w:t>
            </w:r>
          </w:p>
        </w:tc>
      </w:tr>
      <w:tr w:rsidR="001B04C9" w:rsidRPr="001B04C9" w14:paraId="28972178" w14:textId="77777777" w:rsidTr="001B04C9">
        <w:trPr>
          <w:trHeight w:val="315"/>
        </w:trPr>
        <w:tc>
          <w:tcPr>
            <w:tcW w:w="2998" w:type="pct"/>
            <w:hideMark/>
          </w:tcPr>
          <w:p w14:paraId="64B61BCF" w14:textId="77777777" w:rsidR="001B04C9" w:rsidRPr="001B04C9" w:rsidRDefault="001B04C9" w:rsidP="001B04C9">
            <w:r w:rsidRPr="001B04C9">
              <w:t>Primary, Community, and Residential Care Recovery</w:t>
            </w:r>
          </w:p>
        </w:tc>
        <w:tc>
          <w:tcPr>
            <w:tcW w:w="929" w:type="pct"/>
            <w:hideMark/>
          </w:tcPr>
          <w:p w14:paraId="3955BF59" w14:textId="77777777" w:rsidR="001B04C9" w:rsidRPr="001B04C9" w:rsidRDefault="001B04C9" w:rsidP="001B04C9">
            <w:r w:rsidRPr="001B04C9">
              <w:t>2.817</w:t>
            </w:r>
          </w:p>
        </w:tc>
        <w:tc>
          <w:tcPr>
            <w:tcW w:w="1072" w:type="pct"/>
            <w:hideMark/>
          </w:tcPr>
          <w:p w14:paraId="299A896F" w14:textId="77777777" w:rsidR="001B04C9" w:rsidRPr="001B04C9" w:rsidRDefault="001B04C9" w:rsidP="001B04C9">
            <w:r w:rsidRPr="001B04C9">
              <w:t>0.704</w:t>
            </w:r>
          </w:p>
        </w:tc>
      </w:tr>
      <w:tr w:rsidR="001B04C9" w:rsidRPr="001B04C9" w14:paraId="55848AE7" w14:textId="77777777" w:rsidTr="001B04C9">
        <w:trPr>
          <w:trHeight w:val="510"/>
        </w:trPr>
        <w:tc>
          <w:tcPr>
            <w:tcW w:w="2998" w:type="pct"/>
            <w:hideMark/>
          </w:tcPr>
          <w:p w14:paraId="48EBD0A2" w14:textId="77777777" w:rsidR="001B04C9" w:rsidRPr="001B04C9" w:rsidRDefault="001B04C9" w:rsidP="001B04C9">
            <w:r w:rsidRPr="001B04C9">
              <w:t>Transport and Power</w:t>
            </w:r>
          </w:p>
        </w:tc>
        <w:tc>
          <w:tcPr>
            <w:tcW w:w="929" w:type="pct"/>
            <w:hideMark/>
          </w:tcPr>
          <w:p w14:paraId="19AFC11A" w14:textId="77777777" w:rsidR="001B04C9" w:rsidRPr="001B04C9" w:rsidRDefault="001B04C9" w:rsidP="001B04C9">
            <w:r w:rsidRPr="001B04C9">
              <w:t>1.157</w:t>
            </w:r>
          </w:p>
        </w:tc>
        <w:tc>
          <w:tcPr>
            <w:tcW w:w="1072" w:type="pct"/>
            <w:hideMark/>
          </w:tcPr>
          <w:p w14:paraId="068FCBA7" w14:textId="77777777" w:rsidR="001B04C9" w:rsidRPr="001B04C9" w:rsidRDefault="001B04C9" w:rsidP="001B04C9">
            <w:r w:rsidRPr="001B04C9">
              <w:t>0.289</w:t>
            </w:r>
          </w:p>
        </w:tc>
      </w:tr>
      <w:tr w:rsidR="001B04C9" w:rsidRPr="001B04C9" w14:paraId="10407B6F" w14:textId="77777777" w:rsidTr="001B04C9">
        <w:trPr>
          <w:trHeight w:val="510"/>
        </w:trPr>
        <w:tc>
          <w:tcPr>
            <w:tcW w:w="2998" w:type="pct"/>
            <w:hideMark/>
          </w:tcPr>
          <w:p w14:paraId="58D19376" w14:textId="77777777" w:rsidR="001B04C9" w:rsidRPr="001B04C9" w:rsidRDefault="001B04C9" w:rsidP="001B04C9">
            <w:r w:rsidRPr="001B04C9">
              <w:rPr>
                <w:b/>
                <w:bCs/>
              </w:rPr>
              <w:t>Total operating</w:t>
            </w:r>
          </w:p>
        </w:tc>
        <w:tc>
          <w:tcPr>
            <w:tcW w:w="929" w:type="pct"/>
            <w:hideMark/>
          </w:tcPr>
          <w:p w14:paraId="7B130402" w14:textId="77777777" w:rsidR="001B04C9" w:rsidRPr="001B04C9" w:rsidRDefault="001B04C9" w:rsidP="001B04C9">
            <w:r w:rsidRPr="001B04C9">
              <w:rPr>
                <w:b/>
                <w:bCs/>
              </w:rPr>
              <w:t>18.727</w:t>
            </w:r>
          </w:p>
        </w:tc>
        <w:tc>
          <w:tcPr>
            <w:tcW w:w="1072" w:type="pct"/>
            <w:hideMark/>
          </w:tcPr>
          <w:p w14:paraId="238DC161" w14:textId="77777777" w:rsidR="001B04C9" w:rsidRPr="001B04C9" w:rsidRDefault="001B04C9" w:rsidP="001B04C9">
            <w:r w:rsidRPr="001B04C9">
              <w:rPr>
                <w:b/>
                <w:bCs/>
              </w:rPr>
              <w:t>2.832</w:t>
            </w:r>
          </w:p>
        </w:tc>
      </w:tr>
    </w:tbl>
    <w:p w14:paraId="5EE645D3" w14:textId="16D31A25" w:rsidR="001B04C9" w:rsidRDefault="001B04C9" w:rsidP="001B04C9"/>
    <w:sectPr w:rsidR="001B04C9" w:rsidSect="00203C6D">
      <w:pgSz w:w="11906" w:h="16838"/>
      <w:pgMar w:top="1134" w:right="1134" w:bottom="1134" w:left="1134" w:header="130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95D7C" w14:textId="77777777" w:rsidR="00F37744" w:rsidRDefault="00F37744" w:rsidP="00817A32">
      <w:pPr>
        <w:spacing w:before="0" w:after="0" w:line="240" w:lineRule="auto"/>
      </w:pPr>
      <w:r>
        <w:separator/>
      </w:r>
    </w:p>
  </w:endnote>
  <w:endnote w:type="continuationSeparator" w:id="0">
    <w:p w14:paraId="18626762" w14:textId="77777777" w:rsidR="00F37744" w:rsidRDefault="00F37744"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mn-ea">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0C263" w14:textId="771549F4" w:rsidR="00222274" w:rsidRPr="00630DE1" w:rsidRDefault="0038189D"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 xml:space="preserve">Quarterly Performance Report: Quarter ending 30 </w:t>
    </w:r>
    <w:r w:rsidR="005D0911">
      <w:rPr>
        <w:rFonts w:ascii="Arial" w:eastAsia="Calibri" w:hAnsi="Arial" w:cs="Arial"/>
        <w:noProof/>
        <w:szCs w:val="24"/>
      </w:rPr>
      <w:t>September</w:t>
    </w:r>
    <w:r>
      <w:rPr>
        <w:rFonts w:ascii="Arial" w:eastAsia="Calibri" w:hAnsi="Arial" w:cs="Arial"/>
        <w:noProof/>
        <w:szCs w:val="24"/>
      </w:rPr>
      <w:t xml:space="preserve"> 2023</w:t>
    </w:r>
    <w:r w:rsidR="00222274"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E27B5" w14:textId="406E9CBC" w:rsidR="00546C38" w:rsidRPr="00630DE1" w:rsidRDefault="00546C38"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Quarterly Performance Report: Quarter ending 30 September 2023</w:t>
    </w:r>
    <w:r w:rsidRPr="00222274">
      <w:rPr>
        <w:rFonts w:ascii="Arial" w:eastAsia="Calibri" w:hAnsi="Arial" w:cs="Arial"/>
        <w:noProof/>
        <w:szCs w:val="24"/>
      </w:rPr>
      <w:tab/>
    </w:r>
    <w:r>
      <w:rPr>
        <w:rFonts w:ascii="Arial" w:eastAsia="Calibri" w:hAnsi="Arial" w:cs="Arial"/>
        <w:noProof/>
        <w:szCs w:val="24"/>
      </w:rPr>
      <w:ptab w:relativeTo="margin" w:alignment="right" w:leader="none"/>
    </w:r>
    <w:r w:rsidRPr="00630DE1">
      <w:rPr>
        <w:rFonts w:ascii="Arial" w:eastAsia="Calibri" w:hAnsi="Arial" w:cs="Arial"/>
        <w:noProof/>
        <w:szCs w:val="24"/>
      </w:rPr>
      <w:fldChar w:fldCharType="begin"/>
    </w:r>
    <w:r w:rsidRPr="00630DE1">
      <w:rPr>
        <w:rFonts w:ascii="Arial" w:eastAsia="Calibri" w:hAnsi="Arial" w:cs="Arial"/>
        <w:noProof/>
        <w:szCs w:val="24"/>
      </w:rPr>
      <w:instrText xml:space="preserve"> PAGE   \* MERGEFORMAT </w:instrText>
    </w:r>
    <w:r w:rsidRPr="00630DE1">
      <w:rPr>
        <w:rFonts w:ascii="Arial" w:eastAsia="Calibri" w:hAnsi="Arial" w:cs="Arial"/>
        <w:noProof/>
        <w:szCs w:val="24"/>
      </w:rPr>
      <w:fldChar w:fldCharType="separate"/>
    </w:r>
    <w:r w:rsidRPr="00630DE1">
      <w:rPr>
        <w:rFonts w:ascii="Arial" w:eastAsia="Calibri" w:hAnsi="Arial" w:cs="Arial"/>
        <w:noProof/>
        <w:szCs w:val="24"/>
      </w:rPr>
      <w:t>1</w:t>
    </w:r>
    <w:r w:rsidRPr="00630DE1">
      <w:rPr>
        <w:rFonts w:ascii="Arial" w:eastAsia="Calibri" w:hAnsi="Arial" w:cs="Arial"/>
        <w:noProof/>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4264F" w14:textId="77777777" w:rsidR="00546C38" w:rsidRPr="00630DE1" w:rsidRDefault="00546C38"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Quarterly Performance Report: Quarter ending 30 September 2023</w:t>
    </w:r>
    <w:r w:rsidRPr="00222274">
      <w:rPr>
        <w:rFonts w:ascii="Arial" w:eastAsia="Calibri" w:hAnsi="Arial" w:cs="Arial"/>
        <w:noProof/>
        <w:szCs w:val="24"/>
      </w:rPr>
      <w:tab/>
    </w:r>
    <w:r w:rsidRPr="00630DE1">
      <w:rPr>
        <w:rFonts w:ascii="Arial" w:eastAsia="Calibri" w:hAnsi="Arial" w:cs="Arial"/>
        <w:noProof/>
        <w:szCs w:val="24"/>
      </w:rPr>
      <w:fldChar w:fldCharType="begin"/>
    </w:r>
    <w:r w:rsidRPr="00630DE1">
      <w:rPr>
        <w:rFonts w:ascii="Arial" w:eastAsia="Calibri" w:hAnsi="Arial" w:cs="Arial"/>
        <w:noProof/>
        <w:szCs w:val="24"/>
      </w:rPr>
      <w:instrText xml:space="preserve"> PAGE   \* MERGEFORMAT </w:instrText>
    </w:r>
    <w:r w:rsidRPr="00630DE1">
      <w:rPr>
        <w:rFonts w:ascii="Arial" w:eastAsia="Calibri" w:hAnsi="Arial" w:cs="Arial"/>
        <w:noProof/>
        <w:szCs w:val="24"/>
      </w:rPr>
      <w:fldChar w:fldCharType="separate"/>
    </w:r>
    <w:r w:rsidRPr="00630DE1">
      <w:rPr>
        <w:rFonts w:ascii="Arial" w:eastAsia="Calibri" w:hAnsi="Arial" w:cs="Arial"/>
        <w:noProof/>
        <w:szCs w:val="24"/>
      </w:rPr>
      <w:t>1</w:t>
    </w:r>
    <w:r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70309" w14:textId="77777777" w:rsidR="00F37744" w:rsidRDefault="00F37744" w:rsidP="00817A32">
      <w:pPr>
        <w:spacing w:before="0" w:after="0" w:line="240" w:lineRule="auto"/>
      </w:pPr>
    </w:p>
  </w:footnote>
  <w:footnote w:type="continuationSeparator" w:id="0">
    <w:p w14:paraId="30E204E2" w14:textId="77777777" w:rsidR="00F37744" w:rsidRDefault="00F37744" w:rsidP="00817A32">
      <w:pPr>
        <w:spacing w:before="0" w:after="0" w:line="240" w:lineRule="auto"/>
      </w:pPr>
      <w:r>
        <w:continuationSeparator/>
      </w:r>
    </w:p>
  </w:footnote>
  <w:footnote w:id="1">
    <w:p w14:paraId="082422F1" w14:textId="77777777" w:rsidR="00693348" w:rsidRDefault="00693348" w:rsidP="00693348">
      <w:pPr>
        <w:pStyle w:val="FootnoteText"/>
      </w:pPr>
      <w:r w:rsidRPr="00EB277D">
        <w:rPr>
          <w:rStyle w:val="FootnoteReference"/>
          <w:rFonts w:ascii="Arial" w:hAnsi="Arial" w:cs="Arial"/>
        </w:rPr>
        <w:footnoteRef/>
      </w:r>
      <w:r w:rsidRPr="00EB277D">
        <w:rPr>
          <w:rFonts w:ascii="Arial" w:hAnsi="Arial" w:cs="Arial"/>
        </w:rPr>
        <w:t xml:space="preserve"> According to the latest survey results from the HQSC</w:t>
      </w:r>
      <w:r>
        <w:rPr>
          <w:rFonts w:ascii="Arial" w:hAnsi="Arial" w:cs="Arial"/>
        </w:rPr>
        <w:t xml:space="preserve"> </w:t>
      </w:r>
      <w:r w:rsidRPr="00EB277D">
        <w:rPr>
          <w:rFonts w:ascii="Arial" w:hAnsi="Arial" w:cs="Arial"/>
        </w:rPr>
        <w:t>adult primary care patient experience survey</w:t>
      </w:r>
      <w:r>
        <w:rPr>
          <w:rFonts w:ascii="Arial" w:hAnsi="Arial" w:cs="Arial"/>
        </w:rPr>
        <w:t xml:space="preserve">. </w:t>
      </w:r>
      <w:r w:rsidRPr="00EB277D">
        <w:rPr>
          <w:rFonts w:ascii="Arial" w:eastAsia="Arial" w:hAnsi="Arial" w:cs="Arial"/>
          <w:color w:val="FFFFFF" w:themeColor="background1"/>
        </w:rPr>
        <w:t>ult</w:t>
      </w:r>
      <w:r w:rsidRPr="6DF6BEE6">
        <w:rPr>
          <w:rFonts w:ascii="Arial" w:eastAsia="Arial" w:hAnsi="Arial" w:cs="Arial"/>
          <w:color w:val="FFFFFF" w:themeColor="background1"/>
          <w:sz w:val="24"/>
          <w:szCs w:val="24"/>
        </w:rPr>
        <w:t xml:space="preserve"> primary care patient experience survey</w:t>
      </w:r>
      <w:r>
        <w:t xml:space="preserve"> </w:t>
      </w:r>
      <w:r w:rsidRPr="6DF6BEE6">
        <w:rPr>
          <w:rFonts w:ascii="Arial" w:eastAsia="Arial" w:hAnsi="Arial" w:cs="Arial"/>
          <w:color w:val="FFFFFF" w:themeColor="background1"/>
          <w:sz w:val="24"/>
          <w:szCs w:val="24"/>
        </w:rPr>
        <w:t>adult primary care patient experience s</w:t>
      </w:r>
    </w:p>
  </w:footnote>
  <w:footnote w:id="2">
    <w:p w14:paraId="0C14E358" w14:textId="77777777" w:rsidR="005D0911" w:rsidRPr="003B77B1" w:rsidRDefault="005D0911" w:rsidP="005D0911">
      <w:pPr>
        <w:pStyle w:val="FootnoteText"/>
        <w:spacing w:line="259" w:lineRule="auto"/>
        <w:rPr>
          <w:rFonts w:ascii="Arial" w:hAnsi="Arial" w:cs="Arial"/>
        </w:rPr>
      </w:pPr>
      <w:r w:rsidRPr="003B77B1">
        <w:rPr>
          <w:rFonts w:ascii="Arial" w:hAnsi="Arial" w:cs="Arial"/>
          <w:vertAlign w:val="superscript"/>
        </w:rPr>
        <w:footnoteRef/>
      </w:r>
      <w:r>
        <w:rPr>
          <w:rFonts w:ascii="Arial" w:hAnsi="Arial" w:cs="Arial"/>
        </w:rPr>
        <w:t xml:space="preserve"> Measure taken from</w:t>
      </w:r>
      <w:r w:rsidRPr="003B77B1">
        <w:rPr>
          <w:rFonts w:ascii="Arial" w:hAnsi="Arial" w:cs="Arial"/>
        </w:rPr>
        <w:t xml:space="preserve"> Statement of Performance Expectation (SPE 2022-23)- Output Class 2: Primary and Community Services. </w:t>
      </w:r>
    </w:p>
  </w:footnote>
  <w:footnote w:id="3">
    <w:p w14:paraId="18626A68" w14:textId="77777777" w:rsidR="005D0911" w:rsidRDefault="005D0911" w:rsidP="005D0911">
      <w:pPr>
        <w:pStyle w:val="FootnoteText"/>
      </w:pPr>
      <w:r>
        <w:rPr>
          <w:rStyle w:val="FootnoteReference"/>
        </w:rPr>
        <w:footnoteRef/>
      </w:r>
      <w:r>
        <w:t xml:space="preserve"> </w:t>
      </w:r>
      <w:r w:rsidRPr="003B77B1">
        <w:rPr>
          <w:rFonts w:ascii="Arial" w:hAnsi="Arial" w:cs="Arial"/>
        </w:rPr>
        <w:t>Due to variances between data sources used for the denominator population and the number of enrolled children, results may exceed 100% for this measure.</w:t>
      </w:r>
    </w:p>
  </w:footnote>
  <w:footnote w:id="4">
    <w:p w14:paraId="6E7ED0DC" w14:textId="77777777" w:rsidR="005D0911" w:rsidRPr="006349F8" w:rsidRDefault="005D0911" w:rsidP="005D0911">
      <w:pPr>
        <w:pStyle w:val="FootnoteText"/>
        <w:spacing w:line="259" w:lineRule="auto"/>
        <w:rPr>
          <w:rFonts w:cstheme="minorHAnsi"/>
        </w:rPr>
      </w:pPr>
      <w:r w:rsidRPr="003B77B1">
        <w:rPr>
          <w:rFonts w:ascii="Arial" w:hAnsi="Arial" w:cs="Arial"/>
          <w:vertAlign w:val="superscript"/>
        </w:rPr>
        <w:footnoteRef/>
      </w:r>
      <w:r>
        <w:rPr>
          <w:rFonts w:ascii="Arial" w:hAnsi="Arial" w:cs="Arial"/>
        </w:rPr>
        <w:t xml:space="preserve"> </w:t>
      </w:r>
      <w:r w:rsidRPr="003B77B1">
        <w:rPr>
          <w:rFonts w:ascii="Arial" w:hAnsi="Arial" w:cs="Arial"/>
        </w:rPr>
        <w:t>Data sourced from Health Quality Safety and Commission. Latest data is available up to May 2023 survey: https://reports.hqsc.govt.nz/</w:t>
      </w:r>
    </w:p>
  </w:footnote>
  <w:footnote w:id="5">
    <w:p w14:paraId="5E7B2F00" w14:textId="77777777" w:rsidR="0007612C" w:rsidRDefault="0007612C" w:rsidP="0007612C">
      <w:pPr>
        <w:pStyle w:val="FootnoteText"/>
      </w:pPr>
      <w:r>
        <w:rPr>
          <w:rStyle w:val="FootnoteReference"/>
        </w:rPr>
        <w:footnoteRef/>
      </w:r>
      <w:r>
        <w:t xml:space="preserve"> </w:t>
      </w:r>
      <w:r w:rsidRPr="00240006">
        <w:t>Asian</w:t>
      </w:r>
      <w:r>
        <w:t xml:space="preserve"> rates are not reported for</w:t>
      </w:r>
      <w:r w:rsidRPr="00240006">
        <w:t xml:space="preserve"> this measure.</w:t>
      </w:r>
    </w:p>
  </w:footnote>
  <w:footnote w:id="6">
    <w:p w14:paraId="17A92452" w14:textId="77777777" w:rsidR="0007612C" w:rsidRPr="00240006" w:rsidRDefault="0007612C" w:rsidP="0007612C">
      <w:pPr>
        <w:pStyle w:val="FootnoteText"/>
      </w:pPr>
      <w:r w:rsidRPr="005C1179">
        <w:rPr>
          <w:vertAlign w:val="superscript"/>
        </w:rPr>
        <w:footnoteRef/>
      </w:r>
      <w:r w:rsidRPr="005C1179">
        <w:rPr>
          <w:vertAlign w:val="superscript"/>
        </w:rPr>
        <w:t xml:space="preserve"> </w:t>
      </w:r>
      <w:r w:rsidRPr="00240006">
        <w:t xml:space="preserve">Measure taken from SPE 2023-2024 – Output class 3: Hospital and specialist Services. </w:t>
      </w:r>
    </w:p>
  </w:footnote>
  <w:footnote w:id="7">
    <w:p w14:paraId="4EE32293" w14:textId="77777777" w:rsidR="0007612C" w:rsidRDefault="0007612C" w:rsidP="0007612C">
      <w:pPr>
        <w:pStyle w:val="FootnoteText"/>
      </w:pPr>
      <w:r>
        <w:rPr>
          <w:rStyle w:val="FootnoteReference"/>
        </w:rPr>
        <w:footnoteRef/>
      </w:r>
      <w:r>
        <w:t xml:space="preserve"> Data sourced from Health Quality Safety Commission. Latest data is available up to May 2023 survey: </w:t>
      </w:r>
      <w:r w:rsidRPr="00124378">
        <w:t>https://reports.hqsc.govt.nz</w:t>
      </w:r>
    </w:p>
  </w:footnote>
  <w:footnote w:id="8">
    <w:p w14:paraId="4FB12FCA" w14:textId="77777777" w:rsidR="0007612C" w:rsidRPr="00D2433C" w:rsidRDefault="0007612C" w:rsidP="0007612C">
      <w:pPr>
        <w:pStyle w:val="FootnoteText"/>
        <w:rPr>
          <w:rFonts w:ascii="Arial" w:hAnsi="Arial" w:cs="Arial"/>
        </w:rPr>
      </w:pPr>
      <w:r w:rsidRPr="00D2433C">
        <w:rPr>
          <w:rStyle w:val="FootnoteReference"/>
          <w:rFonts w:ascii="Arial" w:hAnsi="Arial" w:cs="Arial"/>
        </w:rPr>
        <w:footnoteRef/>
      </w:r>
      <w:r w:rsidRPr="00D2433C">
        <w:rPr>
          <w:rFonts w:ascii="Arial" w:hAnsi="Arial" w:cs="Arial"/>
        </w:rPr>
        <w:t xml:space="preserve"> Measure taken from SPE 2023-2024 – Output Class 4: Oranga Hinengaro|Mental Health and addictions</w:t>
      </w:r>
    </w:p>
  </w:footnote>
  <w:footnote w:id="9">
    <w:p w14:paraId="0B83D7CB" w14:textId="77777777" w:rsidR="0007612C" w:rsidRDefault="0007612C" w:rsidP="0007612C">
      <w:pPr>
        <w:pStyle w:val="FootnoteText"/>
      </w:pPr>
      <w:r w:rsidRPr="00D2433C">
        <w:rPr>
          <w:rStyle w:val="FootnoteReference"/>
          <w:rFonts w:ascii="Arial" w:hAnsi="Arial" w:cs="Arial"/>
        </w:rPr>
        <w:footnoteRef/>
      </w:r>
      <w:r w:rsidRPr="00D2433C">
        <w:rPr>
          <w:rFonts w:ascii="Arial" w:hAnsi="Arial" w:cs="Arial"/>
        </w:rPr>
        <w:t xml:space="preserve"> This measure is part of Interim Government Policy Statement on Health 2022-24 (iGPS)</w:t>
      </w:r>
    </w:p>
  </w:footnote>
  <w:footnote w:id="10">
    <w:p w14:paraId="2F6F2500" w14:textId="77777777" w:rsidR="0007612C" w:rsidRDefault="0007612C" w:rsidP="0007612C">
      <w:pPr>
        <w:pStyle w:val="FootnoteText"/>
      </w:pPr>
      <w:r>
        <w:rPr>
          <w:rStyle w:val="FootnoteReference"/>
        </w:rPr>
        <w:footnoteRef/>
      </w:r>
      <w:r>
        <w:t xml:space="preserve"> This Measure is part of Whakamaua Plan</w:t>
      </w:r>
    </w:p>
  </w:footnote>
  <w:footnote w:id="11">
    <w:p w14:paraId="55EB5088" w14:textId="77777777" w:rsidR="0007612C" w:rsidRDefault="0007612C" w:rsidP="0007612C">
      <w:pPr>
        <w:pStyle w:val="FootnoteText"/>
      </w:pPr>
      <w:r>
        <w:rPr>
          <w:rStyle w:val="FootnoteReference"/>
        </w:rPr>
        <w:footnoteRef/>
      </w:r>
      <w:r>
        <w:t xml:space="preserve"> This Measure is part of Te Pae Tata Interim New Zealand Health Plan 2022.</w:t>
      </w:r>
    </w:p>
  </w:footnote>
  <w:footnote w:id="12">
    <w:p w14:paraId="6CFB07DA" w14:textId="77777777" w:rsidR="0007612C" w:rsidRDefault="0007612C" w:rsidP="0007612C">
      <w:pPr>
        <w:pStyle w:val="FootnoteText"/>
      </w:pPr>
      <w:r>
        <w:rPr>
          <w:rStyle w:val="FootnoteReference"/>
        </w:rPr>
        <w:footnoteRef/>
      </w:r>
      <w:r>
        <w:t xml:space="preserve"> Measure taken </w:t>
      </w:r>
      <w:r w:rsidRPr="00D2433C">
        <w:rPr>
          <w:rFonts w:ascii="Arial" w:hAnsi="Arial" w:cs="Arial"/>
        </w:rPr>
        <w:t>from SPE 2023-2024 – Output Class</w:t>
      </w:r>
      <w:r>
        <w:rPr>
          <w:rFonts w:ascii="Arial" w:hAnsi="Arial" w:cs="Arial"/>
        </w:rPr>
        <w:t xml:space="preserve"> 1: Public Health Services</w:t>
      </w:r>
    </w:p>
  </w:footnote>
  <w:footnote w:id="13">
    <w:p w14:paraId="3B372F3B" w14:textId="77777777" w:rsidR="0007612C" w:rsidRDefault="0007612C" w:rsidP="0007612C">
      <w:pPr>
        <w:pStyle w:val="FootnoteText"/>
      </w:pPr>
      <w:r>
        <w:rPr>
          <w:rStyle w:val="FootnoteReference"/>
        </w:rPr>
        <w:footnoteRef/>
      </w:r>
      <w:r>
        <w:t xml:space="preserve"> This measure is reported only in Quarter 1.</w:t>
      </w:r>
    </w:p>
  </w:footnote>
  <w:footnote w:id="14">
    <w:p w14:paraId="75E51845" w14:textId="77777777" w:rsidR="000D3205" w:rsidRDefault="000D3205" w:rsidP="000D3205">
      <w:pPr>
        <w:pStyle w:val="FootnoteText"/>
      </w:pPr>
      <w:r>
        <w:rPr>
          <w:rStyle w:val="FootnoteReference"/>
        </w:rPr>
        <w:footnoteRef/>
      </w:r>
      <w:r>
        <w:t xml:space="preserve"> Measure taken from SPE 2023-2024 – Output class 5: Capital Expenditure</w:t>
      </w:r>
    </w:p>
  </w:footnote>
  <w:footnote w:id="15">
    <w:p w14:paraId="02E89781" w14:textId="03AC5F6A" w:rsidR="007572D7" w:rsidRDefault="00640612" w:rsidP="007572D7">
      <w:r>
        <w:rPr>
          <w:rStyle w:val="FootnoteReference"/>
        </w:rPr>
        <w:footnoteRef/>
      </w:r>
      <w:r>
        <w:t xml:space="preserve"> </w:t>
      </w:r>
      <w:r w:rsidR="007572D7" w:rsidRPr="007572D7">
        <w:rPr>
          <w:sz w:val="20"/>
          <w:szCs w:val="18"/>
        </w:rPr>
        <w:t>Corrected figure. In the original published version of this report, this was recorded as $1-2 billion. This was a typo, as the “1-2“ was incorrectly entered instead of “1/2,” which was intended to mean “half.</w:t>
      </w:r>
    </w:p>
    <w:p w14:paraId="61C025B9" w14:textId="3008D840" w:rsidR="00640612" w:rsidRDefault="00640612">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E7CC03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271532E"/>
    <w:multiLevelType w:val="hybridMultilevel"/>
    <w:tmpl w:val="337C748A"/>
    <w:lvl w:ilvl="0" w:tplc="A9FC98B4">
      <w:start w:val="1"/>
      <w:numFmt w:val="bullet"/>
      <w:lvlText w:val=""/>
      <w:lvlJc w:val="left"/>
      <w:pPr>
        <w:ind w:left="360" w:hanging="360"/>
      </w:pPr>
      <w:rPr>
        <w:rFonts w:ascii="Symbol" w:hAnsi="Symbol" w:hint="default"/>
        <w:sz w:val="22"/>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 w15:restartNumberingAfterBreak="0">
    <w:nsid w:val="07126D00"/>
    <w:multiLevelType w:val="hybridMultilevel"/>
    <w:tmpl w:val="DD5CA0B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7" w15:restartNumberingAfterBreak="0">
    <w:nsid w:val="07B60597"/>
    <w:multiLevelType w:val="hybridMultilevel"/>
    <w:tmpl w:val="F6FCB0AC"/>
    <w:lvl w:ilvl="0" w:tplc="274C0DA0">
      <w:start w:val="1"/>
      <w:numFmt w:val="bullet"/>
      <w:lvlText w:val=""/>
      <w:lvlJc w:val="left"/>
      <w:pPr>
        <w:ind w:left="720" w:hanging="360"/>
      </w:pPr>
      <w:rPr>
        <w:rFonts w:ascii="Symbol" w:hAnsi="Symbol" w:hint="default"/>
        <w:color w:val="000000" w:themeColor="text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F456C20"/>
    <w:multiLevelType w:val="hybridMultilevel"/>
    <w:tmpl w:val="4A1431CA"/>
    <w:lvl w:ilvl="0" w:tplc="A9FC98B4">
      <w:start w:val="1"/>
      <w:numFmt w:val="bullet"/>
      <w:lvlText w:val=""/>
      <w:lvlJc w:val="left"/>
      <w:pPr>
        <w:ind w:left="360" w:hanging="360"/>
      </w:pPr>
      <w:rPr>
        <w:rFonts w:ascii="Symbol" w:hAnsi="Symbol" w:hint="default"/>
        <w:sz w:val="22"/>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0" w15:restartNumberingAfterBreak="0">
    <w:nsid w:val="1538344A"/>
    <w:multiLevelType w:val="hybridMultilevel"/>
    <w:tmpl w:val="4F48CBF4"/>
    <w:lvl w:ilvl="0" w:tplc="A9FC98B4">
      <w:start w:val="1"/>
      <w:numFmt w:val="bullet"/>
      <w:lvlText w:val=""/>
      <w:lvlJc w:val="left"/>
      <w:pPr>
        <w:ind w:left="360" w:hanging="360"/>
      </w:pPr>
      <w:rPr>
        <w:rFonts w:ascii="Symbol" w:hAnsi="Symbol" w:hint="default"/>
        <w:sz w:val="22"/>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1E1C5BDC"/>
    <w:multiLevelType w:val="hybridMultilevel"/>
    <w:tmpl w:val="7E621402"/>
    <w:lvl w:ilvl="0" w:tplc="14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07D097E"/>
    <w:multiLevelType w:val="hybridMultilevel"/>
    <w:tmpl w:val="9AECDF3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3"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9BA034A"/>
    <w:multiLevelType w:val="hybridMultilevel"/>
    <w:tmpl w:val="D93ED79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5" w15:restartNumberingAfterBreak="0">
    <w:nsid w:val="52AB2263"/>
    <w:multiLevelType w:val="hybridMultilevel"/>
    <w:tmpl w:val="1A2A0E8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6" w15:restartNumberingAfterBreak="0">
    <w:nsid w:val="610248B9"/>
    <w:multiLevelType w:val="hybridMultilevel"/>
    <w:tmpl w:val="26B6777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7D434A82"/>
    <w:multiLevelType w:val="hybridMultilevel"/>
    <w:tmpl w:val="1FA8B22C"/>
    <w:lvl w:ilvl="0" w:tplc="A9FC98B4">
      <w:start w:val="1"/>
      <w:numFmt w:val="bullet"/>
      <w:lvlText w:val=""/>
      <w:lvlJc w:val="left"/>
      <w:pPr>
        <w:ind w:left="360" w:hanging="360"/>
      </w:pPr>
      <w:rPr>
        <w:rFonts w:ascii="Symbol" w:hAnsi="Symbol" w:hint="default"/>
        <w:sz w:val="22"/>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8" w15:restartNumberingAfterBreak="0">
    <w:nsid w:val="7FBA5D69"/>
    <w:multiLevelType w:val="hybridMultilevel"/>
    <w:tmpl w:val="218A1A42"/>
    <w:lvl w:ilvl="0" w:tplc="1944A4C6">
      <w:numFmt w:val="bullet"/>
      <w:lvlText w:val="•"/>
      <w:lvlJc w:val="left"/>
      <w:pPr>
        <w:ind w:left="555" w:hanging="555"/>
      </w:pPr>
      <w:rPr>
        <w:rFonts w:ascii="Calibri" w:eastAsia="Calibri" w:hAnsi="Calibri" w:cs="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492260383">
    <w:abstractNumId w:val="13"/>
  </w:num>
  <w:num w:numId="2" w16cid:durableId="57560882">
    <w:abstractNumId w:val="4"/>
  </w:num>
  <w:num w:numId="3" w16cid:durableId="92015138">
    <w:abstractNumId w:val="2"/>
  </w:num>
  <w:num w:numId="4" w16cid:durableId="1626887493">
    <w:abstractNumId w:val="1"/>
  </w:num>
  <w:num w:numId="5" w16cid:durableId="46028394">
    <w:abstractNumId w:val="3"/>
  </w:num>
  <w:num w:numId="6" w16cid:durableId="1625379208">
    <w:abstractNumId w:val="0"/>
  </w:num>
  <w:num w:numId="7" w16cid:durableId="1978140536">
    <w:abstractNumId w:val="9"/>
  </w:num>
  <w:num w:numId="8" w16cid:durableId="388383465">
    <w:abstractNumId w:val="14"/>
  </w:num>
  <w:num w:numId="9" w16cid:durableId="1828353384">
    <w:abstractNumId w:val="12"/>
  </w:num>
  <w:num w:numId="10" w16cid:durableId="1169060597">
    <w:abstractNumId w:val="6"/>
  </w:num>
  <w:num w:numId="11" w16cid:durableId="372121763">
    <w:abstractNumId w:val="15"/>
  </w:num>
  <w:num w:numId="12" w16cid:durableId="1430542860">
    <w:abstractNumId w:val="11"/>
    <w:lvlOverride w:ilvl="0">
      <w:startOverride w:val="1"/>
    </w:lvlOverride>
    <w:lvlOverride w:ilvl="1"/>
    <w:lvlOverride w:ilvl="2"/>
    <w:lvlOverride w:ilvl="3"/>
    <w:lvlOverride w:ilvl="4"/>
    <w:lvlOverride w:ilvl="5"/>
    <w:lvlOverride w:ilvl="6"/>
    <w:lvlOverride w:ilvl="7"/>
    <w:lvlOverride w:ilvl="8"/>
  </w:num>
  <w:num w:numId="13" w16cid:durableId="1380207454">
    <w:abstractNumId w:val="5"/>
  </w:num>
  <w:num w:numId="14" w16cid:durableId="619144727">
    <w:abstractNumId w:val="16"/>
  </w:num>
  <w:num w:numId="15" w16cid:durableId="528493373">
    <w:abstractNumId w:val="17"/>
  </w:num>
  <w:num w:numId="16" w16cid:durableId="1675495723">
    <w:abstractNumId w:val="8"/>
  </w:num>
  <w:num w:numId="17" w16cid:durableId="177044998">
    <w:abstractNumId w:val="10"/>
  </w:num>
  <w:num w:numId="18" w16cid:durableId="957373036">
    <w:abstractNumId w:val="18"/>
  </w:num>
  <w:num w:numId="19" w16cid:durableId="1643777474">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89D"/>
    <w:rsid w:val="000041C6"/>
    <w:rsid w:val="0000428D"/>
    <w:rsid w:val="0001104F"/>
    <w:rsid w:val="00013C3F"/>
    <w:rsid w:val="00014BB0"/>
    <w:rsid w:val="00015913"/>
    <w:rsid w:val="00020996"/>
    <w:rsid w:val="00040E69"/>
    <w:rsid w:val="00042F73"/>
    <w:rsid w:val="00046184"/>
    <w:rsid w:val="00046477"/>
    <w:rsid w:val="00062143"/>
    <w:rsid w:val="000670B0"/>
    <w:rsid w:val="0007146D"/>
    <w:rsid w:val="0007612C"/>
    <w:rsid w:val="000879FC"/>
    <w:rsid w:val="000960F6"/>
    <w:rsid w:val="000A5357"/>
    <w:rsid w:val="000A61C6"/>
    <w:rsid w:val="000B6CF5"/>
    <w:rsid w:val="000C7CFE"/>
    <w:rsid w:val="000D0501"/>
    <w:rsid w:val="000D3205"/>
    <w:rsid w:val="000D3BB8"/>
    <w:rsid w:val="000E0616"/>
    <w:rsid w:val="000E1A18"/>
    <w:rsid w:val="000E57EE"/>
    <w:rsid w:val="000E7959"/>
    <w:rsid w:val="000F5EBB"/>
    <w:rsid w:val="00100B26"/>
    <w:rsid w:val="00100EEE"/>
    <w:rsid w:val="00102865"/>
    <w:rsid w:val="00113A45"/>
    <w:rsid w:val="00122EEE"/>
    <w:rsid w:val="001254B6"/>
    <w:rsid w:val="0013179B"/>
    <w:rsid w:val="001347BB"/>
    <w:rsid w:val="001415FE"/>
    <w:rsid w:val="00157A59"/>
    <w:rsid w:val="00163894"/>
    <w:rsid w:val="0017043C"/>
    <w:rsid w:val="00181F5B"/>
    <w:rsid w:val="001B04C9"/>
    <w:rsid w:val="001B68FD"/>
    <w:rsid w:val="001B6AB4"/>
    <w:rsid w:val="001C37CA"/>
    <w:rsid w:val="001C7F68"/>
    <w:rsid w:val="001F2268"/>
    <w:rsid w:val="001F22EA"/>
    <w:rsid w:val="00203C6D"/>
    <w:rsid w:val="002108F2"/>
    <w:rsid w:val="0021754B"/>
    <w:rsid w:val="00222274"/>
    <w:rsid w:val="0022240C"/>
    <w:rsid w:val="00223CCB"/>
    <w:rsid w:val="00234B34"/>
    <w:rsid w:val="00236336"/>
    <w:rsid w:val="00257CAF"/>
    <w:rsid w:val="002614FC"/>
    <w:rsid w:val="00271827"/>
    <w:rsid w:val="002823AF"/>
    <w:rsid w:val="00284E53"/>
    <w:rsid w:val="00294A4B"/>
    <w:rsid w:val="0029527C"/>
    <w:rsid w:val="002A7438"/>
    <w:rsid w:val="002C1FF2"/>
    <w:rsid w:val="002C6EEA"/>
    <w:rsid w:val="002E0093"/>
    <w:rsid w:val="002E5FFE"/>
    <w:rsid w:val="002F22C2"/>
    <w:rsid w:val="002F53A0"/>
    <w:rsid w:val="002F7B91"/>
    <w:rsid w:val="00332DA5"/>
    <w:rsid w:val="00334C9B"/>
    <w:rsid w:val="00352BAB"/>
    <w:rsid w:val="00355CEE"/>
    <w:rsid w:val="00380567"/>
    <w:rsid w:val="0038189D"/>
    <w:rsid w:val="00387816"/>
    <w:rsid w:val="003C32B3"/>
    <w:rsid w:val="003C686F"/>
    <w:rsid w:val="003D077E"/>
    <w:rsid w:val="003E5D44"/>
    <w:rsid w:val="003E5DE9"/>
    <w:rsid w:val="003F70B0"/>
    <w:rsid w:val="004017E8"/>
    <w:rsid w:val="0040248A"/>
    <w:rsid w:val="00405B71"/>
    <w:rsid w:val="00407875"/>
    <w:rsid w:val="004111EB"/>
    <w:rsid w:val="004129CA"/>
    <w:rsid w:val="0041354B"/>
    <w:rsid w:val="00413EB0"/>
    <w:rsid w:val="00421FFB"/>
    <w:rsid w:val="00422623"/>
    <w:rsid w:val="0042482E"/>
    <w:rsid w:val="0043161D"/>
    <w:rsid w:val="0044629B"/>
    <w:rsid w:val="00446AB9"/>
    <w:rsid w:val="00450445"/>
    <w:rsid w:val="0047298D"/>
    <w:rsid w:val="004747D9"/>
    <w:rsid w:val="004753F0"/>
    <w:rsid w:val="00482345"/>
    <w:rsid w:val="00482E41"/>
    <w:rsid w:val="00494F56"/>
    <w:rsid w:val="00496912"/>
    <w:rsid w:val="004C2E5B"/>
    <w:rsid w:val="004C5D39"/>
    <w:rsid w:val="004E25D1"/>
    <w:rsid w:val="004F162C"/>
    <w:rsid w:val="004F63EF"/>
    <w:rsid w:val="00506C76"/>
    <w:rsid w:val="00507B01"/>
    <w:rsid w:val="005113A7"/>
    <w:rsid w:val="00511C5E"/>
    <w:rsid w:val="00524EC9"/>
    <w:rsid w:val="00531A6B"/>
    <w:rsid w:val="00533781"/>
    <w:rsid w:val="005361F0"/>
    <w:rsid w:val="00540D09"/>
    <w:rsid w:val="005410BD"/>
    <w:rsid w:val="0054390A"/>
    <w:rsid w:val="00546454"/>
    <w:rsid w:val="00546C38"/>
    <w:rsid w:val="00550554"/>
    <w:rsid w:val="005514BE"/>
    <w:rsid w:val="00551949"/>
    <w:rsid w:val="00552FFE"/>
    <w:rsid w:val="005561E4"/>
    <w:rsid w:val="00563217"/>
    <w:rsid w:val="00565AEF"/>
    <w:rsid w:val="00577804"/>
    <w:rsid w:val="0058508B"/>
    <w:rsid w:val="005938BD"/>
    <w:rsid w:val="005A070B"/>
    <w:rsid w:val="005B2D3C"/>
    <w:rsid w:val="005C1AD1"/>
    <w:rsid w:val="005C29DC"/>
    <w:rsid w:val="005C3D87"/>
    <w:rsid w:val="005C4DCA"/>
    <w:rsid w:val="005D0911"/>
    <w:rsid w:val="005D29BE"/>
    <w:rsid w:val="005D57AE"/>
    <w:rsid w:val="005D5862"/>
    <w:rsid w:val="005D5E35"/>
    <w:rsid w:val="005D6300"/>
    <w:rsid w:val="005E2A55"/>
    <w:rsid w:val="00607D5B"/>
    <w:rsid w:val="006142E2"/>
    <w:rsid w:val="00630DE1"/>
    <w:rsid w:val="00632168"/>
    <w:rsid w:val="00640612"/>
    <w:rsid w:val="00643010"/>
    <w:rsid w:val="0064597E"/>
    <w:rsid w:val="00651DAD"/>
    <w:rsid w:val="00657D55"/>
    <w:rsid w:val="0067304A"/>
    <w:rsid w:val="006738E6"/>
    <w:rsid w:val="00681F0B"/>
    <w:rsid w:val="00683639"/>
    <w:rsid w:val="00693348"/>
    <w:rsid w:val="00693694"/>
    <w:rsid w:val="00697A11"/>
    <w:rsid w:val="006B3D9C"/>
    <w:rsid w:val="006D161E"/>
    <w:rsid w:val="006E4B2A"/>
    <w:rsid w:val="006E72AC"/>
    <w:rsid w:val="006F0454"/>
    <w:rsid w:val="006F10E2"/>
    <w:rsid w:val="007121A5"/>
    <w:rsid w:val="00725B99"/>
    <w:rsid w:val="00727569"/>
    <w:rsid w:val="007406DD"/>
    <w:rsid w:val="007442AE"/>
    <w:rsid w:val="007460ED"/>
    <w:rsid w:val="00747E54"/>
    <w:rsid w:val="007572D7"/>
    <w:rsid w:val="00763A15"/>
    <w:rsid w:val="007676B6"/>
    <w:rsid w:val="00773F36"/>
    <w:rsid w:val="0077625A"/>
    <w:rsid w:val="00777FF5"/>
    <w:rsid w:val="0079538A"/>
    <w:rsid w:val="007A2B86"/>
    <w:rsid w:val="007A3BBA"/>
    <w:rsid w:val="007B3207"/>
    <w:rsid w:val="007B72DD"/>
    <w:rsid w:val="007C48C5"/>
    <w:rsid w:val="007D42F5"/>
    <w:rsid w:val="007F406C"/>
    <w:rsid w:val="00801BB3"/>
    <w:rsid w:val="00802846"/>
    <w:rsid w:val="00811C1D"/>
    <w:rsid w:val="00815E07"/>
    <w:rsid w:val="00817A32"/>
    <w:rsid w:val="0083545F"/>
    <w:rsid w:val="00837A9D"/>
    <w:rsid w:val="00846E1E"/>
    <w:rsid w:val="00847867"/>
    <w:rsid w:val="00852A28"/>
    <w:rsid w:val="00866A34"/>
    <w:rsid w:val="0087795F"/>
    <w:rsid w:val="008901C6"/>
    <w:rsid w:val="008B09BA"/>
    <w:rsid w:val="008B1498"/>
    <w:rsid w:val="008B6025"/>
    <w:rsid w:val="008B68E4"/>
    <w:rsid w:val="008C362D"/>
    <w:rsid w:val="008C7A35"/>
    <w:rsid w:val="008D15C3"/>
    <w:rsid w:val="008D31A2"/>
    <w:rsid w:val="008D78D9"/>
    <w:rsid w:val="00900768"/>
    <w:rsid w:val="00900E23"/>
    <w:rsid w:val="00905AC9"/>
    <w:rsid w:val="00906E86"/>
    <w:rsid w:val="0091475A"/>
    <w:rsid w:val="0092286A"/>
    <w:rsid w:val="00945A39"/>
    <w:rsid w:val="00945CDE"/>
    <w:rsid w:val="00964DD6"/>
    <w:rsid w:val="00981DEB"/>
    <w:rsid w:val="00986AC3"/>
    <w:rsid w:val="00991B77"/>
    <w:rsid w:val="009A13CD"/>
    <w:rsid w:val="009A338E"/>
    <w:rsid w:val="009B2B4A"/>
    <w:rsid w:val="009B6283"/>
    <w:rsid w:val="009C155A"/>
    <w:rsid w:val="009D00A9"/>
    <w:rsid w:val="009D1883"/>
    <w:rsid w:val="009D4959"/>
    <w:rsid w:val="009D661D"/>
    <w:rsid w:val="009E072E"/>
    <w:rsid w:val="009E0F6D"/>
    <w:rsid w:val="009E2018"/>
    <w:rsid w:val="009F43BF"/>
    <w:rsid w:val="00A2414D"/>
    <w:rsid w:val="00A43C79"/>
    <w:rsid w:val="00A44CB3"/>
    <w:rsid w:val="00A667A6"/>
    <w:rsid w:val="00A749EE"/>
    <w:rsid w:val="00A77327"/>
    <w:rsid w:val="00A81E4D"/>
    <w:rsid w:val="00A82BA4"/>
    <w:rsid w:val="00A84390"/>
    <w:rsid w:val="00A85B39"/>
    <w:rsid w:val="00A92AD5"/>
    <w:rsid w:val="00A93072"/>
    <w:rsid w:val="00A93230"/>
    <w:rsid w:val="00A95C80"/>
    <w:rsid w:val="00AA4E02"/>
    <w:rsid w:val="00AC2DEA"/>
    <w:rsid w:val="00AC4C49"/>
    <w:rsid w:val="00AD7F0D"/>
    <w:rsid w:val="00AE090C"/>
    <w:rsid w:val="00AE1E3F"/>
    <w:rsid w:val="00AE702D"/>
    <w:rsid w:val="00AF531B"/>
    <w:rsid w:val="00B07C76"/>
    <w:rsid w:val="00B222B6"/>
    <w:rsid w:val="00B279F6"/>
    <w:rsid w:val="00B31001"/>
    <w:rsid w:val="00B441BA"/>
    <w:rsid w:val="00B51096"/>
    <w:rsid w:val="00B623AD"/>
    <w:rsid w:val="00B62640"/>
    <w:rsid w:val="00B70030"/>
    <w:rsid w:val="00B73FAA"/>
    <w:rsid w:val="00B75F7F"/>
    <w:rsid w:val="00B7768A"/>
    <w:rsid w:val="00B8144C"/>
    <w:rsid w:val="00B83512"/>
    <w:rsid w:val="00B83BEA"/>
    <w:rsid w:val="00BA02F8"/>
    <w:rsid w:val="00BA18B4"/>
    <w:rsid w:val="00BA421E"/>
    <w:rsid w:val="00BA6130"/>
    <w:rsid w:val="00BB6E0B"/>
    <w:rsid w:val="00BC2713"/>
    <w:rsid w:val="00BD1E50"/>
    <w:rsid w:val="00BD40C4"/>
    <w:rsid w:val="00BE0B66"/>
    <w:rsid w:val="00BF3381"/>
    <w:rsid w:val="00BF4C86"/>
    <w:rsid w:val="00C0313E"/>
    <w:rsid w:val="00C033FA"/>
    <w:rsid w:val="00C10544"/>
    <w:rsid w:val="00C16D2F"/>
    <w:rsid w:val="00C25DD0"/>
    <w:rsid w:val="00C32FDF"/>
    <w:rsid w:val="00C40946"/>
    <w:rsid w:val="00C4789E"/>
    <w:rsid w:val="00C54690"/>
    <w:rsid w:val="00C55D3D"/>
    <w:rsid w:val="00C63DCC"/>
    <w:rsid w:val="00C674EE"/>
    <w:rsid w:val="00C67B79"/>
    <w:rsid w:val="00C95944"/>
    <w:rsid w:val="00CA484D"/>
    <w:rsid w:val="00CC0716"/>
    <w:rsid w:val="00CE0F64"/>
    <w:rsid w:val="00CE3108"/>
    <w:rsid w:val="00D0703D"/>
    <w:rsid w:val="00D31439"/>
    <w:rsid w:val="00D330D1"/>
    <w:rsid w:val="00D33BCA"/>
    <w:rsid w:val="00D36828"/>
    <w:rsid w:val="00D452BB"/>
    <w:rsid w:val="00D50B7E"/>
    <w:rsid w:val="00D60B72"/>
    <w:rsid w:val="00D628E7"/>
    <w:rsid w:val="00D66CEC"/>
    <w:rsid w:val="00D83E27"/>
    <w:rsid w:val="00D955CA"/>
    <w:rsid w:val="00DB4F87"/>
    <w:rsid w:val="00DE334F"/>
    <w:rsid w:val="00DF3B42"/>
    <w:rsid w:val="00DF4C14"/>
    <w:rsid w:val="00E16285"/>
    <w:rsid w:val="00E16976"/>
    <w:rsid w:val="00E515C2"/>
    <w:rsid w:val="00E62E57"/>
    <w:rsid w:val="00E7131F"/>
    <w:rsid w:val="00E81611"/>
    <w:rsid w:val="00E824EA"/>
    <w:rsid w:val="00E866BB"/>
    <w:rsid w:val="00E92FE9"/>
    <w:rsid w:val="00E9573D"/>
    <w:rsid w:val="00E960D6"/>
    <w:rsid w:val="00EB0851"/>
    <w:rsid w:val="00EB2619"/>
    <w:rsid w:val="00ED0E3D"/>
    <w:rsid w:val="00ED4008"/>
    <w:rsid w:val="00ED4D2D"/>
    <w:rsid w:val="00EF65BC"/>
    <w:rsid w:val="00F05372"/>
    <w:rsid w:val="00F079F2"/>
    <w:rsid w:val="00F10DE1"/>
    <w:rsid w:val="00F24784"/>
    <w:rsid w:val="00F27DCD"/>
    <w:rsid w:val="00F37744"/>
    <w:rsid w:val="00F61259"/>
    <w:rsid w:val="00F61980"/>
    <w:rsid w:val="00F6295A"/>
    <w:rsid w:val="00F86411"/>
    <w:rsid w:val="00F91E73"/>
    <w:rsid w:val="00FC75EB"/>
    <w:rsid w:val="00FE282C"/>
    <w:rsid w:val="00FF0F1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0C7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A28"/>
    <w:pPr>
      <w:spacing w:before="120" w:after="240" w:line="288" w:lineRule="auto"/>
    </w:pPr>
    <w:rPr>
      <w:sz w:val="24"/>
    </w:rPr>
  </w:style>
  <w:style w:type="paragraph" w:styleId="Heading1">
    <w:name w:val="heading 1"/>
    <w:basedOn w:val="Normal"/>
    <w:next w:val="Normal"/>
    <w:link w:val="Heading1Char"/>
    <w:uiPriority w:val="9"/>
    <w:qFormat/>
    <w:rsid w:val="005938BD"/>
    <w:pPr>
      <w:keepNext/>
      <w:keepLines/>
      <w:spacing w:before="480" w:after="120"/>
      <w:outlineLvl w:val="0"/>
    </w:pPr>
    <w:rPr>
      <w:rFonts w:asciiTheme="majorHAnsi" w:eastAsiaTheme="majorEastAsia" w:hAnsiTheme="majorHAnsi" w:cstheme="majorBidi"/>
      <w:b/>
      <w:color w:val="1C2549" w:themeColor="text2"/>
      <w:sz w:val="72"/>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5938BD"/>
    <w:rPr>
      <w:rFonts w:asciiTheme="majorHAnsi" w:eastAsiaTheme="majorEastAsia" w:hAnsiTheme="majorHAnsi" w:cstheme="majorBidi"/>
      <w:b/>
      <w:color w:val="1C2549" w:themeColor="text2"/>
      <w:sz w:val="72"/>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3C686F"/>
    <w:pPr>
      <w:tabs>
        <w:tab w:val="left" w:pos="567"/>
        <w:tab w:val="right" w:pos="9628"/>
      </w:tabs>
      <w:spacing w:before="300" w:after="100"/>
    </w:pPr>
    <w:rPr>
      <w:b/>
    </w:rPr>
  </w:style>
  <w:style w:type="paragraph" w:styleId="TOC2">
    <w:name w:val="toc 2"/>
    <w:basedOn w:val="Normal"/>
    <w:next w:val="Normal"/>
    <w:autoRedefine/>
    <w:uiPriority w:val="39"/>
    <w:rsid w:val="00B07C76"/>
    <w:pPr>
      <w:tabs>
        <w:tab w:val="left" w:pos="880"/>
        <w:tab w:val="right" w:pos="9628"/>
      </w:tabs>
      <w:spacing w:after="100"/>
      <w:ind w:left="567"/>
    </w:pPr>
  </w:style>
  <w:style w:type="paragraph" w:styleId="TOC3">
    <w:name w:val="toc 3"/>
    <w:basedOn w:val="Normal"/>
    <w:next w:val="Normal"/>
    <w:autoRedefine/>
    <w:uiPriority w:val="39"/>
    <w:semiHidden/>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clear" w:pos="360"/>
        <w:tab w:val="left" w:pos="425"/>
      </w:tabs>
      <w:spacing w:after="120"/>
      <w:ind w:left="425" w:hanging="425"/>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7"/>
      </w:numPr>
      <w:ind w:left="527" w:hanging="357"/>
    </w:pPr>
  </w:style>
  <w:style w:type="paragraph" w:styleId="ListParagraph">
    <w:name w:val="List Paragraph"/>
    <w:aliases w:val="Bullet Normal,Rec para,List Paragraph1,List Paragraph11,List Level 1,Paragraph Lvl1,Level 3,List Paragraph numbered,List Bullet indent,Normal text,numbered,FooterText,Paragraphe de liste1,Bulletr List Paragraph,列出段落,列出段落1,Bullet List,L"/>
    <w:basedOn w:val="Normal"/>
    <w:link w:val="ListParagraphChar"/>
    <w:uiPriority w:val="34"/>
    <w:qFormat/>
    <w:rsid w:val="0038189D"/>
    <w:pPr>
      <w:spacing w:before="0" w:after="160" w:line="259" w:lineRule="auto"/>
      <w:ind w:left="720"/>
      <w:contextualSpacing/>
    </w:pPr>
    <w:rPr>
      <w:sz w:val="22"/>
    </w:rPr>
  </w:style>
  <w:style w:type="character" w:customStyle="1" w:styleId="ListParagraphChar">
    <w:name w:val="List Paragraph Char"/>
    <w:aliases w:val="Bullet Normal Char,Rec para Char,List Paragraph1 Char,List Paragraph11 Char,List Level 1 Char,Paragraph Lvl1 Char,Level 3 Char,List Paragraph numbered Char,List Bullet indent Char,Normal text Char,numbered Char,FooterText Char,L Char"/>
    <w:basedOn w:val="DefaultParagraphFont"/>
    <w:link w:val="ListParagraph"/>
    <w:uiPriority w:val="34"/>
    <w:qFormat/>
    <w:rsid w:val="0038189D"/>
  </w:style>
  <w:style w:type="table" w:styleId="TableGridLight">
    <w:name w:val="Grid Table Light"/>
    <w:basedOn w:val="TableNormal"/>
    <w:uiPriority w:val="40"/>
    <w:rsid w:val="005D091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5">
    <w:name w:val="Grid Table 2 Accent 5"/>
    <w:basedOn w:val="TableNormal"/>
    <w:uiPriority w:val="47"/>
    <w:rsid w:val="005D0911"/>
    <w:pPr>
      <w:spacing w:after="0" w:line="240" w:lineRule="auto"/>
    </w:pPr>
    <w:tblPr>
      <w:tblStyleRowBandSize w:val="1"/>
      <w:tblStyleColBandSize w:val="1"/>
      <w:tblBorders>
        <w:top w:val="single" w:sz="2" w:space="0" w:color="34F3FF" w:themeColor="accent5" w:themeTint="99"/>
        <w:bottom w:val="single" w:sz="2" w:space="0" w:color="34F3FF" w:themeColor="accent5" w:themeTint="99"/>
        <w:insideH w:val="single" w:sz="2" w:space="0" w:color="34F3FF" w:themeColor="accent5" w:themeTint="99"/>
        <w:insideV w:val="single" w:sz="2" w:space="0" w:color="34F3FF" w:themeColor="accent5" w:themeTint="99"/>
      </w:tblBorders>
    </w:tblPr>
    <w:tblStylePr w:type="firstRow">
      <w:rPr>
        <w:b/>
        <w:bCs/>
      </w:rPr>
      <w:tblPr/>
      <w:tcPr>
        <w:tcBorders>
          <w:top w:val="nil"/>
          <w:bottom w:val="single" w:sz="12" w:space="0" w:color="34F3FF" w:themeColor="accent5" w:themeTint="99"/>
          <w:insideH w:val="nil"/>
          <w:insideV w:val="nil"/>
        </w:tcBorders>
        <w:shd w:val="clear" w:color="auto" w:fill="FFFFFF" w:themeFill="background1"/>
      </w:tcPr>
    </w:tblStylePr>
    <w:tblStylePr w:type="lastRow">
      <w:rPr>
        <w:b/>
        <w:bCs/>
      </w:rPr>
      <w:tblPr/>
      <w:tcPr>
        <w:tcBorders>
          <w:top w:val="double" w:sz="2" w:space="0" w:color="34F3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BFBFF" w:themeFill="accent5" w:themeFillTint="33"/>
      </w:tcPr>
    </w:tblStylePr>
    <w:tblStylePr w:type="band1Horz">
      <w:tblPr/>
      <w:tcPr>
        <w:shd w:val="clear" w:color="auto" w:fill="BBFBFF" w:themeFill="accent5" w:themeFillTint="33"/>
      </w:tcPr>
    </w:tblStylePr>
  </w:style>
  <w:style w:type="table" w:styleId="ListTable3-Accent1">
    <w:name w:val="List Table 3 Accent 1"/>
    <w:basedOn w:val="TableNormal"/>
    <w:uiPriority w:val="48"/>
    <w:rsid w:val="00F05372"/>
    <w:pPr>
      <w:spacing w:after="0" w:line="240" w:lineRule="auto"/>
    </w:pPr>
    <w:tblPr>
      <w:tblStyleRowBandSize w:val="1"/>
      <w:tblStyleColBandSize w:val="1"/>
      <w:tblBorders>
        <w:top w:val="single" w:sz="4" w:space="0" w:color="00558C" w:themeColor="accent1"/>
        <w:left w:val="single" w:sz="4" w:space="0" w:color="00558C" w:themeColor="accent1"/>
        <w:bottom w:val="single" w:sz="4" w:space="0" w:color="00558C" w:themeColor="accent1"/>
        <w:right w:val="single" w:sz="4" w:space="0" w:color="00558C" w:themeColor="accent1"/>
      </w:tblBorders>
    </w:tblPr>
    <w:tblStylePr w:type="firstRow">
      <w:rPr>
        <w:b/>
        <w:bCs/>
        <w:color w:val="FFFFFF" w:themeColor="background1"/>
      </w:rPr>
      <w:tblPr/>
      <w:tcPr>
        <w:shd w:val="clear" w:color="auto" w:fill="00558C" w:themeFill="accent1"/>
      </w:tcPr>
    </w:tblStylePr>
    <w:tblStylePr w:type="lastRow">
      <w:rPr>
        <w:b/>
        <w:bCs/>
      </w:rPr>
      <w:tblPr/>
      <w:tcPr>
        <w:tcBorders>
          <w:top w:val="double" w:sz="4" w:space="0" w:color="00558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58C" w:themeColor="accent1"/>
          <w:right w:val="single" w:sz="4" w:space="0" w:color="00558C" w:themeColor="accent1"/>
        </w:tcBorders>
      </w:tcPr>
    </w:tblStylePr>
    <w:tblStylePr w:type="band1Horz">
      <w:tblPr/>
      <w:tcPr>
        <w:tcBorders>
          <w:top w:val="single" w:sz="4" w:space="0" w:color="00558C" w:themeColor="accent1"/>
          <w:bottom w:val="single" w:sz="4" w:space="0" w:color="00558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58C" w:themeColor="accent1"/>
          <w:left w:val="nil"/>
        </w:tcBorders>
      </w:tcPr>
    </w:tblStylePr>
    <w:tblStylePr w:type="swCell">
      <w:tblPr/>
      <w:tcPr>
        <w:tcBorders>
          <w:top w:val="double" w:sz="4" w:space="0" w:color="00558C" w:themeColor="accent1"/>
          <w:right w:val="nil"/>
        </w:tcBorders>
      </w:tcPr>
    </w:tblStylePr>
  </w:style>
  <w:style w:type="table" w:styleId="ListTable3-Accent4">
    <w:name w:val="List Table 3 Accent 4"/>
    <w:basedOn w:val="TableNormal"/>
    <w:uiPriority w:val="48"/>
    <w:rsid w:val="00F05372"/>
    <w:pPr>
      <w:spacing w:after="0" w:line="240" w:lineRule="auto"/>
    </w:pPr>
    <w:tblPr>
      <w:tblStyleRowBandSize w:val="1"/>
      <w:tblStyleColBandSize w:val="1"/>
      <w:tblBorders>
        <w:top w:val="single" w:sz="4" w:space="0" w:color="F0E6D8" w:themeColor="accent4"/>
        <w:left w:val="single" w:sz="4" w:space="0" w:color="F0E6D8" w:themeColor="accent4"/>
        <w:bottom w:val="single" w:sz="4" w:space="0" w:color="F0E6D8" w:themeColor="accent4"/>
        <w:right w:val="single" w:sz="4" w:space="0" w:color="F0E6D8" w:themeColor="accent4"/>
      </w:tblBorders>
    </w:tblPr>
    <w:tblStylePr w:type="firstRow">
      <w:rPr>
        <w:b/>
        <w:bCs/>
        <w:color w:val="FFFFFF" w:themeColor="background1"/>
      </w:rPr>
      <w:tblPr/>
      <w:tcPr>
        <w:shd w:val="clear" w:color="auto" w:fill="F0E6D8" w:themeFill="accent4"/>
      </w:tcPr>
    </w:tblStylePr>
    <w:tblStylePr w:type="lastRow">
      <w:rPr>
        <w:b/>
        <w:bCs/>
      </w:rPr>
      <w:tblPr/>
      <w:tcPr>
        <w:tcBorders>
          <w:top w:val="double" w:sz="4" w:space="0" w:color="F0E6D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E6D8" w:themeColor="accent4"/>
          <w:right w:val="single" w:sz="4" w:space="0" w:color="F0E6D8" w:themeColor="accent4"/>
        </w:tcBorders>
      </w:tcPr>
    </w:tblStylePr>
    <w:tblStylePr w:type="band1Horz">
      <w:tblPr/>
      <w:tcPr>
        <w:tcBorders>
          <w:top w:val="single" w:sz="4" w:space="0" w:color="F0E6D8" w:themeColor="accent4"/>
          <w:bottom w:val="single" w:sz="4" w:space="0" w:color="F0E6D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E6D8" w:themeColor="accent4"/>
          <w:left w:val="nil"/>
        </w:tcBorders>
      </w:tcPr>
    </w:tblStylePr>
    <w:tblStylePr w:type="swCell">
      <w:tblPr/>
      <w:tcPr>
        <w:tcBorders>
          <w:top w:val="double" w:sz="4" w:space="0" w:color="F0E6D8" w:themeColor="accent4"/>
          <w:right w:val="nil"/>
        </w:tcBorders>
      </w:tcPr>
    </w:tblStylePr>
  </w:style>
  <w:style w:type="paragraph" w:styleId="Caption">
    <w:name w:val="caption"/>
    <w:basedOn w:val="Normal"/>
    <w:next w:val="Normal"/>
    <w:uiPriority w:val="35"/>
    <w:semiHidden/>
    <w:unhideWhenUsed/>
    <w:qFormat/>
    <w:rsid w:val="00802846"/>
    <w:pPr>
      <w:spacing w:before="0" w:after="200" w:line="240" w:lineRule="auto"/>
    </w:pPr>
    <w:rPr>
      <w:i/>
      <w:iCs/>
      <w:color w:val="1C2549" w:themeColor="text2"/>
      <w:sz w:val="18"/>
      <w:szCs w:val="18"/>
    </w:rPr>
  </w:style>
  <w:style w:type="paragraph" w:styleId="Revision">
    <w:name w:val="Revision"/>
    <w:hidden/>
    <w:uiPriority w:val="99"/>
    <w:semiHidden/>
    <w:rsid w:val="008B6025"/>
    <w:pPr>
      <w:spacing w:after="0" w:line="240" w:lineRule="auto"/>
    </w:pPr>
    <w:rPr>
      <w:sz w:val="24"/>
    </w:rPr>
  </w:style>
  <w:style w:type="character" w:styleId="CommentReference">
    <w:name w:val="annotation reference"/>
    <w:basedOn w:val="DefaultParagraphFont"/>
    <w:uiPriority w:val="99"/>
    <w:semiHidden/>
    <w:unhideWhenUsed/>
    <w:rsid w:val="00F079F2"/>
    <w:rPr>
      <w:sz w:val="16"/>
      <w:szCs w:val="16"/>
    </w:rPr>
  </w:style>
  <w:style w:type="paragraph" w:styleId="CommentText">
    <w:name w:val="annotation text"/>
    <w:basedOn w:val="Normal"/>
    <w:link w:val="CommentTextChar"/>
    <w:uiPriority w:val="99"/>
    <w:unhideWhenUsed/>
    <w:rsid w:val="00F079F2"/>
    <w:pPr>
      <w:spacing w:line="240" w:lineRule="auto"/>
    </w:pPr>
    <w:rPr>
      <w:sz w:val="20"/>
      <w:szCs w:val="20"/>
    </w:rPr>
  </w:style>
  <w:style w:type="character" w:customStyle="1" w:styleId="CommentTextChar">
    <w:name w:val="Comment Text Char"/>
    <w:basedOn w:val="DefaultParagraphFont"/>
    <w:link w:val="CommentText"/>
    <w:uiPriority w:val="99"/>
    <w:rsid w:val="00F079F2"/>
    <w:rPr>
      <w:sz w:val="20"/>
      <w:szCs w:val="20"/>
    </w:rPr>
  </w:style>
  <w:style w:type="paragraph" w:styleId="CommentSubject">
    <w:name w:val="annotation subject"/>
    <w:basedOn w:val="CommentText"/>
    <w:next w:val="CommentText"/>
    <w:link w:val="CommentSubjectChar"/>
    <w:uiPriority w:val="99"/>
    <w:semiHidden/>
    <w:unhideWhenUsed/>
    <w:rsid w:val="00F079F2"/>
    <w:rPr>
      <w:b/>
      <w:bCs/>
    </w:rPr>
  </w:style>
  <w:style w:type="character" w:customStyle="1" w:styleId="CommentSubjectChar">
    <w:name w:val="Comment Subject Char"/>
    <w:basedOn w:val="CommentTextChar"/>
    <w:link w:val="CommentSubject"/>
    <w:uiPriority w:val="99"/>
    <w:semiHidden/>
    <w:rsid w:val="00F079F2"/>
    <w:rPr>
      <w:b/>
      <w:bCs/>
      <w:sz w:val="20"/>
      <w:szCs w:val="20"/>
    </w:rPr>
  </w:style>
  <w:style w:type="paragraph" w:styleId="NoSpacing">
    <w:name w:val="No Spacing"/>
    <w:aliases w:val="Report title"/>
    <w:basedOn w:val="Normal"/>
    <w:link w:val="NoSpacingChar"/>
    <w:uiPriority w:val="1"/>
    <w:qFormat/>
    <w:rsid w:val="004F162C"/>
    <w:pPr>
      <w:spacing w:before="0" w:after="160" w:line="259" w:lineRule="auto"/>
    </w:pPr>
    <w:rPr>
      <w:rFonts w:ascii="Poppins" w:hAnsi="Poppins" w:cs="Poppins"/>
      <w:b/>
      <w:bCs/>
      <w:color w:val="FFFFFF" w:themeColor="background1"/>
      <w:sz w:val="120"/>
      <w:szCs w:val="120"/>
      <w:lang w:val="en-US"/>
    </w:rPr>
  </w:style>
  <w:style w:type="character" w:customStyle="1" w:styleId="NoSpacingChar">
    <w:name w:val="No Spacing Char"/>
    <w:aliases w:val="Report title Char"/>
    <w:basedOn w:val="DefaultParagraphFont"/>
    <w:link w:val="NoSpacing"/>
    <w:uiPriority w:val="1"/>
    <w:rsid w:val="004F162C"/>
    <w:rPr>
      <w:rFonts w:ascii="Poppins" w:hAnsi="Poppins" w:cs="Poppins"/>
      <w:b/>
      <w:bCs/>
      <w:color w:val="FFFFFF" w:themeColor="background1"/>
      <w:sz w:val="120"/>
      <w:szCs w:val="120"/>
      <w:lang w:val="en-US"/>
    </w:rPr>
  </w:style>
  <w:style w:type="character" w:customStyle="1" w:styleId="normaltextrun">
    <w:name w:val="normaltextrun"/>
    <w:basedOn w:val="DefaultParagraphFont"/>
    <w:rsid w:val="00AC4C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image" Target="media/image7.emf"/><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whatuora.govt.nz/" TargetMode="Externa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footer" Target="footer3.xml"/><Relationship Id="rId40"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5.emf"/><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footer" Target="footer2.xml"/><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image" Target="media/image6.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Māori</c:v>
                </c:pt>
              </c:strCache>
            </c:strRef>
          </c:tx>
          <c:spPr>
            <a:ln w="28575" cap="rnd">
              <a:solidFill>
                <a:schemeClr val="accent6"/>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Sheet1!$B$2:$B$6</c:f>
              <c:numCache>
                <c:formatCode>0%</c:formatCode>
                <c:ptCount val="5"/>
                <c:pt idx="0">
                  <c:v>0.68</c:v>
                </c:pt>
                <c:pt idx="1">
                  <c:v>0.7</c:v>
                </c:pt>
                <c:pt idx="2">
                  <c:v>0.7</c:v>
                </c:pt>
                <c:pt idx="3">
                  <c:v>0.7</c:v>
                </c:pt>
                <c:pt idx="4">
                  <c:v>0.7</c:v>
                </c:pt>
              </c:numCache>
            </c:numRef>
          </c:val>
          <c:smooth val="0"/>
          <c:extLst>
            <c:ext xmlns:c16="http://schemas.microsoft.com/office/drawing/2014/chart" uri="{C3380CC4-5D6E-409C-BE32-E72D297353CC}">
              <c16:uniqueId val="{00000000-A581-499E-9217-76E5EB2EE78E}"/>
            </c:ext>
          </c:extLst>
        </c:ser>
        <c:ser>
          <c:idx val="1"/>
          <c:order val="1"/>
          <c:tx>
            <c:strRef>
              <c:f>Sheet1!$C$1</c:f>
              <c:strCache>
                <c:ptCount val="1"/>
                <c:pt idx="0">
                  <c:v>Pacific</c:v>
                </c:pt>
              </c:strCache>
            </c:strRef>
          </c:tx>
          <c:spPr>
            <a:ln w="28575" cap="rnd">
              <a:solidFill>
                <a:schemeClr val="accent5"/>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Sheet1!$C$2:$C$6</c:f>
              <c:numCache>
                <c:formatCode>0%</c:formatCode>
                <c:ptCount val="5"/>
                <c:pt idx="0">
                  <c:v>0.8</c:v>
                </c:pt>
                <c:pt idx="1">
                  <c:v>0.83</c:v>
                </c:pt>
                <c:pt idx="2">
                  <c:v>0.81</c:v>
                </c:pt>
                <c:pt idx="3">
                  <c:v>0.78</c:v>
                </c:pt>
                <c:pt idx="4">
                  <c:v>0.81</c:v>
                </c:pt>
              </c:numCache>
            </c:numRef>
          </c:val>
          <c:smooth val="0"/>
          <c:extLst>
            <c:ext xmlns:c16="http://schemas.microsoft.com/office/drawing/2014/chart" uri="{C3380CC4-5D6E-409C-BE32-E72D297353CC}">
              <c16:uniqueId val="{00000001-A581-499E-9217-76E5EB2EE78E}"/>
            </c:ext>
          </c:extLst>
        </c:ser>
        <c:ser>
          <c:idx val="2"/>
          <c:order val="2"/>
          <c:tx>
            <c:strRef>
              <c:f>Sheet1!$D$1</c:f>
              <c:strCache>
                <c:ptCount val="1"/>
                <c:pt idx="0">
                  <c:v>European/Other</c:v>
                </c:pt>
              </c:strCache>
            </c:strRef>
          </c:tx>
          <c:spPr>
            <a:ln w="28575" cap="rnd">
              <a:solidFill>
                <a:schemeClr val="accent4">
                  <a:lumMod val="5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Sheet1!$D$2:$D$6</c:f>
              <c:numCache>
                <c:formatCode>0%</c:formatCode>
                <c:ptCount val="5"/>
                <c:pt idx="0">
                  <c:v>0.99</c:v>
                </c:pt>
                <c:pt idx="1">
                  <c:v>0.99</c:v>
                </c:pt>
                <c:pt idx="2">
                  <c:v>0.98</c:v>
                </c:pt>
                <c:pt idx="3">
                  <c:v>1</c:v>
                </c:pt>
                <c:pt idx="4">
                  <c:v>1.01</c:v>
                </c:pt>
              </c:numCache>
            </c:numRef>
          </c:val>
          <c:smooth val="0"/>
          <c:extLst>
            <c:ext xmlns:c16="http://schemas.microsoft.com/office/drawing/2014/chart" uri="{C3380CC4-5D6E-409C-BE32-E72D297353CC}">
              <c16:uniqueId val="{00000002-A581-499E-9217-76E5EB2EE78E}"/>
            </c:ext>
          </c:extLst>
        </c:ser>
        <c:ser>
          <c:idx val="3"/>
          <c:order val="3"/>
          <c:tx>
            <c:strRef>
              <c:f>Sheet1!$E$1</c:f>
              <c:strCache>
                <c:ptCount val="1"/>
                <c:pt idx="0">
                  <c:v>Asian</c:v>
                </c:pt>
              </c:strCache>
            </c:strRef>
          </c:tx>
          <c:spPr>
            <a:ln w="28575" cap="rnd">
              <a:solidFill>
                <a:schemeClr val="accent1">
                  <a:lumMod val="60000"/>
                  <a:lumOff val="4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Sheet1!$E$2:$E$6</c:f>
              <c:numCache>
                <c:formatCode>0%</c:formatCode>
                <c:ptCount val="5"/>
                <c:pt idx="0">
                  <c:v>0.92</c:v>
                </c:pt>
                <c:pt idx="1">
                  <c:v>0.94</c:v>
                </c:pt>
                <c:pt idx="2">
                  <c:v>0.92</c:v>
                </c:pt>
                <c:pt idx="3">
                  <c:v>0.93</c:v>
                </c:pt>
                <c:pt idx="4">
                  <c:v>0.95</c:v>
                </c:pt>
              </c:numCache>
            </c:numRef>
          </c:val>
          <c:smooth val="0"/>
          <c:extLst>
            <c:ext xmlns:c16="http://schemas.microsoft.com/office/drawing/2014/chart" uri="{C3380CC4-5D6E-409C-BE32-E72D297353CC}">
              <c16:uniqueId val="{00000003-A581-499E-9217-76E5EB2EE78E}"/>
            </c:ext>
          </c:extLst>
        </c:ser>
        <c:ser>
          <c:idx val="4"/>
          <c:order val="4"/>
          <c:tx>
            <c:strRef>
              <c:f>Sheet1!$F$1</c:f>
              <c:strCache>
                <c:ptCount val="1"/>
                <c:pt idx="0">
                  <c:v>Total</c:v>
                </c:pt>
              </c:strCache>
            </c:strRef>
          </c:tx>
          <c:spPr>
            <a:ln w="28575" cap="rnd">
              <a:solidFill>
                <a:schemeClr val="bg2">
                  <a:lumMod val="60000"/>
                  <a:lumOff val="4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Sheet1!$F$2:$F$6</c:f>
              <c:numCache>
                <c:formatCode>0%</c:formatCode>
                <c:ptCount val="5"/>
                <c:pt idx="0">
                  <c:v>0.87</c:v>
                </c:pt>
                <c:pt idx="1">
                  <c:v>0.88</c:v>
                </c:pt>
                <c:pt idx="2">
                  <c:v>0.88</c:v>
                </c:pt>
                <c:pt idx="3">
                  <c:v>0.88</c:v>
                </c:pt>
                <c:pt idx="4">
                  <c:v>0.88</c:v>
                </c:pt>
              </c:numCache>
            </c:numRef>
          </c:val>
          <c:smooth val="0"/>
          <c:extLst>
            <c:ext xmlns:c16="http://schemas.microsoft.com/office/drawing/2014/chart" uri="{C3380CC4-5D6E-409C-BE32-E72D297353CC}">
              <c16:uniqueId val="{00000004-A581-499E-9217-76E5EB2EE78E}"/>
            </c:ext>
          </c:extLst>
        </c:ser>
        <c:ser>
          <c:idx val="5"/>
          <c:order val="5"/>
          <c:tx>
            <c:strRef>
              <c:f>Sheet1!$G$1</c:f>
              <c:strCache>
                <c:ptCount val="1"/>
                <c:pt idx="0">
                  <c:v>Target</c:v>
                </c:pt>
              </c:strCache>
            </c:strRef>
          </c:tx>
          <c:spPr>
            <a:ln w="28575" cap="rnd">
              <a:solidFill>
                <a:srgbClr val="92D050"/>
              </a:solidFill>
              <a:prstDash val="sysDash"/>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Sheet1!$G$2:$G$6</c:f>
              <c:numCache>
                <c:formatCode>0%</c:formatCode>
                <c:ptCount val="5"/>
                <c:pt idx="0">
                  <c:v>0.85</c:v>
                </c:pt>
                <c:pt idx="1">
                  <c:v>0.85</c:v>
                </c:pt>
                <c:pt idx="2">
                  <c:v>0.85</c:v>
                </c:pt>
                <c:pt idx="3">
                  <c:v>0.85</c:v>
                </c:pt>
                <c:pt idx="4">
                  <c:v>0.85</c:v>
                </c:pt>
              </c:numCache>
            </c:numRef>
          </c:val>
          <c:smooth val="0"/>
          <c:extLst>
            <c:ext xmlns:c16="http://schemas.microsoft.com/office/drawing/2014/chart" uri="{C3380CC4-5D6E-409C-BE32-E72D297353CC}">
              <c16:uniqueId val="{00000005-A581-499E-9217-76E5EB2EE78E}"/>
            </c:ext>
          </c:extLst>
        </c:ser>
        <c:dLbls>
          <c:showLegendKey val="0"/>
          <c:showVal val="0"/>
          <c:showCatName val="0"/>
          <c:showSerName val="0"/>
          <c:showPercent val="0"/>
          <c:showBubbleSize val="0"/>
        </c:dLbls>
        <c:smooth val="0"/>
        <c:axId val="1733202936"/>
        <c:axId val="1733205456"/>
      </c:lineChart>
      <c:catAx>
        <c:axId val="1733202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733205456"/>
        <c:crosses val="autoZero"/>
        <c:auto val="1"/>
        <c:lblAlgn val="ctr"/>
        <c:lblOffset val="100"/>
        <c:noMultiLvlLbl val="0"/>
      </c:catAx>
      <c:valAx>
        <c:axId val="1733205456"/>
        <c:scaling>
          <c:orientation val="minMax"/>
          <c:max val="1.05"/>
          <c:min val="0.60000000000000009"/>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733202936"/>
        <c:crosses val="autoZero"/>
        <c:crossBetween val="between"/>
        <c:majorUnit val="0.1"/>
        <c:minorUnit val="2.0000000000000004E-2"/>
      </c:valAx>
      <c:spPr>
        <a:noFill/>
        <a:ln>
          <a:noFill/>
        </a:ln>
        <a:effectLst/>
      </c:spPr>
    </c:plotArea>
    <c:legend>
      <c:legendPos val="b"/>
      <c:layout>
        <c:manualLayout>
          <c:xMode val="edge"/>
          <c:yMode val="edge"/>
          <c:x val="8.2098242118562158E-3"/>
          <c:y val="0.83088540955501933"/>
          <c:w val="0.94579167340152837"/>
          <c:h val="0.1209451456022644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tx1"/>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60225284339456"/>
          <c:y val="8.0811006201658417E-2"/>
          <c:w val="0.85193478419364244"/>
          <c:h val="0.70881776531252183"/>
        </c:manualLayout>
      </c:layout>
      <c:lineChart>
        <c:grouping val="standard"/>
        <c:varyColors val="0"/>
        <c:ser>
          <c:idx val="0"/>
          <c:order val="0"/>
          <c:tx>
            <c:strRef>
              <c:f>Sheet1!$B$1</c:f>
              <c:strCache>
                <c:ptCount val="1"/>
                <c:pt idx="0">
                  <c:v>Māori</c:v>
                </c:pt>
              </c:strCache>
            </c:strRef>
          </c:tx>
          <c:spPr>
            <a:ln w="28575" cap="rnd">
              <a:solidFill>
                <a:schemeClr val="accent6"/>
              </a:solidFill>
              <a:round/>
            </a:ln>
            <a:effectLst/>
          </c:spPr>
          <c:marker>
            <c:symbol val="none"/>
          </c:marker>
          <c:cat>
            <c:strRef>
              <c:f>Sheet1!$A$2:$A$3</c:f>
              <c:strCache>
                <c:ptCount val="2"/>
                <c:pt idx="0">
                  <c:v>Q1 22/23</c:v>
                </c:pt>
                <c:pt idx="1">
                  <c:v>Q1 23/24</c:v>
                </c:pt>
              </c:strCache>
            </c:strRef>
          </c:cat>
          <c:val>
            <c:numRef>
              <c:f>Sheet1!$B$2:$B$3</c:f>
              <c:numCache>
                <c:formatCode>0%</c:formatCode>
                <c:ptCount val="2"/>
                <c:pt idx="0">
                  <c:v>0.31</c:v>
                </c:pt>
                <c:pt idx="1">
                  <c:v>0.32</c:v>
                </c:pt>
              </c:numCache>
            </c:numRef>
          </c:val>
          <c:smooth val="0"/>
          <c:extLst>
            <c:ext xmlns:c16="http://schemas.microsoft.com/office/drawing/2014/chart" uri="{C3380CC4-5D6E-409C-BE32-E72D297353CC}">
              <c16:uniqueId val="{00000000-EE0D-40FD-8FEE-D22F28BE1258}"/>
            </c:ext>
          </c:extLst>
        </c:ser>
        <c:ser>
          <c:idx val="1"/>
          <c:order val="1"/>
          <c:tx>
            <c:strRef>
              <c:f>Sheet1!$C$1</c:f>
              <c:strCache>
                <c:ptCount val="1"/>
                <c:pt idx="0">
                  <c:v>Pacific</c:v>
                </c:pt>
              </c:strCache>
            </c:strRef>
          </c:tx>
          <c:spPr>
            <a:ln w="28575" cap="rnd">
              <a:solidFill>
                <a:schemeClr val="accent5"/>
              </a:solidFill>
              <a:round/>
            </a:ln>
            <a:effectLst/>
          </c:spPr>
          <c:marker>
            <c:symbol val="none"/>
          </c:marker>
          <c:cat>
            <c:strRef>
              <c:f>Sheet1!$A$2:$A$3</c:f>
              <c:strCache>
                <c:ptCount val="2"/>
                <c:pt idx="0">
                  <c:v>Q1 22/23</c:v>
                </c:pt>
                <c:pt idx="1">
                  <c:v>Q1 23/24</c:v>
                </c:pt>
              </c:strCache>
            </c:strRef>
          </c:cat>
          <c:val>
            <c:numRef>
              <c:f>Sheet1!$C$2:$C$3</c:f>
              <c:numCache>
                <c:formatCode>0%</c:formatCode>
                <c:ptCount val="2"/>
                <c:pt idx="0">
                  <c:v>0.31</c:v>
                </c:pt>
                <c:pt idx="1">
                  <c:v>0.33</c:v>
                </c:pt>
              </c:numCache>
            </c:numRef>
          </c:val>
          <c:smooth val="0"/>
          <c:extLst>
            <c:ext xmlns:c16="http://schemas.microsoft.com/office/drawing/2014/chart" uri="{C3380CC4-5D6E-409C-BE32-E72D297353CC}">
              <c16:uniqueId val="{00000001-EE0D-40FD-8FEE-D22F28BE1258}"/>
            </c:ext>
          </c:extLst>
        </c:ser>
        <c:ser>
          <c:idx val="2"/>
          <c:order val="2"/>
          <c:tx>
            <c:strRef>
              <c:f>Sheet1!$D$1</c:f>
              <c:strCache>
                <c:ptCount val="1"/>
                <c:pt idx="0">
                  <c:v>European/Other</c:v>
                </c:pt>
              </c:strCache>
            </c:strRef>
          </c:tx>
          <c:spPr>
            <a:ln w="28575" cap="rnd">
              <a:solidFill>
                <a:schemeClr val="accent4">
                  <a:lumMod val="50000"/>
                </a:schemeClr>
              </a:solidFill>
              <a:round/>
            </a:ln>
            <a:effectLst/>
          </c:spPr>
          <c:marker>
            <c:symbol val="none"/>
          </c:marker>
          <c:cat>
            <c:strRef>
              <c:f>Sheet1!$A$2:$A$3</c:f>
              <c:strCache>
                <c:ptCount val="2"/>
                <c:pt idx="0">
                  <c:v>Q1 22/23</c:v>
                </c:pt>
                <c:pt idx="1">
                  <c:v>Q1 23/24</c:v>
                </c:pt>
              </c:strCache>
            </c:strRef>
          </c:cat>
          <c:val>
            <c:numRef>
              <c:f>Sheet1!$D$2:$D$3</c:f>
              <c:numCache>
                <c:formatCode>0%</c:formatCode>
                <c:ptCount val="2"/>
                <c:pt idx="0">
                  <c:v>0.33</c:v>
                </c:pt>
                <c:pt idx="1">
                  <c:v>0.36</c:v>
                </c:pt>
              </c:numCache>
            </c:numRef>
          </c:val>
          <c:smooth val="0"/>
          <c:extLst>
            <c:ext xmlns:c16="http://schemas.microsoft.com/office/drawing/2014/chart" uri="{C3380CC4-5D6E-409C-BE32-E72D297353CC}">
              <c16:uniqueId val="{00000002-EE0D-40FD-8FEE-D22F28BE1258}"/>
            </c:ext>
          </c:extLst>
        </c:ser>
        <c:ser>
          <c:idx val="3"/>
          <c:order val="3"/>
          <c:tx>
            <c:strRef>
              <c:f>Sheet1!$E$1</c:f>
              <c:strCache>
                <c:ptCount val="1"/>
                <c:pt idx="0">
                  <c:v>Asian</c:v>
                </c:pt>
              </c:strCache>
            </c:strRef>
          </c:tx>
          <c:spPr>
            <a:ln w="28575" cap="rnd">
              <a:solidFill>
                <a:schemeClr val="accent1">
                  <a:lumMod val="60000"/>
                  <a:lumOff val="40000"/>
                </a:schemeClr>
              </a:solidFill>
              <a:round/>
            </a:ln>
            <a:effectLst/>
          </c:spPr>
          <c:marker>
            <c:symbol val="none"/>
          </c:marker>
          <c:cat>
            <c:strRef>
              <c:f>Sheet1!$A$2:$A$3</c:f>
              <c:strCache>
                <c:ptCount val="2"/>
                <c:pt idx="0">
                  <c:v>Q1 22/23</c:v>
                </c:pt>
                <c:pt idx="1">
                  <c:v>Q1 23/24</c:v>
                </c:pt>
              </c:strCache>
            </c:strRef>
          </c:cat>
          <c:val>
            <c:numRef>
              <c:f>Sheet1!$E$2:$E$3</c:f>
              <c:numCache>
                <c:formatCode>0%</c:formatCode>
                <c:ptCount val="2"/>
                <c:pt idx="0">
                  <c:v>0.3</c:v>
                </c:pt>
                <c:pt idx="1">
                  <c:v>0.33</c:v>
                </c:pt>
              </c:numCache>
            </c:numRef>
          </c:val>
          <c:smooth val="0"/>
          <c:extLst>
            <c:ext xmlns:c16="http://schemas.microsoft.com/office/drawing/2014/chart" uri="{C3380CC4-5D6E-409C-BE32-E72D297353CC}">
              <c16:uniqueId val="{00000003-EE0D-40FD-8FEE-D22F28BE1258}"/>
            </c:ext>
          </c:extLst>
        </c:ser>
        <c:ser>
          <c:idx val="4"/>
          <c:order val="4"/>
          <c:tx>
            <c:strRef>
              <c:f>Sheet1!$F$1</c:f>
              <c:strCache>
                <c:ptCount val="1"/>
                <c:pt idx="0">
                  <c:v>Total</c:v>
                </c:pt>
              </c:strCache>
            </c:strRef>
          </c:tx>
          <c:spPr>
            <a:ln w="28575" cap="rnd">
              <a:solidFill>
                <a:schemeClr val="bg2">
                  <a:lumMod val="60000"/>
                  <a:lumOff val="40000"/>
                </a:schemeClr>
              </a:solidFill>
              <a:round/>
            </a:ln>
            <a:effectLst/>
          </c:spPr>
          <c:marker>
            <c:symbol val="none"/>
          </c:marker>
          <c:cat>
            <c:strRef>
              <c:f>Sheet1!$A$2:$A$3</c:f>
              <c:strCache>
                <c:ptCount val="2"/>
                <c:pt idx="0">
                  <c:v>Q1 22/23</c:v>
                </c:pt>
                <c:pt idx="1">
                  <c:v>Q1 23/24</c:v>
                </c:pt>
              </c:strCache>
            </c:strRef>
          </c:cat>
          <c:val>
            <c:numRef>
              <c:f>Sheet1!$F$2:$F$3</c:f>
              <c:numCache>
                <c:formatCode>0%</c:formatCode>
                <c:ptCount val="2"/>
                <c:pt idx="0">
                  <c:v>0.32</c:v>
                </c:pt>
                <c:pt idx="1">
                  <c:v>0.35</c:v>
                </c:pt>
              </c:numCache>
            </c:numRef>
          </c:val>
          <c:smooth val="0"/>
          <c:extLst>
            <c:ext xmlns:c16="http://schemas.microsoft.com/office/drawing/2014/chart" uri="{C3380CC4-5D6E-409C-BE32-E72D297353CC}">
              <c16:uniqueId val="{00000004-EE0D-40FD-8FEE-D22F28BE1258}"/>
            </c:ext>
          </c:extLst>
        </c:ser>
        <c:ser>
          <c:idx val="5"/>
          <c:order val="5"/>
          <c:tx>
            <c:strRef>
              <c:f>Sheet1!$G$1</c:f>
              <c:strCache>
                <c:ptCount val="1"/>
                <c:pt idx="0">
                  <c:v>Target</c:v>
                </c:pt>
              </c:strCache>
            </c:strRef>
          </c:tx>
          <c:spPr>
            <a:ln w="28575" cap="rnd">
              <a:solidFill>
                <a:srgbClr val="92D050"/>
              </a:solidFill>
              <a:prstDash val="sysDash"/>
              <a:round/>
            </a:ln>
            <a:effectLst/>
          </c:spPr>
          <c:marker>
            <c:symbol val="none"/>
          </c:marker>
          <c:cat>
            <c:strRef>
              <c:f>Sheet1!$A$2:$A$3</c:f>
              <c:strCache>
                <c:ptCount val="2"/>
                <c:pt idx="0">
                  <c:v>Q1 22/23</c:v>
                </c:pt>
                <c:pt idx="1">
                  <c:v>Q1 23/24</c:v>
                </c:pt>
              </c:strCache>
            </c:strRef>
          </c:cat>
          <c:val>
            <c:numRef>
              <c:f>Sheet1!$G$2:$G$3</c:f>
              <c:numCache>
                <c:formatCode>0%</c:formatCode>
                <c:ptCount val="2"/>
                <c:pt idx="0">
                  <c:v>0.7</c:v>
                </c:pt>
                <c:pt idx="1">
                  <c:v>0.7</c:v>
                </c:pt>
              </c:numCache>
            </c:numRef>
          </c:val>
          <c:smooth val="0"/>
          <c:extLst>
            <c:ext xmlns:c16="http://schemas.microsoft.com/office/drawing/2014/chart" uri="{C3380CC4-5D6E-409C-BE32-E72D297353CC}">
              <c16:uniqueId val="{00000005-EE0D-40FD-8FEE-D22F28BE1258}"/>
            </c:ext>
          </c:extLst>
        </c:ser>
        <c:dLbls>
          <c:showLegendKey val="0"/>
          <c:showVal val="0"/>
          <c:showCatName val="0"/>
          <c:showSerName val="0"/>
          <c:showPercent val="0"/>
          <c:showBubbleSize val="0"/>
        </c:dLbls>
        <c:smooth val="0"/>
        <c:axId val="1285259864"/>
        <c:axId val="1285254824"/>
      </c:lineChart>
      <c:catAx>
        <c:axId val="1285259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85254824"/>
        <c:crosses val="autoZero"/>
        <c:auto val="1"/>
        <c:lblAlgn val="ctr"/>
        <c:lblOffset val="100"/>
        <c:noMultiLvlLbl val="0"/>
      </c:catAx>
      <c:valAx>
        <c:axId val="1285254824"/>
        <c:scaling>
          <c:orientation val="minMax"/>
          <c:max val="0.75000000000000011"/>
          <c:min val="0.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85259864"/>
        <c:crosses val="autoZero"/>
        <c:crossBetween val="between"/>
        <c:majorUnit val="0.1"/>
      </c:valAx>
      <c:spPr>
        <a:noFill/>
        <a:ln>
          <a:noFill/>
        </a:ln>
        <a:effectLst/>
      </c:spPr>
    </c:plotArea>
    <c:legend>
      <c:legendPos val="b"/>
      <c:layout>
        <c:manualLayout>
          <c:xMode val="edge"/>
          <c:yMode val="edge"/>
          <c:x val="1.5315874114990854E-2"/>
          <c:y val="0.90052478345324705"/>
          <c:w val="0.9846841258850092"/>
          <c:h val="9.947521654675281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454286964129487E-2"/>
          <c:y val="4.3650793650793648E-2"/>
          <c:w val="0.88897163896179643"/>
          <c:h val="0.75515068689067755"/>
        </c:manualLayout>
      </c:layout>
      <c:lineChart>
        <c:grouping val="standard"/>
        <c:varyColors val="0"/>
        <c:ser>
          <c:idx val="0"/>
          <c:order val="0"/>
          <c:tx>
            <c:strRef>
              <c:f>Sheet1!$B$1</c:f>
              <c:strCache>
                <c:ptCount val="1"/>
                <c:pt idx="0">
                  <c:v>Māori</c:v>
                </c:pt>
              </c:strCache>
            </c:strRef>
          </c:tx>
          <c:spPr>
            <a:ln w="28575" cap="rnd">
              <a:solidFill>
                <a:schemeClr val="accent6"/>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Sheet1!$B$2:$B$6</c:f>
              <c:numCache>
                <c:formatCode>_-* #,##0_-;\-* #,##0_-;_-* "-"??_-;_-@_-</c:formatCode>
                <c:ptCount val="5"/>
                <c:pt idx="0">
                  <c:v>7078</c:v>
                </c:pt>
                <c:pt idx="1">
                  <c:v>7662</c:v>
                </c:pt>
                <c:pt idx="2">
                  <c:v>8022</c:v>
                </c:pt>
                <c:pt idx="3">
                  <c:v>8192</c:v>
                </c:pt>
                <c:pt idx="4">
                  <c:v>8067</c:v>
                </c:pt>
              </c:numCache>
            </c:numRef>
          </c:val>
          <c:smooth val="0"/>
          <c:extLst>
            <c:ext xmlns:c16="http://schemas.microsoft.com/office/drawing/2014/chart" uri="{C3380CC4-5D6E-409C-BE32-E72D297353CC}">
              <c16:uniqueId val="{00000000-6FFD-45B7-9B79-EDC90D619C97}"/>
            </c:ext>
          </c:extLst>
        </c:ser>
        <c:ser>
          <c:idx val="1"/>
          <c:order val="1"/>
          <c:tx>
            <c:strRef>
              <c:f>Sheet1!$C$1</c:f>
              <c:strCache>
                <c:ptCount val="1"/>
                <c:pt idx="0">
                  <c:v>Pacific</c:v>
                </c:pt>
              </c:strCache>
            </c:strRef>
          </c:tx>
          <c:spPr>
            <a:ln w="28575" cap="rnd">
              <a:solidFill>
                <a:schemeClr val="accent5"/>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Sheet1!$C$2:$C$6</c:f>
              <c:numCache>
                <c:formatCode>_-* #,##0_-;\-* #,##0_-;_-* "-"??_-;_-@_-</c:formatCode>
                <c:ptCount val="5"/>
                <c:pt idx="0">
                  <c:v>11743</c:v>
                </c:pt>
                <c:pt idx="1">
                  <c:v>12865</c:v>
                </c:pt>
                <c:pt idx="2">
                  <c:v>14038</c:v>
                </c:pt>
                <c:pt idx="3">
                  <c:v>14639</c:v>
                </c:pt>
                <c:pt idx="4">
                  <c:v>15124</c:v>
                </c:pt>
              </c:numCache>
            </c:numRef>
          </c:val>
          <c:smooth val="0"/>
          <c:extLst>
            <c:ext xmlns:c16="http://schemas.microsoft.com/office/drawing/2014/chart" uri="{C3380CC4-5D6E-409C-BE32-E72D297353CC}">
              <c16:uniqueId val="{00000001-6FFD-45B7-9B79-EDC90D619C97}"/>
            </c:ext>
          </c:extLst>
        </c:ser>
        <c:ser>
          <c:idx val="2"/>
          <c:order val="2"/>
          <c:tx>
            <c:strRef>
              <c:f>Sheet1!$D$1</c:f>
              <c:strCache>
                <c:ptCount val="1"/>
                <c:pt idx="0">
                  <c:v>European/Other</c:v>
                </c:pt>
              </c:strCache>
            </c:strRef>
          </c:tx>
          <c:spPr>
            <a:ln w="28575" cap="rnd">
              <a:solidFill>
                <a:schemeClr val="accent4">
                  <a:lumMod val="5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Sheet1!$D$2:$D$6</c:f>
              <c:numCache>
                <c:formatCode>_-* #,##0_-;\-* #,##0_-;_-* "-"??_-;_-@_-</c:formatCode>
                <c:ptCount val="5"/>
                <c:pt idx="0">
                  <c:v>5075</c:v>
                </c:pt>
                <c:pt idx="1">
                  <c:v>6010</c:v>
                </c:pt>
                <c:pt idx="2">
                  <c:v>6475</c:v>
                </c:pt>
                <c:pt idx="3">
                  <c:v>6616</c:v>
                </c:pt>
                <c:pt idx="4">
                  <c:v>6470</c:v>
                </c:pt>
              </c:numCache>
            </c:numRef>
          </c:val>
          <c:smooth val="0"/>
          <c:extLst>
            <c:ext xmlns:c16="http://schemas.microsoft.com/office/drawing/2014/chart" uri="{C3380CC4-5D6E-409C-BE32-E72D297353CC}">
              <c16:uniqueId val="{00000002-6FFD-45B7-9B79-EDC90D619C97}"/>
            </c:ext>
          </c:extLst>
        </c:ser>
        <c:ser>
          <c:idx val="3"/>
          <c:order val="3"/>
          <c:tx>
            <c:strRef>
              <c:f>Sheet1!$E$1</c:f>
              <c:strCache>
                <c:ptCount val="1"/>
                <c:pt idx="0">
                  <c:v>Total</c:v>
                </c:pt>
              </c:strCache>
            </c:strRef>
          </c:tx>
          <c:spPr>
            <a:ln w="28575" cap="rnd">
              <a:solidFill>
                <a:schemeClr val="bg2">
                  <a:lumMod val="60000"/>
                  <a:lumOff val="4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Sheet1!$E$2:$E$6</c:f>
              <c:numCache>
                <c:formatCode>_-* #,##0_-;\-* #,##0_-;_-* "-"??_-;_-@_-</c:formatCode>
                <c:ptCount val="5"/>
                <c:pt idx="0">
                  <c:v>6183</c:v>
                </c:pt>
                <c:pt idx="1">
                  <c:v>7068</c:v>
                </c:pt>
                <c:pt idx="2">
                  <c:v>7564</c:v>
                </c:pt>
                <c:pt idx="3">
                  <c:v>7752</c:v>
                </c:pt>
                <c:pt idx="4">
                  <c:v>7635</c:v>
                </c:pt>
              </c:numCache>
            </c:numRef>
          </c:val>
          <c:smooth val="0"/>
          <c:extLst>
            <c:ext xmlns:c16="http://schemas.microsoft.com/office/drawing/2014/chart" uri="{C3380CC4-5D6E-409C-BE32-E72D297353CC}">
              <c16:uniqueId val="{00000003-6FFD-45B7-9B79-EDC90D619C97}"/>
            </c:ext>
          </c:extLst>
        </c:ser>
        <c:dLbls>
          <c:showLegendKey val="0"/>
          <c:showVal val="0"/>
          <c:showCatName val="0"/>
          <c:showSerName val="0"/>
          <c:showPercent val="0"/>
          <c:showBubbleSize val="0"/>
        </c:dLbls>
        <c:smooth val="0"/>
        <c:axId val="803956104"/>
        <c:axId val="803958624"/>
      </c:lineChart>
      <c:catAx>
        <c:axId val="803956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3958624"/>
        <c:crosses val="autoZero"/>
        <c:auto val="1"/>
        <c:lblAlgn val="ctr"/>
        <c:lblOffset val="100"/>
        <c:noMultiLvlLbl val="0"/>
      </c:catAx>
      <c:valAx>
        <c:axId val="803958624"/>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3956104"/>
        <c:crosses val="autoZero"/>
        <c:crossBetween val="between"/>
      </c:valAx>
      <c:spPr>
        <a:noFill/>
        <a:ln>
          <a:noFill/>
        </a:ln>
        <a:effectLst/>
      </c:spPr>
    </c:plotArea>
    <c:legend>
      <c:legendPos val="b"/>
      <c:layout>
        <c:manualLayout>
          <c:xMode val="edge"/>
          <c:yMode val="edge"/>
          <c:x val="0.12006808734400427"/>
          <c:y val="0.90307226817785069"/>
          <c:w val="0.75986382531199148"/>
          <c:h val="9.69277318221494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Māori</c:v>
                </c:pt>
              </c:strCache>
            </c:strRef>
          </c:tx>
          <c:spPr>
            <a:ln w="28575" cap="rnd">
              <a:solidFill>
                <a:schemeClr val="accent6"/>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Sheet1!$B$2:$B$6</c:f>
              <c:numCache>
                <c:formatCode>#,##0</c:formatCode>
                <c:ptCount val="5"/>
                <c:pt idx="0">
                  <c:v>6771</c:v>
                </c:pt>
                <c:pt idx="1">
                  <c:v>6812</c:v>
                </c:pt>
                <c:pt idx="2">
                  <c:v>6918</c:v>
                </c:pt>
                <c:pt idx="3">
                  <c:v>6981</c:v>
                </c:pt>
                <c:pt idx="4">
                  <c:v>7086</c:v>
                </c:pt>
              </c:numCache>
            </c:numRef>
          </c:val>
          <c:smooth val="0"/>
          <c:extLst>
            <c:ext xmlns:c16="http://schemas.microsoft.com/office/drawing/2014/chart" uri="{C3380CC4-5D6E-409C-BE32-E72D297353CC}">
              <c16:uniqueId val="{00000000-A0EF-4B85-83FF-A511DAA6B914}"/>
            </c:ext>
          </c:extLst>
        </c:ser>
        <c:ser>
          <c:idx val="1"/>
          <c:order val="1"/>
          <c:tx>
            <c:strRef>
              <c:f>Sheet1!$C$1</c:f>
              <c:strCache>
                <c:ptCount val="1"/>
                <c:pt idx="0">
                  <c:v>Pacific</c:v>
                </c:pt>
              </c:strCache>
            </c:strRef>
          </c:tx>
          <c:spPr>
            <a:ln w="28575" cap="rnd">
              <a:solidFill>
                <a:schemeClr val="accent5"/>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Sheet1!$C$2:$C$6</c:f>
              <c:numCache>
                <c:formatCode>#,##0</c:formatCode>
                <c:ptCount val="5"/>
                <c:pt idx="0">
                  <c:v>7115</c:v>
                </c:pt>
                <c:pt idx="1">
                  <c:v>7465</c:v>
                </c:pt>
                <c:pt idx="2">
                  <c:v>7728</c:v>
                </c:pt>
                <c:pt idx="3">
                  <c:v>8127</c:v>
                </c:pt>
                <c:pt idx="4">
                  <c:v>8175</c:v>
                </c:pt>
              </c:numCache>
            </c:numRef>
          </c:val>
          <c:smooth val="0"/>
          <c:extLst>
            <c:ext xmlns:c16="http://schemas.microsoft.com/office/drawing/2014/chart" uri="{C3380CC4-5D6E-409C-BE32-E72D297353CC}">
              <c16:uniqueId val="{00000001-A0EF-4B85-83FF-A511DAA6B914}"/>
            </c:ext>
          </c:extLst>
        </c:ser>
        <c:ser>
          <c:idx val="2"/>
          <c:order val="2"/>
          <c:tx>
            <c:strRef>
              <c:f>Sheet1!$D$1</c:f>
              <c:strCache>
                <c:ptCount val="1"/>
                <c:pt idx="0">
                  <c:v>European/Other</c:v>
                </c:pt>
              </c:strCache>
            </c:strRef>
          </c:tx>
          <c:spPr>
            <a:ln w="28575" cap="rnd">
              <a:solidFill>
                <a:schemeClr val="accent4">
                  <a:lumMod val="5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Sheet1!$D$2:$D$6</c:f>
              <c:numCache>
                <c:formatCode>#,##0</c:formatCode>
                <c:ptCount val="5"/>
                <c:pt idx="0">
                  <c:v>2888</c:v>
                </c:pt>
                <c:pt idx="1">
                  <c:v>2897</c:v>
                </c:pt>
                <c:pt idx="2">
                  <c:v>2892</c:v>
                </c:pt>
                <c:pt idx="3">
                  <c:v>2944</c:v>
                </c:pt>
                <c:pt idx="4">
                  <c:v>2943</c:v>
                </c:pt>
              </c:numCache>
            </c:numRef>
          </c:val>
          <c:smooth val="0"/>
          <c:extLst>
            <c:ext xmlns:c16="http://schemas.microsoft.com/office/drawing/2014/chart" uri="{C3380CC4-5D6E-409C-BE32-E72D297353CC}">
              <c16:uniqueId val="{00000002-A0EF-4B85-83FF-A511DAA6B914}"/>
            </c:ext>
          </c:extLst>
        </c:ser>
        <c:ser>
          <c:idx val="3"/>
          <c:order val="3"/>
          <c:tx>
            <c:strRef>
              <c:f>Sheet1!$E$1</c:f>
              <c:strCache>
                <c:ptCount val="1"/>
                <c:pt idx="0">
                  <c:v>Total</c:v>
                </c:pt>
              </c:strCache>
            </c:strRef>
          </c:tx>
          <c:spPr>
            <a:ln w="28575" cap="rnd">
              <a:solidFill>
                <a:schemeClr val="bg2">
                  <a:lumMod val="60000"/>
                  <a:lumOff val="4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Sheet1!$E$2:$E$6</c:f>
              <c:numCache>
                <c:formatCode>#,##0</c:formatCode>
                <c:ptCount val="5"/>
                <c:pt idx="0">
                  <c:v>3605</c:v>
                </c:pt>
                <c:pt idx="1">
                  <c:v>3639</c:v>
                </c:pt>
                <c:pt idx="2">
                  <c:v>3662</c:v>
                </c:pt>
                <c:pt idx="3">
                  <c:v>3739</c:v>
                </c:pt>
                <c:pt idx="4">
                  <c:v>3761</c:v>
                </c:pt>
              </c:numCache>
            </c:numRef>
          </c:val>
          <c:smooth val="0"/>
          <c:extLst>
            <c:ext xmlns:c16="http://schemas.microsoft.com/office/drawing/2014/chart" uri="{C3380CC4-5D6E-409C-BE32-E72D297353CC}">
              <c16:uniqueId val="{00000003-A0EF-4B85-83FF-A511DAA6B914}"/>
            </c:ext>
          </c:extLst>
        </c:ser>
        <c:dLbls>
          <c:showLegendKey val="0"/>
          <c:showVal val="0"/>
          <c:showCatName val="0"/>
          <c:showSerName val="0"/>
          <c:showPercent val="0"/>
          <c:showBubbleSize val="0"/>
        </c:dLbls>
        <c:smooth val="0"/>
        <c:axId val="2452143"/>
        <c:axId val="2455743"/>
      </c:lineChart>
      <c:catAx>
        <c:axId val="2452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455743"/>
        <c:crosses val="autoZero"/>
        <c:auto val="1"/>
        <c:lblAlgn val="ctr"/>
        <c:lblOffset val="100"/>
        <c:noMultiLvlLbl val="0"/>
      </c:catAx>
      <c:valAx>
        <c:axId val="24557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45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Total</c:v>
                </c:pt>
              </c:strCache>
            </c:strRef>
          </c:tx>
          <c:spPr>
            <a:ln w="28575" cap="rnd">
              <a:solidFill>
                <a:schemeClr val="bg2">
                  <a:lumMod val="60000"/>
                  <a:lumOff val="4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Sheet1!$B$2:$B$6</c:f>
              <c:numCache>
                <c:formatCode>0%</c:formatCode>
                <c:ptCount val="5"/>
                <c:pt idx="0">
                  <c:v>0.25</c:v>
                </c:pt>
                <c:pt idx="1">
                  <c:v>0.26</c:v>
                </c:pt>
                <c:pt idx="2">
                  <c:v>0.32</c:v>
                </c:pt>
                <c:pt idx="3">
                  <c:v>0.31</c:v>
                </c:pt>
                <c:pt idx="4">
                  <c:v>0.33</c:v>
                </c:pt>
              </c:numCache>
            </c:numRef>
          </c:val>
          <c:smooth val="0"/>
          <c:extLst>
            <c:ext xmlns:c16="http://schemas.microsoft.com/office/drawing/2014/chart" uri="{C3380CC4-5D6E-409C-BE32-E72D297353CC}">
              <c16:uniqueId val="{00000000-68F1-488E-B819-21EA17860DBB}"/>
            </c:ext>
          </c:extLst>
        </c:ser>
        <c:ser>
          <c:idx val="1"/>
          <c:order val="1"/>
          <c:tx>
            <c:strRef>
              <c:f>Sheet1!$C$1</c:f>
              <c:strCache>
                <c:ptCount val="1"/>
                <c:pt idx="0">
                  <c:v>Target</c:v>
                </c:pt>
              </c:strCache>
            </c:strRef>
          </c:tx>
          <c:spPr>
            <a:ln w="28575" cap="rnd">
              <a:solidFill>
                <a:srgbClr val="92D050"/>
              </a:solidFill>
              <a:prstDash val="sysDash"/>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Sheet1!$C$2:$C$6</c:f>
              <c:numCache>
                <c:formatCode>General</c:formatCode>
                <c:ptCount val="5"/>
                <c:pt idx="0">
                  <c:v>0</c:v>
                </c:pt>
                <c:pt idx="1">
                  <c:v>0</c:v>
                </c:pt>
                <c:pt idx="2">
                  <c:v>0</c:v>
                </c:pt>
                <c:pt idx="3">
                  <c:v>0</c:v>
                </c:pt>
                <c:pt idx="4">
                  <c:v>0</c:v>
                </c:pt>
              </c:numCache>
            </c:numRef>
          </c:val>
          <c:smooth val="0"/>
          <c:extLst>
            <c:ext xmlns:c16="http://schemas.microsoft.com/office/drawing/2014/chart" uri="{C3380CC4-5D6E-409C-BE32-E72D297353CC}">
              <c16:uniqueId val="{00000001-68F1-488E-B819-21EA17860DBB}"/>
            </c:ext>
          </c:extLst>
        </c:ser>
        <c:dLbls>
          <c:showLegendKey val="0"/>
          <c:showVal val="0"/>
          <c:showCatName val="0"/>
          <c:showSerName val="0"/>
          <c:showPercent val="0"/>
          <c:showBubbleSize val="0"/>
        </c:dLbls>
        <c:smooth val="0"/>
        <c:axId val="2114183456"/>
        <c:axId val="2114175536"/>
      </c:lineChart>
      <c:catAx>
        <c:axId val="211418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114175536"/>
        <c:crosses val="autoZero"/>
        <c:auto val="1"/>
        <c:lblAlgn val="ctr"/>
        <c:lblOffset val="100"/>
        <c:noMultiLvlLbl val="0"/>
      </c:catAx>
      <c:valAx>
        <c:axId val="2114175536"/>
        <c:scaling>
          <c:orientation val="minMax"/>
          <c:max val="0.35000000000000003"/>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114183456"/>
        <c:crosses val="autoZero"/>
        <c:crossBetween val="between"/>
        <c:minorUnit val="2.0000000000000004E-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73844911848986"/>
          <c:y val="4.3650793650793648E-2"/>
          <c:w val="0.86879872661865576"/>
          <c:h val="0.72311075362891475"/>
        </c:manualLayout>
      </c:layout>
      <c:lineChart>
        <c:grouping val="standard"/>
        <c:varyColors val="0"/>
        <c:ser>
          <c:idx val="0"/>
          <c:order val="0"/>
          <c:tx>
            <c:strRef>
              <c:f>Sheet1!$B$1</c:f>
              <c:strCache>
                <c:ptCount val="1"/>
                <c:pt idx="0">
                  <c:v>Māori</c:v>
                </c:pt>
              </c:strCache>
            </c:strRef>
          </c:tx>
          <c:spPr>
            <a:ln w="28575" cap="rnd">
              <a:solidFill>
                <a:schemeClr val="accent6"/>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Sheet1!$B$2:$B$6</c:f>
              <c:numCache>
                <c:formatCode>0%</c:formatCode>
                <c:ptCount val="5"/>
                <c:pt idx="0">
                  <c:v>0.41</c:v>
                </c:pt>
                <c:pt idx="1">
                  <c:v>0.41</c:v>
                </c:pt>
                <c:pt idx="2">
                  <c:v>0.47</c:v>
                </c:pt>
                <c:pt idx="3">
                  <c:v>0.43</c:v>
                </c:pt>
                <c:pt idx="4">
                  <c:v>0.4</c:v>
                </c:pt>
              </c:numCache>
            </c:numRef>
          </c:val>
          <c:smooth val="0"/>
          <c:extLst>
            <c:ext xmlns:c16="http://schemas.microsoft.com/office/drawing/2014/chart" uri="{C3380CC4-5D6E-409C-BE32-E72D297353CC}">
              <c16:uniqueId val="{00000000-9E5F-46B1-B095-15194E322475}"/>
            </c:ext>
          </c:extLst>
        </c:ser>
        <c:ser>
          <c:idx val="1"/>
          <c:order val="1"/>
          <c:tx>
            <c:strRef>
              <c:f>Sheet1!$C$1</c:f>
              <c:strCache>
                <c:ptCount val="1"/>
                <c:pt idx="0">
                  <c:v>Pacific</c:v>
                </c:pt>
              </c:strCache>
            </c:strRef>
          </c:tx>
          <c:spPr>
            <a:ln w="28575" cap="rnd">
              <a:solidFill>
                <a:schemeClr val="accent5"/>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Sheet1!$C$2:$C$6</c:f>
              <c:numCache>
                <c:formatCode>0%</c:formatCode>
                <c:ptCount val="5"/>
                <c:pt idx="0">
                  <c:v>0.32</c:v>
                </c:pt>
                <c:pt idx="1">
                  <c:v>0.33</c:v>
                </c:pt>
                <c:pt idx="2">
                  <c:v>0.4</c:v>
                </c:pt>
                <c:pt idx="3">
                  <c:v>0.37</c:v>
                </c:pt>
                <c:pt idx="4">
                  <c:v>0.37</c:v>
                </c:pt>
              </c:numCache>
            </c:numRef>
          </c:val>
          <c:smooth val="0"/>
          <c:extLst>
            <c:ext xmlns:c16="http://schemas.microsoft.com/office/drawing/2014/chart" uri="{C3380CC4-5D6E-409C-BE32-E72D297353CC}">
              <c16:uniqueId val="{00000001-9E5F-46B1-B095-15194E322475}"/>
            </c:ext>
          </c:extLst>
        </c:ser>
        <c:ser>
          <c:idx val="2"/>
          <c:order val="2"/>
          <c:tx>
            <c:strRef>
              <c:f>Sheet1!$D$1</c:f>
              <c:strCache>
                <c:ptCount val="1"/>
                <c:pt idx="0">
                  <c:v>European/Other</c:v>
                </c:pt>
              </c:strCache>
            </c:strRef>
          </c:tx>
          <c:spPr>
            <a:ln w="28575" cap="rnd">
              <a:solidFill>
                <a:schemeClr val="accent4">
                  <a:lumMod val="5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Sheet1!$D$2:$D$6</c:f>
              <c:numCache>
                <c:formatCode>0%</c:formatCode>
                <c:ptCount val="5"/>
                <c:pt idx="0">
                  <c:v>0.39</c:v>
                </c:pt>
                <c:pt idx="1">
                  <c:v>0.41</c:v>
                </c:pt>
                <c:pt idx="2">
                  <c:v>0.45</c:v>
                </c:pt>
                <c:pt idx="3">
                  <c:v>0.4</c:v>
                </c:pt>
                <c:pt idx="4">
                  <c:v>0.39</c:v>
                </c:pt>
              </c:numCache>
            </c:numRef>
          </c:val>
          <c:smooth val="0"/>
          <c:extLst>
            <c:ext xmlns:c16="http://schemas.microsoft.com/office/drawing/2014/chart" uri="{C3380CC4-5D6E-409C-BE32-E72D297353CC}">
              <c16:uniqueId val="{00000002-9E5F-46B1-B095-15194E322475}"/>
            </c:ext>
          </c:extLst>
        </c:ser>
        <c:ser>
          <c:idx val="3"/>
          <c:order val="3"/>
          <c:tx>
            <c:strRef>
              <c:f>Sheet1!$E$1</c:f>
              <c:strCache>
                <c:ptCount val="1"/>
                <c:pt idx="0">
                  <c:v>Asian</c:v>
                </c:pt>
              </c:strCache>
            </c:strRef>
          </c:tx>
          <c:spPr>
            <a:ln w="28575" cap="rnd">
              <a:solidFill>
                <a:schemeClr val="accent1">
                  <a:lumMod val="60000"/>
                  <a:lumOff val="4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Sheet1!$E$2:$E$6</c:f>
              <c:numCache>
                <c:formatCode>0%</c:formatCode>
                <c:ptCount val="5"/>
                <c:pt idx="0">
                  <c:v>0.34</c:v>
                </c:pt>
                <c:pt idx="1">
                  <c:v>0.34</c:v>
                </c:pt>
                <c:pt idx="2">
                  <c:v>0.4</c:v>
                </c:pt>
                <c:pt idx="3">
                  <c:v>0.36</c:v>
                </c:pt>
                <c:pt idx="4">
                  <c:v>0.35</c:v>
                </c:pt>
              </c:numCache>
            </c:numRef>
          </c:val>
          <c:smooth val="0"/>
          <c:extLst>
            <c:ext xmlns:c16="http://schemas.microsoft.com/office/drawing/2014/chart" uri="{C3380CC4-5D6E-409C-BE32-E72D297353CC}">
              <c16:uniqueId val="{00000003-9E5F-46B1-B095-15194E322475}"/>
            </c:ext>
          </c:extLst>
        </c:ser>
        <c:ser>
          <c:idx val="4"/>
          <c:order val="4"/>
          <c:tx>
            <c:strRef>
              <c:f>Sheet1!$F$1</c:f>
              <c:strCache>
                <c:ptCount val="1"/>
                <c:pt idx="0">
                  <c:v>Total</c:v>
                </c:pt>
              </c:strCache>
            </c:strRef>
          </c:tx>
          <c:spPr>
            <a:ln w="28575" cap="rnd">
              <a:solidFill>
                <a:schemeClr val="bg2">
                  <a:lumMod val="60000"/>
                  <a:lumOff val="4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Sheet1!$F$2:$F$6</c:f>
              <c:numCache>
                <c:formatCode>0%</c:formatCode>
                <c:ptCount val="5"/>
                <c:pt idx="0">
                  <c:v>0.38</c:v>
                </c:pt>
                <c:pt idx="1">
                  <c:v>0.4</c:v>
                </c:pt>
                <c:pt idx="2">
                  <c:v>0.44</c:v>
                </c:pt>
                <c:pt idx="3">
                  <c:v>0.4</c:v>
                </c:pt>
                <c:pt idx="4">
                  <c:v>0.39</c:v>
                </c:pt>
              </c:numCache>
            </c:numRef>
          </c:val>
          <c:smooth val="0"/>
          <c:extLst>
            <c:ext xmlns:c16="http://schemas.microsoft.com/office/drawing/2014/chart" uri="{C3380CC4-5D6E-409C-BE32-E72D297353CC}">
              <c16:uniqueId val="{00000004-9E5F-46B1-B095-15194E322475}"/>
            </c:ext>
          </c:extLst>
        </c:ser>
        <c:ser>
          <c:idx val="5"/>
          <c:order val="5"/>
          <c:tx>
            <c:strRef>
              <c:f>Sheet1!$G$1</c:f>
              <c:strCache>
                <c:ptCount val="1"/>
                <c:pt idx="0">
                  <c:v>Target</c:v>
                </c:pt>
              </c:strCache>
            </c:strRef>
          </c:tx>
          <c:spPr>
            <a:ln w="28575" cap="rnd">
              <a:solidFill>
                <a:srgbClr val="92D050"/>
              </a:solidFill>
              <a:prstDash val="sysDash"/>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Sheet1!$G$2:$G$6</c:f>
              <c:numCache>
                <c:formatCode>0%</c:formatCode>
                <c:ptCount val="5"/>
                <c:pt idx="0">
                  <c:v>0</c:v>
                </c:pt>
                <c:pt idx="1">
                  <c:v>0</c:v>
                </c:pt>
                <c:pt idx="2">
                  <c:v>0</c:v>
                </c:pt>
                <c:pt idx="3">
                  <c:v>0</c:v>
                </c:pt>
                <c:pt idx="4">
                  <c:v>0</c:v>
                </c:pt>
              </c:numCache>
            </c:numRef>
          </c:val>
          <c:smooth val="0"/>
          <c:extLst>
            <c:ext xmlns:c16="http://schemas.microsoft.com/office/drawing/2014/chart" uri="{C3380CC4-5D6E-409C-BE32-E72D297353CC}">
              <c16:uniqueId val="{00000005-9E5F-46B1-B095-15194E322475}"/>
            </c:ext>
          </c:extLst>
        </c:ser>
        <c:dLbls>
          <c:showLegendKey val="0"/>
          <c:showVal val="0"/>
          <c:showCatName val="0"/>
          <c:showSerName val="0"/>
          <c:showPercent val="0"/>
          <c:showBubbleSize val="0"/>
        </c:dLbls>
        <c:smooth val="0"/>
        <c:axId val="134846143"/>
        <c:axId val="134843263"/>
      </c:lineChart>
      <c:catAx>
        <c:axId val="134846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n-US"/>
          </a:p>
        </c:txPr>
        <c:crossAx val="134843263"/>
        <c:crosses val="autoZero"/>
        <c:auto val="1"/>
        <c:lblAlgn val="ctr"/>
        <c:lblOffset val="100"/>
        <c:noMultiLvlLbl val="0"/>
      </c:catAx>
      <c:valAx>
        <c:axId val="134843263"/>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n-US"/>
          </a:p>
        </c:txPr>
        <c:crossAx val="134846143"/>
        <c:crosses val="autoZero"/>
        <c:crossBetween val="between"/>
        <c:minorUnit val="2.0000000000000004E-2"/>
      </c:valAx>
      <c:spPr>
        <a:noFill/>
        <a:ln>
          <a:noFill/>
        </a:ln>
        <a:effectLst/>
      </c:spPr>
    </c:plotArea>
    <c:legend>
      <c:legendPos val="b"/>
      <c:layout>
        <c:manualLayout>
          <c:xMode val="edge"/>
          <c:yMode val="edge"/>
          <c:x val="0"/>
          <c:y val="0.89919272226893965"/>
          <c:w val="1"/>
          <c:h val="0.10080727773106031"/>
        </c:manualLayout>
      </c:layout>
      <c:overlay val="0"/>
      <c:spPr>
        <a:noFill/>
        <a:ln>
          <a:noFill/>
        </a:ln>
        <a:effectLst/>
      </c:spPr>
      <c:txPr>
        <a:bodyPr rot="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n>
            <a:noFill/>
          </a:ln>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Māori</c:v>
                </c:pt>
              </c:strCache>
            </c:strRef>
          </c:tx>
          <c:spPr>
            <a:ln w="28575" cap="rnd">
              <a:solidFill>
                <a:schemeClr val="accent6"/>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Sheet1!$B$2:$B$6</c:f>
              <c:numCache>
                <c:formatCode>General</c:formatCode>
                <c:ptCount val="5"/>
                <c:pt idx="0">
                  <c:v>575</c:v>
                </c:pt>
                <c:pt idx="1">
                  <c:v>401</c:v>
                </c:pt>
                <c:pt idx="2">
                  <c:v>415</c:v>
                </c:pt>
                <c:pt idx="3">
                  <c:v>426</c:v>
                </c:pt>
                <c:pt idx="4">
                  <c:v>592</c:v>
                </c:pt>
              </c:numCache>
            </c:numRef>
          </c:val>
          <c:smooth val="0"/>
          <c:extLst>
            <c:ext xmlns:c16="http://schemas.microsoft.com/office/drawing/2014/chart" uri="{C3380CC4-5D6E-409C-BE32-E72D297353CC}">
              <c16:uniqueId val="{00000000-F025-4BC9-9C3A-E8CCCB6A6D23}"/>
            </c:ext>
          </c:extLst>
        </c:ser>
        <c:ser>
          <c:idx val="1"/>
          <c:order val="1"/>
          <c:tx>
            <c:strRef>
              <c:f>Sheet1!$C$1</c:f>
              <c:strCache>
                <c:ptCount val="1"/>
                <c:pt idx="0">
                  <c:v>Pacific</c:v>
                </c:pt>
              </c:strCache>
            </c:strRef>
          </c:tx>
          <c:spPr>
            <a:ln w="28575" cap="rnd">
              <a:solidFill>
                <a:schemeClr val="accent5"/>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Sheet1!$C$2:$C$6</c:f>
              <c:numCache>
                <c:formatCode>General</c:formatCode>
                <c:ptCount val="5"/>
                <c:pt idx="0">
                  <c:v>694</c:v>
                </c:pt>
                <c:pt idx="1">
                  <c:v>471</c:v>
                </c:pt>
                <c:pt idx="2">
                  <c:v>484</c:v>
                </c:pt>
                <c:pt idx="3">
                  <c:v>511</c:v>
                </c:pt>
                <c:pt idx="4">
                  <c:v>726</c:v>
                </c:pt>
              </c:numCache>
            </c:numRef>
          </c:val>
          <c:smooth val="0"/>
          <c:extLst>
            <c:ext xmlns:c16="http://schemas.microsoft.com/office/drawing/2014/chart" uri="{C3380CC4-5D6E-409C-BE32-E72D297353CC}">
              <c16:uniqueId val="{00000001-F025-4BC9-9C3A-E8CCCB6A6D23}"/>
            </c:ext>
          </c:extLst>
        </c:ser>
        <c:ser>
          <c:idx val="2"/>
          <c:order val="2"/>
          <c:tx>
            <c:strRef>
              <c:f>Sheet1!$D$1</c:f>
              <c:strCache>
                <c:ptCount val="1"/>
                <c:pt idx="0">
                  <c:v>European, Asian /Other</c:v>
                </c:pt>
              </c:strCache>
            </c:strRef>
          </c:tx>
          <c:spPr>
            <a:ln w="28575" cap="rnd">
              <a:solidFill>
                <a:schemeClr val="accent4">
                  <a:lumMod val="5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Sheet1!$D$2:$D$6</c:f>
              <c:numCache>
                <c:formatCode>General</c:formatCode>
                <c:ptCount val="5"/>
                <c:pt idx="0">
                  <c:v>361</c:v>
                </c:pt>
                <c:pt idx="1">
                  <c:v>417</c:v>
                </c:pt>
                <c:pt idx="2">
                  <c:v>428</c:v>
                </c:pt>
                <c:pt idx="3">
                  <c:v>436</c:v>
                </c:pt>
                <c:pt idx="4">
                  <c:v>371</c:v>
                </c:pt>
              </c:numCache>
            </c:numRef>
          </c:val>
          <c:smooth val="0"/>
          <c:extLst>
            <c:ext xmlns:c16="http://schemas.microsoft.com/office/drawing/2014/chart" uri="{C3380CC4-5D6E-409C-BE32-E72D297353CC}">
              <c16:uniqueId val="{00000002-F025-4BC9-9C3A-E8CCCB6A6D23}"/>
            </c:ext>
          </c:extLst>
        </c:ser>
        <c:ser>
          <c:idx val="3"/>
          <c:order val="3"/>
          <c:tx>
            <c:strRef>
              <c:f>Sheet1!$E$1</c:f>
              <c:strCache>
                <c:ptCount val="1"/>
                <c:pt idx="0">
                  <c:v>Total</c:v>
                </c:pt>
              </c:strCache>
            </c:strRef>
          </c:tx>
          <c:spPr>
            <a:ln w="28575" cap="rnd">
              <a:solidFill>
                <a:schemeClr val="bg2">
                  <a:lumMod val="60000"/>
                  <a:lumOff val="4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Sheet1!$E$2:$E$6</c:f>
              <c:numCache>
                <c:formatCode>General</c:formatCode>
                <c:ptCount val="5"/>
                <c:pt idx="0">
                  <c:v>405</c:v>
                </c:pt>
                <c:pt idx="1">
                  <c:v>418</c:v>
                </c:pt>
                <c:pt idx="2">
                  <c:v>429</c:v>
                </c:pt>
                <c:pt idx="3">
                  <c:v>440</c:v>
                </c:pt>
                <c:pt idx="4">
                  <c:v>419</c:v>
                </c:pt>
              </c:numCache>
            </c:numRef>
          </c:val>
          <c:smooth val="0"/>
          <c:extLst>
            <c:ext xmlns:c16="http://schemas.microsoft.com/office/drawing/2014/chart" uri="{C3380CC4-5D6E-409C-BE32-E72D297353CC}">
              <c16:uniqueId val="{00000003-F025-4BC9-9C3A-E8CCCB6A6D23}"/>
            </c:ext>
          </c:extLst>
        </c:ser>
        <c:dLbls>
          <c:showLegendKey val="0"/>
          <c:showVal val="0"/>
          <c:showCatName val="0"/>
          <c:showSerName val="0"/>
          <c:showPercent val="0"/>
          <c:showBubbleSize val="0"/>
        </c:dLbls>
        <c:smooth val="0"/>
        <c:axId val="1138280752"/>
        <c:axId val="1138281472"/>
      </c:lineChart>
      <c:catAx>
        <c:axId val="113828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138281472"/>
        <c:crosses val="autoZero"/>
        <c:auto val="1"/>
        <c:lblAlgn val="ctr"/>
        <c:lblOffset val="100"/>
        <c:noMultiLvlLbl val="0"/>
      </c:catAx>
      <c:valAx>
        <c:axId val="1138281472"/>
        <c:scaling>
          <c:orientation val="minMax"/>
          <c:max val="8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138280752"/>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Total</c:v>
                </c:pt>
              </c:strCache>
            </c:strRef>
          </c:tx>
          <c:spPr>
            <a:ln w="28575" cap="rnd">
              <a:solidFill>
                <a:schemeClr val="accent6"/>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Sheet1!$B$2:$B$6</c:f>
              <c:numCache>
                <c:formatCode>#,##0</c:formatCode>
                <c:ptCount val="5"/>
                <c:pt idx="0">
                  <c:v>79680</c:v>
                </c:pt>
                <c:pt idx="1">
                  <c:v>79051</c:v>
                </c:pt>
                <c:pt idx="2">
                  <c:v>77616</c:v>
                </c:pt>
                <c:pt idx="3">
                  <c:v>82442</c:v>
                </c:pt>
                <c:pt idx="4">
                  <c:v>84039</c:v>
                </c:pt>
              </c:numCache>
            </c:numRef>
          </c:val>
          <c:smooth val="0"/>
          <c:extLst>
            <c:ext xmlns:c16="http://schemas.microsoft.com/office/drawing/2014/chart" uri="{C3380CC4-5D6E-409C-BE32-E72D297353CC}">
              <c16:uniqueId val="{00000000-1277-4C86-884C-48E5E199D224}"/>
            </c:ext>
          </c:extLst>
        </c:ser>
        <c:dLbls>
          <c:showLegendKey val="0"/>
          <c:showVal val="0"/>
          <c:showCatName val="0"/>
          <c:showSerName val="0"/>
          <c:showPercent val="0"/>
          <c:showBubbleSize val="0"/>
        </c:dLbls>
        <c:smooth val="0"/>
        <c:axId val="1285262384"/>
        <c:axId val="1285254464"/>
      </c:lineChart>
      <c:catAx>
        <c:axId val="128526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85254464"/>
        <c:crosses val="autoZero"/>
        <c:auto val="1"/>
        <c:lblAlgn val="ctr"/>
        <c:lblOffset val="100"/>
        <c:noMultiLvlLbl val="0"/>
      </c:catAx>
      <c:valAx>
        <c:axId val="1285254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85262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3617897825507"/>
          <c:y val="8.8748846667204159E-2"/>
          <c:w val="0.84630395054486374"/>
          <c:h val="0.72118280436788407"/>
        </c:manualLayout>
      </c:layout>
      <c:lineChart>
        <c:grouping val="standard"/>
        <c:varyColors val="0"/>
        <c:ser>
          <c:idx val="0"/>
          <c:order val="0"/>
          <c:tx>
            <c:strRef>
              <c:f>Sheet1!$B$1</c:f>
              <c:strCache>
                <c:ptCount val="1"/>
                <c:pt idx="0">
                  <c:v>Māori</c:v>
                </c:pt>
              </c:strCache>
            </c:strRef>
          </c:tx>
          <c:spPr>
            <a:ln w="28575" cap="rnd">
              <a:solidFill>
                <a:schemeClr val="accent6"/>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Sheet1!$B$2:$B$6</c:f>
              <c:numCache>
                <c:formatCode>0%</c:formatCode>
                <c:ptCount val="5"/>
                <c:pt idx="0">
                  <c:v>0.76</c:v>
                </c:pt>
                <c:pt idx="1">
                  <c:v>0.76</c:v>
                </c:pt>
                <c:pt idx="2">
                  <c:v>0.76</c:v>
                </c:pt>
                <c:pt idx="3">
                  <c:v>0.76</c:v>
                </c:pt>
                <c:pt idx="4">
                  <c:v>0.71</c:v>
                </c:pt>
              </c:numCache>
            </c:numRef>
          </c:val>
          <c:smooth val="0"/>
          <c:extLst>
            <c:ext xmlns:c16="http://schemas.microsoft.com/office/drawing/2014/chart" uri="{C3380CC4-5D6E-409C-BE32-E72D297353CC}">
              <c16:uniqueId val="{00000000-0612-4D0B-AD96-7518A7100E02}"/>
            </c:ext>
          </c:extLst>
        </c:ser>
        <c:ser>
          <c:idx val="1"/>
          <c:order val="1"/>
          <c:tx>
            <c:strRef>
              <c:f>Sheet1!$C$1</c:f>
              <c:strCache>
                <c:ptCount val="1"/>
                <c:pt idx="0">
                  <c:v>Pacific</c:v>
                </c:pt>
              </c:strCache>
            </c:strRef>
          </c:tx>
          <c:spPr>
            <a:ln w="28575" cap="rnd">
              <a:solidFill>
                <a:schemeClr val="accent5"/>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Sheet1!$C$2:$C$6</c:f>
              <c:numCache>
                <c:formatCode>0%</c:formatCode>
                <c:ptCount val="5"/>
                <c:pt idx="0">
                  <c:v>0.71</c:v>
                </c:pt>
                <c:pt idx="1">
                  <c:v>0.69</c:v>
                </c:pt>
                <c:pt idx="2">
                  <c:v>0.7</c:v>
                </c:pt>
                <c:pt idx="3">
                  <c:v>0.7</c:v>
                </c:pt>
                <c:pt idx="4">
                  <c:v>0.65</c:v>
                </c:pt>
              </c:numCache>
            </c:numRef>
          </c:val>
          <c:smooth val="0"/>
          <c:extLst>
            <c:ext xmlns:c16="http://schemas.microsoft.com/office/drawing/2014/chart" uri="{C3380CC4-5D6E-409C-BE32-E72D297353CC}">
              <c16:uniqueId val="{00000001-0612-4D0B-AD96-7518A7100E02}"/>
            </c:ext>
          </c:extLst>
        </c:ser>
        <c:ser>
          <c:idx val="2"/>
          <c:order val="2"/>
          <c:tx>
            <c:strRef>
              <c:f>Sheet1!$D$1</c:f>
              <c:strCache>
                <c:ptCount val="1"/>
                <c:pt idx="0">
                  <c:v>European/ Other</c:v>
                </c:pt>
              </c:strCache>
            </c:strRef>
          </c:tx>
          <c:spPr>
            <a:ln w="28575" cap="rnd">
              <a:solidFill>
                <a:schemeClr val="accent4">
                  <a:lumMod val="5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Sheet1!$D$2:$D$6</c:f>
              <c:numCache>
                <c:formatCode>0%</c:formatCode>
                <c:ptCount val="5"/>
                <c:pt idx="0">
                  <c:v>0.71</c:v>
                </c:pt>
                <c:pt idx="1">
                  <c:v>0.71</c:v>
                </c:pt>
                <c:pt idx="2">
                  <c:v>0.7</c:v>
                </c:pt>
                <c:pt idx="3">
                  <c:v>0.69</c:v>
                </c:pt>
                <c:pt idx="4">
                  <c:v>0.66</c:v>
                </c:pt>
              </c:numCache>
            </c:numRef>
          </c:val>
          <c:smooth val="0"/>
          <c:extLst>
            <c:ext xmlns:c16="http://schemas.microsoft.com/office/drawing/2014/chart" uri="{C3380CC4-5D6E-409C-BE32-E72D297353CC}">
              <c16:uniqueId val="{00000002-0612-4D0B-AD96-7518A7100E02}"/>
            </c:ext>
          </c:extLst>
        </c:ser>
        <c:ser>
          <c:idx val="3"/>
          <c:order val="3"/>
          <c:tx>
            <c:strRef>
              <c:f>Sheet1!$E$1</c:f>
              <c:strCache>
                <c:ptCount val="1"/>
                <c:pt idx="0">
                  <c:v>Asian</c:v>
                </c:pt>
              </c:strCache>
            </c:strRef>
          </c:tx>
          <c:spPr>
            <a:ln w="28575" cap="rnd">
              <a:solidFill>
                <a:schemeClr val="accent1">
                  <a:lumMod val="60000"/>
                  <a:lumOff val="4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Sheet1!$E$2:$E$6</c:f>
              <c:numCache>
                <c:formatCode>0%</c:formatCode>
                <c:ptCount val="5"/>
                <c:pt idx="0">
                  <c:v>0.76</c:v>
                </c:pt>
                <c:pt idx="1">
                  <c:v>0.73</c:v>
                </c:pt>
                <c:pt idx="2">
                  <c:v>0.73</c:v>
                </c:pt>
                <c:pt idx="3">
                  <c:v>0.74</c:v>
                </c:pt>
                <c:pt idx="4">
                  <c:v>0.7</c:v>
                </c:pt>
              </c:numCache>
            </c:numRef>
          </c:val>
          <c:smooth val="0"/>
          <c:extLst>
            <c:ext xmlns:c16="http://schemas.microsoft.com/office/drawing/2014/chart" uri="{C3380CC4-5D6E-409C-BE32-E72D297353CC}">
              <c16:uniqueId val="{00000003-0612-4D0B-AD96-7518A7100E02}"/>
            </c:ext>
          </c:extLst>
        </c:ser>
        <c:ser>
          <c:idx val="4"/>
          <c:order val="4"/>
          <c:tx>
            <c:strRef>
              <c:f>Sheet1!$F$1</c:f>
              <c:strCache>
                <c:ptCount val="1"/>
                <c:pt idx="0">
                  <c:v>Total</c:v>
                </c:pt>
              </c:strCache>
            </c:strRef>
          </c:tx>
          <c:spPr>
            <a:ln w="28575" cap="rnd">
              <a:solidFill>
                <a:schemeClr val="bg2">
                  <a:lumMod val="60000"/>
                  <a:lumOff val="4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Sheet1!$F$2:$F$6</c:f>
              <c:numCache>
                <c:formatCode>0%</c:formatCode>
                <c:ptCount val="5"/>
                <c:pt idx="0">
                  <c:v>0.72</c:v>
                </c:pt>
                <c:pt idx="1">
                  <c:v>0.72</c:v>
                </c:pt>
                <c:pt idx="2">
                  <c:v>0.72</c:v>
                </c:pt>
                <c:pt idx="3">
                  <c:v>0.71</c:v>
                </c:pt>
                <c:pt idx="4">
                  <c:v>0.68</c:v>
                </c:pt>
              </c:numCache>
            </c:numRef>
          </c:val>
          <c:smooth val="0"/>
          <c:extLst>
            <c:ext xmlns:c16="http://schemas.microsoft.com/office/drawing/2014/chart" uri="{C3380CC4-5D6E-409C-BE32-E72D297353CC}">
              <c16:uniqueId val="{00000004-0612-4D0B-AD96-7518A7100E02}"/>
            </c:ext>
          </c:extLst>
        </c:ser>
        <c:ser>
          <c:idx val="5"/>
          <c:order val="5"/>
          <c:tx>
            <c:strRef>
              <c:f>Sheet1!$G$1</c:f>
              <c:strCache>
                <c:ptCount val="1"/>
                <c:pt idx="0">
                  <c:v>Target</c:v>
                </c:pt>
              </c:strCache>
            </c:strRef>
          </c:tx>
          <c:spPr>
            <a:ln w="28575" cap="rnd">
              <a:solidFill>
                <a:srgbClr val="92D050"/>
              </a:solidFill>
              <a:prstDash val="sysDash"/>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Sheet1!$G$2:$G$6</c:f>
              <c:numCache>
                <c:formatCode>0%</c:formatCode>
                <c:ptCount val="5"/>
                <c:pt idx="0">
                  <c:v>0.95</c:v>
                </c:pt>
                <c:pt idx="1">
                  <c:v>0.95</c:v>
                </c:pt>
                <c:pt idx="2">
                  <c:v>0.95</c:v>
                </c:pt>
                <c:pt idx="3">
                  <c:v>0.95</c:v>
                </c:pt>
                <c:pt idx="4">
                  <c:v>0.95</c:v>
                </c:pt>
              </c:numCache>
            </c:numRef>
          </c:val>
          <c:smooth val="0"/>
          <c:extLst>
            <c:ext xmlns:c16="http://schemas.microsoft.com/office/drawing/2014/chart" uri="{C3380CC4-5D6E-409C-BE32-E72D297353CC}">
              <c16:uniqueId val="{00000005-0612-4D0B-AD96-7518A7100E02}"/>
            </c:ext>
          </c:extLst>
        </c:ser>
        <c:dLbls>
          <c:showLegendKey val="0"/>
          <c:showVal val="0"/>
          <c:showCatName val="0"/>
          <c:showSerName val="0"/>
          <c:showPercent val="0"/>
          <c:showBubbleSize val="0"/>
        </c:dLbls>
        <c:smooth val="0"/>
        <c:axId val="47531103"/>
        <c:axId val="47531823"/>
      </c:lineChart>
      <c:catAx>
        <c:axId val="47531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7531823"/>
        <c:crosses val="autoZero"/>
        <c:auto val="1"/>
        <c:lblAlgn val="ctr"/>
        <c:lblOffset val="100"/>
        <c:noMultiLvlLbl val="0"/>
      </c:catAx>
      <c:valAx>
        <c:axId val="47531823"/>
        <c:scaling>
          <c:orientation val="minMax"/>
          <c:max val="1"/>
          <c:min val="0.60000000000000009"/>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7531103"/>
        <c:crosses val="autoZero"/>
        <c:crossBetween val="between"/>
        <c:majorUnit val="0.1"/>
      </c:valAx>
      <c:spPr>
        <a:noFill/>
        <a:ln>
          <a:noFill/>
        </a:ln>
        <a:effectLst/>
      </c:spPr>
    </c:plotArea>
    <c:legend>
      <c:legendPos val="b"/>
      <c:layout>
        <c:manualLayout>
          <c:xMode val="edge"/>
          <c:yMode val="edge"/>
          <c:x val="0"/>
          <c:y val="0.92195506811648542"/>
          <c:w val="1"/>
          <c:h val="7.804547042541183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613632654726432E-2"/>
          <c:y val="9.1269841269841265E-2"/>
          <c:w val="0.8759233099424748"/>
          <c:h val="0.69208880886476221"/>
        </c:manualLayout>
      </c:layout>
      <c:lineChart>
        <c:grouping val="standard"/>
        <c:varyColors val="0"/>
        <c:ser>
          <c:idx val="0"/>
          <c:order val="0"/>
          <c:tx>
            <c:strRef>
              <c:f>Sheet1!$B$1</c:f>
              <c:strCache>
                <c:ptCount val="1"/>
                <c:pt idx="0">
                  <c:v>Māori</c:v>
                </c:pt>
              </c:strCache>
            </c:strRef>
          </c:tx>
          <c:spPr>
            <a:ln w="28575" cap="rnd">
              <a:solidFill>
                <a:schemeClr val="accent6"/>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Sheet1!$B$2:$B$6</c:f>
              <c:numCache>
                <c:formatCode>0.0%</c:formatCode>
                <c:ptCount val="5"/>
                <c:pt idx="0">
                  <c:v>6.9000000000000006E-2</c:v>
                </c:pt>
                <c:pt idx="1">
                  <c:v>6.7000000000000004E-2</c:v>
                </c:pt>
                <c:pt idx="2" formatCode="0%">
                  <c:v>7.0000000000000007E-2</c:v>
                </c:pt>
                <c:pt idx="3">
                  <c:v>7.0999999999999994E-2</c:v>
                </c:pt>
                <c:pt idx="4">
                  <c:v>6.7000000000000004E-2</c:v>
                </c:pt>
              </c:numCache>
            </c:numRef>
          </c:val>
          <c:smooth val="0"/>
          <c:extLst>
            <c:ext xmlns:c16="http://schemas.microsoft.com/office/drawing/2014/chart" uri="{C3380CC4-5D6E-409C-BE32-E72D297353CC}">
              <c16:uniqueId val="{00000000-CF1F-436E-A5C4-6D60979E80E2}"/>
            </c:ext>
          </c:extLst>
        </c:ser>
        <c:ser>
          <c:idx val="1"/>
          <c:order val="1"/>
          <c:tx>
            <c:strRef>
              <c:f>Sheet1!$C$1</c:f>
              <c:strCache>
                <c:ptCount val="1"/>
                <c:pt idx="0">
                  <c:v>Pacific</c:v>
                </c:pt>
              </c:strCache>
            </c:strRef>
          </c:tx>
          <c:spPr>
            <a:ln w="28575" cap="rnd">
              <a:solidFill>
                <a:schemeClr val="accent5"/>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Sheet1!$C$2:$C$6</c:f>
              <c:numCache>
                <c:formatCode>0.0%</c:formatCode>
                <c:ptCount val="5"/>
                <c:pt idx="0">
                  <c:v>7.8E-2</c:v>
                </c:pt>
                <c:pt idx="1">
                  <c:v>7.6999999999999999E-2</c:v>
                </c:pt>
                <c:pt idx="2">
                  <c:v>7.9000000000000001E-2</c:v>
                </c:pt>
                <c:pt idx="3">
                  <c:v>7.8E-2</c:v>
                </c:pt>
                <c:pt idx="4">
                  <c:v>7.5999999999999998E-2</c:v>
                </c:pt>
              </c:numCache>
            </c:numRef>
          </c:val>
          <c:smooth val="0"/>
          <c:extLst>
            <c:ext xmlns:c16="http://schemas.microsoft.com/office/drawing/2014/chart" uri="{C3380CC4-5D6E-409C-BE32-E72D297353CC}">
              <c16:uniqueId val="{00000001-CF1F-436E-A5C4-6D60979E80E2}"/>
            </c:ext>
          </c:extLst>
        </c:ser>
        <c:ser>
          <c:idx val="2"/>
          <c:order val="2"/>
          <c:tx>
            <c:strRef>
              <c:f>Sheet1!$D$1</c:f>
              <c:strCache>
                <c:ptCount val="1"/>
                <c:pt idx="0">
                  <c:v>European/ Other</c:v>
                </c:pt>
              </c:strCache>
            </c:strRef>
          </c:tx>
          <c:spPr>
            <a:ln w="28575" cap="rnd">
              <a:solidFill>
                <a:schemeClr val="accent4">
                  <a:lumMod val="5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Sheet1!$D$2:$D$6</c:f>
              <c:numCache>
                <c:formatCode>0.0%</c:formatCode>
                <c:ptCount val="5"/>
                <c:pt idx="0">
                  <c:v>0.10299999999999999</c:v>
                </c:pt>
                <c:pt idx="1">
                  <c:v>9.7000000000000003E-2</c:v>
                </c:pt>
                <c:pt idx="2">
                  <c:v>9.8000000000000004E-2</c:v>
                </c:pt>
                <c:pt idx="3">
                  <c:v>0.10100000000000001</c:v>
                </c:pt>
                <c:pt idx="4">
                  <c:v>0.104</c:v>
                </c:pt>
              </c:numCache>
            </c:numRef>
          </c:val>
          <c:smooth val="0"/>
          <c:extLst>
            <c:ext xmlns:c16="http://schemas.microsoft.com/office/drawing/2014/chart" uri="{C3380CC4-5D6E-409C-BE32-E72D297353CC}">
              <c16:uniqueId val="{00000002-CF1F-436E-A5C4-6D60979E80E2}"/>
            </c:ext>
          </c:extLst>
        </c:ser>
        <c:ser>
          <c:idx val="3"/>
          <c:order val="3"/>
          <c:tx>
            <c:strRef>
              <c:f>Sheet1!$E$1</c:f>
              <c:strCache>
                <c:ptCount val="1"/>
                <c:pt idx="0">
                  <c:v>Asian</c:v>
                </c:pt>
              </c:strCache>
            </c:strRef>
          </c:tx>
          <c:spPr>
            <a:ln w="28575" cap="rnd">
              <a:solidFill>
                <a:schemeClr val="accent1">
                  <a:lumMod val="60000"/>
                  <a:lumOff val="4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Sheet1!$E$2:$E$6</c:f>
              <c:numCache>
                <c:formatCode>0.0%</c:formatCode>
                <c:ptCount val="5"/>
                <c:pt idx="0">
                  <c:v>6.5000000000000002E-2</c:v>
                </c:pt>
                <c:pt idx="1">
                  <c:v>6.0999999999999999E-2</c:v>
                </c:pt>
                <c:pt idx="2">
                  <c:v>6.7000000000000004E-2</c:v>
                </c:pt>
                <c:pt idx="3">
                  <c:v>6.0999999999999999E-2</c:v>
                </c:pt>
                <c:pt idx="4">
                  <c:v>5.8999999999999997E-2</c:v>
                </c:pt>
              </c:numCache>
            </c:numRef>
          </c:val>
          <c:smooth val="0"/>
          <c:extLst>
            <c:ext xmlns:c16="http://schemas.microsoft.com/office/drawing/2014/chart" uri="{C3380CC4-5D6E-409C-BE32-E72D297353CC}">
              <c16:uniqueId val="{00000003-CF1F-436E-A5C4-6D60979E80E2}"/>
            </c:ext>
          </c:extLst>
        </c:ser>
        <c:ser>
          <c:idx val="4"/>
          <c:order val="4"/>
          <c:tx>
            <c:strRef>
              <c:f>Sheet1!$F$1</c:f>
              <c:strCache>
                <c:ptCount val="1"/>
                <c:pt idx="0">
                  <c:v>Total</c:v>
                </c:pt>
              </c:strCache>
            </c:strRef>
          </c:tx>
          <c:spPr>
            <a:ln w="28575" cap="rnd">
              <a:solidFill>
                <a:schemeClr val="bg2">
                  <a:lumMod val="60000"/>
                  <a:lumOff val="4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Sheet1!$F$2:$F$6</c:f>
              <c:numCache>
                <c:formatCode>0.0%</c:formatCode>
                <c:ptCount val="5"/>
                <c:pt idx="0">
                  <c:v>9.0999999999999998E-2</c:v>
                </c:pt>
                <c:pt idx="1">
                  <c:v>8.6999999999999994E-2</c:v>
                </c:pt>
                <c:pt idx="2">
                  <c:v>8.7999999999999995E-2</c:v>
                </c:pt>
                <c:pt idx="3">
                  <c:v>8.8999999999999996E-2</c:v>
                </c:pt>
                <c:pt idx="4">
                  <c:v>0.09</c:v>
                </c:pt>
              </c:numCache>
            </c:numRef>
          </c:val>
          <c:smooth val="0"/>
          <c:extLst>
            <c:ext xmlns:c16="http://schemas.microsoft.com/office/drawing/2014/chart" uri="{C3380CC4-5D6E-409C-BE32-E72D297353CC}">
              <c16:uniqueId val="{00000004-CF1F-436E-A5C4-6D60979E80E2}"/>
            </c:ext>
          </c:extLst>
        </c:ser>
        <c:dLbls>
          <c:showLegendKey val="0"/>
          <c:showVal val="0"/>
          <c:showCatName val="0"/>
          <c:showSerName val="0"/>
          <c:showPercent val="0"/>
          <c:showBubbleSize val="0"/>
        </c:dLbls>
        <c:smooth val="0"/>
        <c:axId val="71339135"/>
        <c:axId val="71344175"/>
      </c:lineChart>
      <c:catAx>
        <c:axId val="71339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1344175"/>
        <c:crosses val="autoZero"/>
        <c:auto val="1"/>
        <c:lblAlgn val="ctr"/>
        <c:lblOffset val="100"/>
        <c:noMultiLvlLbl val="0"/>
      </c:catAx>
      <c:valAx>
        <c:axId val="7134417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1339135"/>
        <c:crosses val="autoZero"/>
        <c:crossBetween val="between"/>
        <c:minorUnit val="2.0000000000000004E-2"/>
      </c:valAx>
      <c:spPr>
        <a:noFill/>
        <a:ln>
          <a:noFill/>
        </a:ln>
        <a:effectLst/>
      </c:spPr>
    </c:plotArea>
    <c:legend>
      <c:legendPos val="b"/>
      <c:layout>
        <c:manualLayout>
          <c:xMode val="edge"/>
          <c:yMode val="edge"/>
          <c:x val="4.9999878449895827E-2"/>
          <c:y val="0.90535547891062129"/>
          <c:w val="0.90000000000000013"/>
          <c:h val="9.464450476113693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Māori</c:v>
                </c:pt>
              </c:strCache>
            </c:strRef>
          </c:tx>
          <c:spPr>
            <a:ln w="28575" cap="rnd">
              <a:solidFill>
                <a:schemeClr val="accent6"/>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Sheet1!$B$2:$B$6</c:f>
              <c:numCache>
                <c:formatCode>0%</c:formatCode>
                <c:ptCount val="5"/>
                <c:pt idx="0">
                  <c:v>0.16</c:v>
                </c:pt>
                <c:pt idx="1">
                  <c:v>0.16</c:v>
                </c:pt>
                <c:pt idx="2">
                  <c:v>0.16</c:v>
                </c:pt>
                <c:pt idx="3">
                  <c:v>0.15</c:v>
                </c:pt>
                <c:pt idx="4">
                  <c:v>0.15</c:v>
                </c:pt>
              </c:numCache>
            </c:numRef>
          </c:val>
          <c:smooth val="0"/>
          <c:extLst>
            <c:ext xmlns:c16="http://schemas.microsoft.com/office/drawing/2014/chart" uri="{C3380CC4-5D6E-409C-BE32-E72D297353CC}">
              <c16:uniqueId val="{00000000-6D8D-4B1E-925D-9CA586C80338}"/>
            </c:ext>
          </c:extLst>
        </c:ser>
        <c:ser>
          <c:idx val="1"/>
          <c:order val="1"/>
          <c:tx>
            <c:strRef>
              <c:f>Sheet1!$C$1</c:f>
              <c:strCache>
                <c:ptCount val="1"/>
                <c:pt idx="0">
                  <c:v>Pacific</c:v>
                </c:pt>
              </c:strCache>
            </c:strRef>
          </c:tx>
          <c:spPr>
            <a:ln w="28575" cap="rnd">
              <a:solidFill>
                <a:schemeClr val="accent5"/>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Sheet1!$C$2:$C$6</c:f>
              <c:numCache>
                <c:formatCode>0%</c:formatCode>
                <c:ptCount val="5"/>
                <c:pt idx="0">
                  <c:v>0.17</c:v>
                </c:pt>
                <c:pt idx="1">
                  <c:v>0.18</c:v>
                </c:pt>
                <c:pt idx="2">
                  <c:v>0.18</c:v>
                </c:pt>
                <c:pt idx="3">
                  <c:v>0.19</c:v>
                </c:pt>
                <c:pt idx="4">
                  <c:v>0.17</c:v>
                </c:pt>
              </c:numCache>
            </c:numRef>
          </c:val>
          <c:smooth val="0"/>
          <c:extLst>
            <c:ext xmlns:c16="http://schemas.microsoft.com/office/drawing/2014/chart" uri="{C3380CC4-5D6E-409C-BE32-E72D297353CC}">
              <c16:uniqueId val="{00000001-6D8D-4B1E-925D-9CA586C80338}"/>
            </c:ext>
          </c:extLst>
        </c:ser>
        <c:ser>
          <c:idx val="2"/>
          <c:order val="2"/>
          <c:tx>
            <c:strRef>
              <c:f>Sheet1!$D$1</c:f>
              <c:strCache>
                <c:ptCount val="1"/>
                <c:pt idx="0">
                  <c:v>European/ Other</c:v>
                </c:pt>
              </c:strCache>
            </c:strRef>
          </c:tx>
          <c:spPr>
            <a:ln w="28575" cap="rnd">
              <a:solidFill>
                <a:schemeClr val="accent4">
                  <a:lumMod val="5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Sheet1!$D$2:$D$6</c:f>
              <c:numCache>
                <c:formatCode>0%</c:formatCode>
                <c:ptCount val="5"/>
                <c:pt idx="0">
                  <c:v>0.05</c:v>
                </c:pt>
                <c:pt idx="1">
                  <c:v>0.05</c:v>
                </c:pt>
                <c:pt idx="2">
                  <c:v>0.05</c:v>
                </c:pt>
                <c:pt idx="3">
                  <c:v>0.05</c:v>
                </c:pt>
                <c:pt idx="4">
                  <c:v>0.04</c:v>
                </c:pt>
              </c:numCache>
            </c:numRef>
          </c:val>
          <c:smooth val="0"/>
          <c:extLst>
            <c:ext xmlns:c16="http://schemas.microsoft.com/office/drawing/2014/chart" uri="{C3380CC4-5D6E-409C-BE32-E72D297353CC}">
              <c16:uniqueId val="{00000002-6D8D-4B1E-925D-9CA586C80338}"/>
            </c:ext>
          </c:extLst>
        </c:ser>
        <c:ser>
          <c:idx val="3"/>
          <c:order val="3"/>
          <c:tx>
            <c:strRef>
              <c:f>Sheet1!$E$1</c:f>
              <c:strCache>
                <c:ptCount val="1"/>
                <c:pt idx="0">
                  <c:v>Asian</c:v>
                </c:pt>
              </c:strCache>
            </c:strRef>
          </c:tx>
          <c:spPr>
            <a:ln w="28575" cap="rnd">
              <a:solidFill>
                <a:schemeClr val="accent1">
                  <a:lumMod val="60000"/>
                  <a:lumOff val="4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Sheet1!$E$2:$E$6</c:f>
              <c:numCache>
                <c:formatCode>0%</c:formatCode>
                <c:ptCount val="5"/>
                <c:pt idx="0">
                  <c:v>0.06</c:v>
                </c:pt>
                <c:pt idx="1">
                  <c:v>0.06</c:v>
                </c:pt>
                <c:pt idx="2">
                  <c:v>7.0000000000000007E-2</c:v>
                </c:pt>
                <c:pt idx="3">
                  <c:v>0.06</c:v>
                </c:pt>
                <c:pt idx="4">
                  <c:v>0.05</c:v>
                </c:pt>
              </c:numCache>
            </c:numRef>
          </c:val>
          <c:smooth val="0"/>
          <c:extLst>
            <c:ext xmlns:c16="http://schemas.microsoft.com/office/drawing/2014/chart" uri="{C3380CC4-5D6E-409C-BE32-E72D297353CC}">
              <c16:uniqueId val="{00000003-6D8D-4B1E-925D-9CA586C80338}"/>
            </c:ext>
          </c:extLst>
        </c:ser>
        <c:ser>
          <c:idx val="4"/>
          <c:order val="4"/>
          <c:tx>
            <c:strRef>
              <c:f>Sheet1!$F$1</c:f>
              <c:strCache>
                <c:ptCount val="1"/>
                <c:pt idx="0">
                  <c:v>Total</c:v>
                </c:pt>
              </c:strCache>
            </c:strRef>
          </c:tx>
          <c:spPr>
            <a:ln w="28575" cap="rnd">
              <a:solidFill>
                <a:schemeClr val="bg2">
                  <a:lumMod val="60000"/>
                  <a:lumOff val="4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Sheet1!$F$2:$F$6</c:f>
              <c:numCache>
                <c:formatCode>0%</c:formatCode>
                <c:ptCount val="5"/>
                <c:pt idx="0">
                  <c:v>0.08</c:v>
                </c:pt>
                <c:pt idx="1">
                  <c:v>0.08</c:v>
                </c:pt>
                <c:pt idx="2">
                  <c:v>0.08</c:v>
                </c:pt>
                <c:pt idx="3">
                  <c:v>0.08</c:v>
                </c:pt>
                <c:pt idx="4">
                  <c:v>7.0000000000000007E-2</c:v>
                </c:pt>
              </c:numCache>
            </c:numRef>
          </c:val>
          <c:smooth val="0"/>
          <c:extLst>
            <c:ext xmlns:c16="http://schemas.microsoft.com/office/drawing/2014/chart" uri="{C3380CC4-5D6E-409C-BE32-E72D297353CC}">
              <c16:uniqueId val="{00000004-6D8D-4B1E-925D-9CA586C80338}"/>
            </c:ext>
          </c:extLst>
        </c:ser>
        <c:dLbls>
          <c:showLegendKey val="0"/>
          <c:showVal val="0"/>
          <c:showCatName val="0"/>
          <c:showSerName val="0"/>
          <c:showPercent val="0"/>
          <c:showBubbleSize val="0"/>
        </c:dLbls>
        <c:smooth val="0"/>
        <c:axId val="876039360"/>
        <c:axId val="876040080"/>
      </c:lineChart>
      <c:catAx>
        <c:axId val="87603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76040080"/>
        <c:crosses val="autoZero"/>
        <c:auto val="1"/>
        <c:lblAlgn val="ctr"/>
        <c:lblOffset val="100"/>
        <c:noMultiLvlLbl val="0"/>
      </c:catAx>
      <c:valAx>
        <c:axId val="87604008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76039360"/>
        <c:crosses val="autoZero"/>
        <c:crossBetween val="between"/>
        <c:majorUnit val="4.0000000000000008E-2"/>
        <c:minorUnit val="2.0000000000000004E-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71884905314995"/>
          <c:y val="5.8399648182275089E-2"/>
          <c:w val="0.86369808694612649"/>
          <c:h val="0.77052148121304753"/>
        </c:manualLayout>
      </c:layout>
      <c:lineChart>
        <c:grouping val="standard"/>
        <c:varyColors val="0"/>
        <c:ser>
          <c:idx val="0"/>
          <c:order val="0"/>
          <c:tx>
            <c:strRef>
              <c:f>Sheet1!$B$1</c:f>
              <c:strCache>
                <c:ptCount val="1"/>
                <c:pt idx="0">
                  <c:v>Māori</c:v>
                </c:pt>
              </c:strCache>
            </c:strRef>
          </c:tx>
          <c:spPr>
            <a:ln w="28575" cap="rnd">
              <a:solidFill>
                <a:schemeClr val="accent6"/>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Sheet1!$B$2:$B$6</c:f>
              <c:numCache>
                <c:formatCode>0%</c:formatCode>
                <c:ptCount val="5"/>
                <c:pt idx="0">
                  <c:v>0.85</c:v>
                </c:pt>
                <c:pt idx="1">
                  <c:v>0.85</c:v>
                </c:pt>
                <c:pt idx="2">
                  <c:v>0.84</c:v>
                </c:pt>
                <c:pt idx="3">
                  <c:v>0.86</c:v>
                </c:pt>
                <c:pt idx="4">
                  <c:v>0.86</c:v>
                </c:pt>
              </c:numCache>
            </c:numRef>
          </c:val>
          <c:smooth val="0"/>
          <c:extLst>
            <c:ext xmlns:c16="http://schemas.microsoft.com/office/drawing/2014/chart" uri="{C3380CC4-5D6E-409C-BE32-E72D297353CC}">
              <c16:uniqueId val="{00000000-AFC3-484D-B285-E75D4D923899}"/>
            </c:ext>
          </c:extLst>
        </c:ser>
        <c:ser>
          <c:idx val="1"/>
          <c:order val="1"/>
          <c:tx>
            <c:strRef>
              <c:f>Sheet1!$C$1</c:f>
              <c:strCache>
                <c:ptCount val="1"/>
                <c:pt idx="0">
                  <c:v>Pacific</c:v>
                </c:pt>
              </c:strCache>
            </c:strRef>
          </c:tx>
          <c:spPr>
            <a:ln w="28575" cap="rnd">
              <a:solidFill>
                <a:schemeClr val="accent5"/>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Sheet1!$C$2:$C$6</c:f>
              <c:numCache>
                <c:formatCode>0%</c:formatCode>
                <c:ptCount val="5"/>
                <c:pt idx="0">
                  <c:v>0.87</c:v>
                </c:pt>
                <c:pt idx="1">
                  <c:v>0.84</c:v>
                </c:pt>
                <c:pt idx="2">
                  <c:v>0.85</c:v>
                </c:pt>
                <c:pt idx="3">
                  <c:v>0.86</c:v>
                </c:pt>
                <c:pt idx="4">
                  <c:v>0.85</c:v>
                </c:pt>
              </c:numCache>
            </c:numRef>
          </c:val>
          <c:smooth val="0"/>
          <c:extLst>
            <c:ext xmlns:c16="http://schemas.microsoft.com/office/drawing/2014/chart" uri="{C3380CC4-5D6E-409C-BE32-E72D297353CC}">
              <c16:uniqueId val="{00000001-AFC3-484D-B285-E75D4D923899}"/>
            </c:ext>
          </c:extLst>
        </c:ser>
        <c:ser>
          <c:idx val="2"/>
          <c:order val="2"/>
          <c:tx>
            <c:strRef>
              <c:f>Sheet1!$D$1</c:f>
              <c:strCache>
                <c:ptCount val="1"/>
                <c:pt idx="0">
                  <c:v>European/ Other</c:v>
                </c:pt>
              </c:strCache>
            </c:strRef>
          </c:tx>
          <c:spPr>
            <a:ln w="28575" cap="rnd">
              <a:solidFill>
                <a:schemeClr val="accent4">
                  <a:lumMod val="5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Sheet1!$D$2:$D$6</c:f>
              <c:numCache>
                <c:formatCode>0%</c:formatCode>
                <c:ptCount val="5"/>
                <c:pt idx="0">
                  <c:v>0.87</c:v>
                </c:pt>
                <c:pt idx="1">
                  <c:v>0.86</c:v>
                </c:pt>
                <c:pt idx="2">
                  <c:v>0.87</c:v>
                </c:pt>
                <c:pt idx="3">
                  <c:v>0.86</c:v>
                </c:pt>
                <c:pt idx="4">
                  <c:v>0.87</c:v>
                </c:pt>
              </c:numCache>
            </c:numRef>
          </c:val>
          <c:smooth val="0"/>
          <c:extLst>
            <c:ext xmlns:c16="http://schemas.microsoft.com/office/drawing/2014/chart" uri="{C3380CC4-5D6E-409C-BE32-E72D297353CC}">
              <c16:uniqueId val="{00000002-AFC3-484D-B285-E75D4D923899}"/>
            </c:ext>
          </c:extLst>
        </c:ser>
        <c:ser>
          <c:idx val="3"/>
          <c:order val="3"/>
          <c:tx>
            <c:strRef>
              <c:f>Sheet1!$E$1</c:f>
              <c:strCache>
                <c:ptCount val="1"/>
                <c:pt idx="0">
                  <c:v>Asian</c:v>
                </c:pt>
              </c:strCache>
            </c:strRef>
          </c:tx>
          <c:spPr>
            <a:ln w="28575" cap="rnd">
              <a:solidFill>
                <a:schemeClr val="accent1">
                  <a:lumMod val="60000"/>
                  <a:lumOff val="4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Sheet1!$E$2:$E$6</c:f>
              <c:numCache>
                <c:formatCode>0%</c:formatCode>
                <c:ptCount val="5"/>
                <c:pt idx="0">
                  <c:v>0.86</c:v>
                </c:pt>
                <c:pt idx="1">
                  <c:v>0.84</c:v>
                </c:pt>
                <c:pt idx="2">
                  <c:v>0.84</c:v>
                </c:pt>
                <c:pt idx="3">
                  <c:v>0.85</c:v>
                </c:pt>
                <c:pt idx="4">
                  <c:v>0.84</c:v>
                </c:pt>
              </c:numCache>
            </c:numRef>
          </c:val>
          <c:smooth val="0"/>
          <c:extLst>
            <c:ext xmlns:c16="http://schemas.microsoft.com/office/drawing/2014/chart" uri="{C3380CC4-5D6E-409C-BE32-E72D297353CC}">
              <c16:uniqueId val="{00000003-AFC3-484D-B285-E75D4D923899}"/>
            </c:ext>
          </c:extLst>
        </c:ser>
        <c:ser>
          <c:idx val="4"/>
          <c:order val="4"/>
          <c:tx>
            <c:strRef>
              <c:f>Sheet1!$F$1</c:f>
              <c:strCache>
                <c:ptCount val="1"/>
                <c:pt idx="0">
                  <c:v>Total</c:v>
                </c:pt>
              </c:strCache>
            </c:strRef>
          </c:tx>
          <c:spPr>
            <a:ln w="28575" cap="rnd">
              <a:solidFill>
                <a:schemeClr val="bg2">
                  <a:lumMod val="60000"/>
                  <a:lumOff val="4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Sheet1!$F$2:$F$6</c:f>
              <c:numCache>
                <c:formatCode>0%</c:formatCode>
                <c:ptCount val="5"/>
                <c:pt idx="0">
                  <c:v>0.87</c:v>
                </c:pt>
                <c:pt idx="1">
                  <c:v>0.86</c:v>
                </c:pt>
                <c:pt idx="2">
                  <c:v>0.86</c:v>
                </c:pt>
                <c:pt idx="3">
                  <c:v>0.86</c:v>
                </c:pt>
                <c:pt idx="4">
                  <c:v>0.87</c:v>
                </c:pt>
              </c:numCache>
            </c:numRef>
          </c:val>
          <c:smooth val="0"/>
          <c:extLst>
            <c:ext xmlns:c16="http://schemas.microsoft.com/office/drawing/2014/chart" uri="{C3380CC4-5D6E-409C-BE32-E72D297353CC}">
              <c16:uniqueId val="{00000004-AFC3-484D-B285-E75D4D923899}"/>
            </c:ext>
          </c:extLst>
        </c:ser>
        <c:dLbls>
          <c:showLegendKey val="0"/>
          <c:showVal val="0"/>
          <c:showCatName val="0"/>
          <c:showSerName val="0"/>
          <c:showPercent val="0"/>
          <c:showBubbleSize val="0"/>
        </c:dLbls>
        <c:smooth val="0"/>
        <c:axId val="1269535528"/>
        <c:axId val="1269540208"/>
      </c:lineChart>
      <c:catAx>
        <c:axId val="1269535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69540208"/>
        <c:crosses val="autoZero"/>
        <c:auto val="1"/>
        <c:lblAlgn val="ctr"/>
        <c:lblOffset val="100"/>
        <c:noMultiLvlLbl val="0"/>
      </c:catAx>
      <c:valAx>
        <c:axId val="1269540208"/>
        <c:scaling>
          <c:orientation val="minMax"/>
          <c:max val="1"/>
          <c:min val="0.8"/>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69535528"/>
        <c:crosses val="autoZero"/>
        <c:crossBetween val="between"/>
        <c:majorUnit val="0.1"/>
        <c:minorUnit val="2.0000000000000004E-2"/>
      </c:valAx>
      <c:spPr>
        <a:noFill/>
        <a:ln>
          <a:noFill/>
        </a:ln>
        <a:effectLst/>
      </c:spPr>
    </c:plotArea>
    <c:legend>
      <c:legendPos val="b"/>
      <c:layout>
        <c:manualLayout>
          <c:xMode val="edge"/>
          <c:yMode val="edge"/>
          <c:x val="4.6758381296341196E-2"/>
          <c:y val="0.90902901288282356"/>
          <c:w val="0.9"/>
          <c:h val="9.097098711717639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Sheet1!$A$3</c:f>
              <c:strCache>
                <c:ptCount val="1"/>
                <c:pt idx="0">
                  <c:v>Nothern</c:v>
                </c:pt>
              </c:strCache>
            </c:strRef>
          </c:tx>
          <c:spPr>
            <a:ln w="28575" cap="rnd">
              <a:solidFill>
                <a:schemeClr val="accent6"/>
              </a:solidFill>
              <a:round/>
            </a:ln>
            <a:effectLst/>
          </c:spPr>
          <c:marker>
            <c:symbol val="none"/>
          </c:marker>
          <c:cat>
            <c:strRef>
              <c:f>Sheet1!$B$2:$F$2</c:f>
              <c:strCache>
                <c:ptCount val="5"/>
                <c:pt idx="0">
                  <c:v>Q1 2022-23</c:v>
                </c:pt>
                <c:pt idx="1">
                  <c:v>Q2 2022-23</c:v>
                </c:pt>
                <c:pt idx="2">
                  <c:v>Q3 2022-23</c:v>
                </c:pt>
                <c:pt idx="3">
                  <c:v>Q4 2022-23</c:v>
                </c:pt>
                <c:pt idx="4">
                  <c:v>Q1 2023-24</c:v>
                </c:pt>
              </c:strCache>
            </c:strRef>
          </c:cat>
          <c:val>
            <c:numRef>
              <c:f>Sheet1!$B$3:$F$3</c:f>
              <c:numCache>
                <c:formatCode>0%</c:formatCode>
                <c:ptCount val="5"/>
                <c:pt idx="0">
                  <c:v>0.08</c:v>
                </c:pt>
                <c:pt idx="1">
                  <c:v>0.09</c:v>
                </c:pt>
                <c:pt idx="2">
                  <c:v>0.09</c:v>
                </c:pt>
                <c:pt idx="3">
                  <c:v>0.09</c:v>
                </c:pt>
                <c:pt idx="4">
                  <c:v>0.08</c:v>
                </c:pt>
              </c:numCache>
            </c:numRef>
          </c:val>
          <c:smooth val="0"/>
          <c:extLst>
            <c:ext xmlns:c16="http://schemas.microsoft.com/office/drawing/2014/chart" uri="{C3380CC4-5D6E-409C-BE32-E72D297353CC}">
              <c16:uniqueId val="{00000000-C88A-4DA9-B61E-7FB23EA7A167}"/>
            </c:ext>
          </c:extLst>
        </c:ser>
        <c:ser>
          <c:idx val="1"/>
          <c:order val="1"/>
          <c:tx>
            <c:strRef>
              <c:f>Sheet1!$A$4</c:f>
              <c:strCache>
                <c:ptCount val="1"/>
                <c:pt idx="0">
                  <c:v>Te Manawa Taki</c:v>
                </c:pt>
              </c:strCache>
            </c:strRef>
          </c:tx>
          <c:spPr>
            <a:ln w="28575" cap="rnd">
              <a:solidFill>
                <a:schemeClr val="accent5"/>
              </a:solidFill>
              <a:round/>
            </a:ln>
            <a:effectLst/>
          </c:spPr>
          <c:marker>
            <c:symbol val="none"/>
          </c:marker>
          <c:cat>
            <c:strRef>
              <c:f>Sheet1!$B$2:$F$2</c:f>
              <c:strCache>
                <c:ptCount val="5"/>
                <c:pt idx="0">
                  <c:v>Q1 2022-23</c:v>
                </c:pt>
                <c:pt idx="1">
                  <c:v>Q2 2022-23</c:v>
                </c:pt>
                <c:pt idx="2">
                  <c:v>Q3 2022-23</c:v>
                </c:pt>
                <c:pt idx="3">
                  <c:v>Q4 2022-23</c:v>
                </c:pt>
                <c:pt idx="4">
                  <c:v>Q1 2023-24</c:v>
                </c:pt>
              </c:strCache>
            </c:strRef>
          </c:cat>
          <c:val>
            <c:numRef>
              <c:f>Sheet1!$B$4:$F$4</c:f>
              <c:numCache>
                <c:formatCode>0%</c:formatCode>
                <c:ptCount val="5"/>
                <c:pt idx="0">
                  <c:v>0.08</c:v>
                </c:pt>
                <c:pt idx="1">
                  <c:v>0.08</c:v>
                </c:pt>
                <c:pt idx="2">
                  <c:v>0.08</c:v>
                </c:pt>
                <c:pt idx="3">
                  <c:v>0.08</c:v>
                </c:pt>
                <c:pt idx="4">
                  <c:v>7.0000000000000007E-2</c:v>
                </c:pt>
              </c:numCache>
            </c:numRef>
          </c:val>
          <c:smooth val="0"/>
          <c:extLst>
            <c:ext xmlns:c16="http://schemas.microsoft.com/office/drawing/2014/chart" uri="{C3380CC4-5D6E-409C-BE32-E72D297353CC}">
              <c16:uniqueId val="{00000001-C88A-4DA9-B61E-7FB23EA7A167}"/>
            </c:ext>
          </c:extLst>
        </c:ser>
        <c:ser>
          <c:idx val="2"/>
          <c:order val="2"/>
          <c:tx>
            <c:strRef>
              <c:f>Sheet1!$A$5</c:f>
              <c:strCache>
                <c:ptCount val="1"/>
                <c:pt idx="0">
                  <c:v>Central</c:v>
                </c:pt>
              </c:strCache>
            </c:strRef>
          </c:tx>
          <c:spPr>
            <a:ln w="28575" cap="rnd">
              <a:solidFill>
                <a:schemeClr val="accent4">
                  <a:lumMod val="50000"/>
                </a:schemeClr>
              </a:solidFill>
              <a:round/>
            </a:ln>
            <a:effectLst/>
          </c:spPr>
          <c:marker>
            <c:symbol val="none"/>
          </c:marker>
          <c:cat>
            <c:strRef>
              <c:f>Sheet1!$B$2:$F$2</c:f>
              <c:strCache>
                <c:ptCount val="5"/>
                <c:pt idx="0">
                  <c:v>Q1 2022-23</c:v>
                </c:pt>
                <c:pt idx="1">
                  <c:v>Q2 2022-23</c:v>
                </c:pt>
                <c:pt idx="2">
                  <c:v>Q3 2022-23</c:v>
                </c:pt>
                <c:pt idx="3">
                  <c:v>Q4 2022-23</c:v>
                </c:pt>
                <c:pt idx="4">
                  <c:v>Q1 2023-24</c:v>
                </c:pt>
              </c:strCache>
            </c:strRef>
          </c:cat>
          <c:val>
            <c:numRef>
              <c:f>Sheet1!$B$5:$F$5</c:f>
              <c:numCache>
                <c:formatCode>0%</c:formatCode>
                <c:ptCount val="5"/>
                <c:pt idx="0">
                  <c:v>0.08</c:v>
                </c:pt>
                <c:pt idx="1">
                  <c:v>7.0000000000000007E-2</c:v>
                </c:pt>
                <c:pt idx="2">
                  <c:v>0.08</c:v>
                </c:pt>
                <c:pt idx="3">
                  <c:v>7.0000000000000007E-2</c:v>
                </c:pt>
                <c:pt idx="4">
                  <c:v>7.0000000000000007E-2</c:v>
                </c:pt>
              </c:numCache>
            </c:numRef>
          </c:val>
          <c:smooth val="0"/>
          <c:extLst>
            <c:ext xmlns:c16="http://schemas.microsoft.com/office/drawing/2014/chart" uri="{C3380CC4-5D6E-409C-BE32-E72D297353CC}">
              <c16:uniqueId val="{00000002-C88A-4DA9-B61E-7FB23EA7A167}"/>
            </c:ext>
          </c:extLst>
        </c:ser>
        <c:ser>
          <c:idx val="3"/>
          <c:order val="3"/>
          <c:tx>
            <c:strRef>
              <c:f>Sheet1!$A$6</c:f>
              <c:strCache>
                <c:ptCount val="1"/>
                <c:pt idx="0">
                  <c:v>Te Waipounamu</c:v>
                </c:pt>
              </c:strCache>
            </c:strRef>
          </c:tx>
          <c:spPr>
            <a:ln w="28575" cap="rnd">
              <a:solidFill>
                <a:schemeClr val="tx2">
                  <a:lumMod val="50000"/>
                  <a:lumOff val="50000"/>
                </a:schemeClr>
              </a:solidFill>
              <a:round/>
            </a:ln>
            <a:effectLst/>
          </c:spPr>
          <c:marker>
            <c:symbol val="none"/>
          </c:marker>
          <c:cat>
            <c:strRef>
              <c:f>Sheet1!$B$2:$F$2</c:f>
              <c:strCache>
                <c:ptCount val="5"/>
                <c:pt idx="0">
                  <c:v>Q1 2022-23</c:v>
                </c:pt>
                <c:pt idx="1">
                  <c:v>Q2 2022-23</c:v>
                </c:pt>
                <c:pt idx="2">
                  <c:v>Q3 2022-23</c:v>
                </c:pt>
                <c:pt idx="3">
                  <c:v>Q4 2022-23</c:v>
                </c:pt>
                <c:pt idx="4">
                  <c:v>Q1 2023-24</c:v>
                </c:pt>
              </c:strCache>
            </c:strRef>
          </c:cat>
          <c:val>
            <c:numRef>
              <c:f>Sheet1!$B$6:$F$6</c:f>
              <c:numCache>
                <c:formatCode>0%</c:formatCode>
                <c:ptCount val="5"/>
                <c:pt idx="0">
                  <c:v>7.0000000000000007E-2</c:v>
                </c:pt>
                <c:pt idx="1">
                  <c:v>0.06</c:v>
                </c:pt>
                <c:pt idx="2">
                  <c:v>0.06</c:v>
                </c:pt>
                <c:pt idx="3">
                  <c:v>0.06</c:v>
                </c:pt>
                <c:pt idx="4">
                  <c:v>0.06</c:v>
                </c:pt>
              </c:numCache>
            </c:numRef>
          </c:val>
          <c:smooth val="0"/>
          <c:extLst>
            <c:ext xmlns:c16="http://schemas.microsoft.com/office/drawing/2014/chart" uri="{C3380CC4-5D6E-409C-BE32-E72D297353CC}">
              <c16:uniqueId val="{00000003-C88A-4DA9-B61E-7FB23EA7A167}"/>
            </c:ext>
          </c:extLst>
        </c:ser>
        <c:ser>
          <c:idx val="4"/>
          <c:order val="4"/>
          <c:tx>
            <c:strRef>
              <c:f>Sheet1!$A$7</c:f>
              <c:strCache>
                <c:ptCount val="1"/>
                <c:pt idx="0">
                  <c:v>Total</c:v>
                </c:pt>
              </c:strCache>
            </c:strRef>
          </c:tx>
          <c:spPr>
            <a:ln w="28575" cap="rnd">
              <a:solidFill>
                <a:schemeClr val="bg2">
                  <a:lumMod val="60000"/>
                  <a:lumOff val="40000"/>
                </a:schemeClr>
              </a:solidFill>
              <a:round/>
            </a:ln>
            <a:effectLst/>
          </c:spPr>
          <c:marker>
            <c:symbol val="none"/>
          </c:marker>
          <c:cat>
            <c:strRef>
              <c:f>Sheet1!$B$2:$F$2</c:f>
              <c:strCache>
                <c:ptCount val="5"/>
                <c:pt idx="0">
                  <c:v>Q1 2022-23</c:v>
                </c:pt>
                <c:pt idx="1">
                  <c:v>Q2 2022-23</c:v>
                </c:pt>
                <c:pt idx="2">
                  <c:v>Q3 2022-23</c:v>
                </c:pt>
                <c:pt idx="3">
                  <c:v>Q4 2022-23</c:v>
                </c:pt>
                <c:pt idx="4">
                  <c:v>Q1 2023-24</c:v>
                </c:pt>
              </c:strCache>
            </c:strRef>
          </c:cat>
          <c:val>
            <c:numRef>
              <c:f>Sheet1!$B$7:$F$7</c:f>
              <c:numCache>
                <c:formatCode>0%</c:formatCode>
                <c:ptCount val="5"/>
                <c:pt idx="0">
                  <c:v>0.08</c:v>
                </c:pt>
                <c:pt idx="1">
                  <c:v>0.08</c:v>
                </c:pt>
                <c:pt idx="2">
                  <c:v>0.08</c:v>
                </c:pt>
                <c:pt idx="3">
                  <c:v>0.08</c:v>
                </c:pt>
                <c:pt idx="4">
                  <c:v>7.0000000000000007E-2</c:v>
                </c:pt>
              </c:numCache>
            </c:numRef>
          </c:val>
          <c:smooth val="0"/>
          <c:extLst>
            <c:ext xmlns:c16="http://schemas.microsoft.com/office/drawing/2014/chart" uri="{C3380CC4-5D6E-409C-BE32-E72D297353CC}">
              <c16:uniqueId val="{00000004-C88A-4DA9-B61E-7FB23EA7A167}"/>
            </c:ext>
          </c:extLst>
        </c:ser>
        <c:dLbls>
          <c:showLegendKey val="0"/>
          <c:showVal val="0"/>
          <c:showCatName val="0"/>
          <c:showSerName val="0"/>
          <c:showPercent val="0"/>
          <c:showBubbleSize val="0"/>
        </c:dLbls>
        <c:smooth val="0"/>
        <c:axId val="91511800"/>
        <c:axId val="361484792"/>
      </c:lineChart>
      <c:catAx>
        <c:axId val="915118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484792"/>
        <c:crosses val="autoZero"/>
        <c:auto val="1"/>
        <c:lblAlgn val="ctr"/>
        <c:lblOffset val="100"/>
        <c:noMultiLvlLbl val="0"/>
      </c:catAx>
      <c:valAx>
        <c:axId val="361484792"/>
        <c:scaling>
          <c:orientation val="minMax"/>
          <c:min val="4.0000000000000008E-2"/>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511800"/>
        <c:crosses val="autoZero"/>
        <c:crossBetween val="between"/>
        <c:majorUnit val="1.0000000000000002E-2"/>
      </c:valAx>
      <c:spPr>
        <a:noFill/>
        <a:ln>
          <a:noFill/>
        </a:ln>
        <a:effectLst/>
      </c:spPr>
    </c:plotArea>
    <c:legend>
      <c:legendPos val="b"/>
      <c:layout>
        <c:manualLayout>
          <c:xMode val="edge"/>
          <c:yMode val="edge"/>
          <c:x val="1.3874761316275555E-2"/>
          <c:y val="0.80242646580334487"/>
          <c:w val="0.98612523868372448"/>
          <c:h val="0.16658179865946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36151210265386"/>
          <c:y val="4.3650793650793648E-2"/>
          <c:w val="0.86017552493438321"/>
          <c:h val="0.67910479940007495"/>
        </c:manualLayout>
      </c:layout>
      <c:lineChart>
        <c:grouping val="standard"/>
        <c:varyColors val="0"/>
        <c:ser>
          <c:idx val="0"/>
          <c:order val="0"/>
          <c:tx>
            <c:strRef>
              <c:f>Sheet1!$B$1</c:f>
              <c:strCache>
                <c:ptCount val="1"/>
                <c:pt idx="0">
                  <c:v>Māori</c:v>
                </c:pt>
              </c:strCache>
            </c:strRef>
          </c:tx>
          <c:spPr>
            <a:ln w="28575" cap="rnd">
              <a:solidFill>
                <a:schemeClr val="accent6"/>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Sheet1!$B$2:$B$6</c:f>
              <c:numCache>
                <c:formatCode>0%</c:formatCode>
                <c:ptCount val="5"/>
                <c:pt idx="0">
                  <c:v>0.11</c:v>
                </c:pt>
                <c:pt idx="1">
                  <c:v>0.1</c:v>
                </c:pt>
                <c:pt idx="2">
                  <c:v>0.1</c:v>
                </c:pt>
                <c:pt idx="3">
                  <c:v>0.1</c:v>
                </c:pt>
                <c:pt idx="4">
                  <c:v>0.1</c:v>
                </c:pt>
              </c:numCache>
            </c:numRef>
          </c:val>
          <c:smooth val="0"/>
          <c:extLst>
            <c:ext xmlns:c16="http://schemas.microsoft.com/office/drawing/2014/chart" uri="{C3380CC4-5D6E-409C-BE32-E72D297353CC}">
              <c16:uniqueId val="{00000000-483D-4C6D-AC0D-834636456399}"/>
            </c:ext>
          </c:extLst>
        </c:ser>
        <c:ser>
          <c:idx val="1"/>
          <c:order val="1"/>
          <c:tx>
            <c:strRef>
              <c:f>Sheet1!$C$1</c:f>
              <c:strCache>
                <c:ptCount val="1"/>
                <c:pt idx="0">
                  <c:v>Pacific</c:v>
                </c:pt>
              </c:strCache>
            </c:strRef>
          </c:tx>
          <c:spPr>
            <a:ln w="28575" cap="rnd">
              <a:solidFill>
                <a:schemeClr val="accent5"/>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Sheet1!$C$2:$C$6</c:f>
              <c:numCache>
                <c:formatCode>0%</c:formatCode>
                <c:ptCount val="5"/>
                <c:pt idx="0">
                  <c:v>0.11</c:v>
                </c:pt>
                <c:pt idx="1">
                  <c:v>0.09</c:v>
                </c:pt>
                <c:pt idx="2">
                  <c:v>0.08</c:v>
                </c:pt>
                <c:pt idx="3">
                  <c:v>0.08</c:v>
                </c:pt>
                <c:pt idx="4">
                  <c:v>0.08</c:v>
                </c:pt>
              </c:numCache>
            </c:numRef>
          </c:val>
          <c:smooth val="0"/>
          <c:extLst>
            <c:ext xmlns:c16="http://schemas.microsoft.com/office/drawing/2014/chart" uri="{C3380CC4-5D6E-409C-BE32-E72D297353CC}">
              <c16:uniqueId val="{00000001-483D-4C6D-AC0D-834636456399}"/>
            </c:ext>
          </c:extLst>
        </c:ser>
        <c:ser>
          <c:idx val="2"/>
          <c:order val="2"/>
          <c:tx>
            <c:strRef>
              <c:f>Sheet1!$D$1</c:f>
              <c:strCache>
                <c:ptCount val="1"/>
                <c:pt idx="0">
                  <c:v>European/ Other</c:v>
                </c:pt>
              </c:strCache>
            </c:strRef>
          </c:tx>
          <c:spPr>
            <a:ln w="28575" cap="rnd">
              <a:solidFill>
                <a:schemeClr val="accent4">
                  <a:lumMod val="5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Sheet1!$D$2:$D$6</c:f>
              <c:numCache>
                <c:formatCode>0%</c:formatCode>
                <c:ptCount val="5"/>
                <c:pt idx="0">
                  <c:v>0.12</c:v>
                </c:pt>
                <c:pt idx="1">
                  <c:v>0.11</c:v>
                </c:pt>
                <c:pt idx="2">
                  <c:v>0.1</c:v>
                </c:pt>
                <c:pt idx="3">
                  <c:v>0.1</c:v>
                </c:pt>
                <c:pt idx="4">
                  <c:v>0.1</c:v>
                </c:pt>
              </c:numCache>
            </c:numRef>
          </c:val>
          <c:smooth val="0"/>
          <c:extLst>
            <c:ext xmlns:c16="http://schemas.microsoft.com/office/drawing/2014/chart" uri="{C3380CC4-5D6E-409C-BE32-E72D297353CC}">
              <c16:uniqueId val="{00000002-483D-4C6D-AC0D-834636456399}"/>
            </c:ext>
          </c:extLst>
        </c:ser>
        <c:ser>
          <c:idx val="3"/>
          <c:order val="3"/>
          <c:tx>
            <c:strRef>
              <c:f>Sheet1!$E$1</c:f>
              <c:strCache>
                <c:ptCount val="1"/>
                <c:pt idx="0">
                  <c:v>Asian</c:v>
                </c:pt>
              </c:strCache>
            </c:strRef>
          </c:tx>
          <c:spPr>
            <a:ln w="28575" cap="rnd">
              <a:solidFill>
                <a:schemeClr val="accent1">
                  <a:lumMod val="60000"/>
                  <a:lumOff val="4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Sheet1!$E$2:$E$6</c:f>
              <c:numCache>
                <c:formatCode>0%</c:formatCode>
                <c:ptCount val="5"/>
                <c:pt idx="0">
                  <c:v>0.11</c:v>
                </c:pt>
                <c:pt idx="1">
                  <c:v>0.09</c:v>
                </c:pt>
                <c:pt idx="2">
                  <c:v>0.09</c:v>
                </c:pt>
                <c:pt idx="3">
                  <c:v>0.08</c:v>
                </c:pt>
                <c:pt idx="4">
                  <c:v>0.09</c:v>
                </c:pt>
              </c:numCache>
            </c:numRef>
          </c:val>
          <c:smooth val="0"/>
          <c:extLst>
            <c:ext xmlns:c16="http://schemas.microsoft.com/office/drawing/2014/chart" uri="{C3380CC4-5D6E-409C-BE32-E72D297353CC}">
              <c16:uniqueId val="{00000003-483D-4C6D-AC0D-834636456399}"/>
            </c:ext>
          </c:extLst>
        </c:ser>
        <c:ser>
          <c:idx val="4"/>
          <c:order val="4"/>
          <c:tx>
            <c:strRef>
              <c:f>Sheet1!$F$1</c:f>
              <c:strCache>
                <c:ptCount val="1"/>
                <c:pt idx="0">
                  <c:v>Total</c:v>
                </c:pt>
              </c:strCache>
            </c:strRef>
          </c:tx>
          <c:spPr>
            <a:ln w="28575" cap="rnd">
              <a:solidFill>
                <a:schemeClr val="bg2">
                  <a:lumMod val="60000"/>
                  <a:lumOff val="4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Sheet1!$F$2:$F$6</c:f>
              <c:numCache>
                <c:formatCode>0%</c:formatCode>
                <c:ptCount val="5"/>
                <c:pt idx="0">
                  <c:v>0.12</c:v>
                </c:pt>
                <c:pt idx="1">
                  <c:v>0.11</c:v>
                </c:pt>
                <c:pt idx="2">
                  <c:v>0.1</c:v>
                </c:pt>
                <c:pt idx="3">
                  <c:v>0.1</c:v>
                </c:pt>
                <c:pt idx="4">
                  <c:v>0.1</c:v>
                </c:pt>
              </c:numCache>
            </c:numRef>
          </c:val>
          <c:smooth val="0"/>
          <c:extLst>
            <c:ext xmlns:c16="http://schemas.microsoft.com/office/drawing/2014/chart" uri="{C3380CC4-5D6E-409C-BE32-E72D297353CC}">
              <c16:uniqueId val="{00000004-483D-4C6D-AC0D-834636456399}"/>
            </c:ext>
          </c:extLst>
        </c:ser>
        <c:dLbls>
          <c:showLegendKey val="0"/>
          <c:showVal val="0"/>
          <c:showCatName val="0"/>
          <c:showSerName val="0"/>
          <c:showPercent val="0"/>
          <c:showBubbleSize val="0"/>
        </c:dLbls>
        <c:smooth val="0"/>
        <c:axId val="2004042144"/>
        <c:axId val="2004049704"/>
      </c:lineChart>
      <c:catAx>
        <c:axId val="200404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04049704"/>
        <c:crosses val="autoZero"/>
        <c:auto val="1"/>
        <c:lblAlgn val="ctr"/>
        <c:lblOffset val="100"/>
        <c:noMultiLvlLbl val="0"/>
      </c:catAx>
      <c:valAx>
        <c:axId val="2004049704"/>
        <c:scaling>
          <c:orientation val="minMax"/>
          <c:max val="0.15000000000000002"/>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04042144"/>
        <c:crosses val="autoZero"/>
        <c:crossBetween val="between"/>
        <c:minorUnit val="2.0000000000000004E-2"/>
      </c:valAx>
      <c:spPr>
        <a:noFill/>
        <a:ln>
          <a:noFill/>
        </a:ln>
        <a:effectLst/>
      </c:spPr>
    </c:plotArea>
    <c:legend>
      <c:legendPos val="b"/>
      <c:layout>
        <c:manualLayout>
          <c:xMode val="edge"/>
          <c:yMode val="edge"/>
          <c:x val="2.2504637879978143E-2"/>
          <c:y val="0.85347882416275722"/>
          <c:w val="0.97749536212002186"/>
          <c:h val="0.1465211758372427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935586176727914E-2"/>
          <c:y val="8.7009770166561889E-2"/>
          <c:w val="0.88500394272196381"/>
          <c:h val="0.73015897727612955"/>
        </c:manualLayout>
      </c:layout>
      <c:lineChart>
        <c:grouping val="standard"/>
        <c:varyColors val="0"/>
        <c:ser>
          <c:idx val="0"/>
          <c:order val="0"/>
          <c:tx>
            <c:strRef>
              <c:f>Sheet1!$B$1</c:f>
              <c:strCache>
                <c:ptCount val="1"/>
                <c:pt idx="0">
                  <c:v>Māori</c:v>
                </c:pt>
              </c:strCache>
            </c:strRef>
          </c:tx>
          <c:spPr>
            <a:ln w="28575" cap="rnd">
              <a:solidFill>
                <a:schemeClr val="accent6"/>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Sheet1!$B$2:$B$6</c:f>
              <c:numCache>
                <c:formatCode>0%</c:formatCode>
                <c:ptCount val="5"/>
                <c:pt idx="0">
                  <c:v>0.83</c:v>
                </c:pt>
                <c:pt idx="1">
                  <c:v>0.83</c:v>
                </c:pt>
                <c:pt idx="2">
                  <c:v>0.83</c:v>
                </c:pt>
                <c:pt idx="3">
                  <c:v>0.83</c:v>
                </c:pt>
                <c:pt idx="4">
                  <c:v>0.83</c:v>
                </c:pt>
              </c:numCache>
            </c:numRef>
          </c:val>
          <c:smooth val="0"/>
          <c:extLst>
            <c:ext xmlns:c16="http://schemas.microsoft.com/office/drawing/2014/chart" uri="{C3380CC4-5D6E-409C-BE32-E72D297353CC}">
              <c16:uniqueId val="{00000000-6C98-44C9-A5BA-12F02999999D}"/>
            </c:ext>
          </c:extLst>
        </c:ser>
        <c:ser>
          <c:idx val="1"/>
          <c:order val="1"/>
          <c:tx>
            <c:strRef>
              <c:f>Sheet1!$C$1</c:f>
              <c:strCache>
                <c:ptCount val="1"/>
                <c:pt idx="0">
                  <c:v>Pacific</c:v>
                </c:pt>
              </c:strCache>
            </c:strRef>
          </c:tx>
          <c:spPr>
            <a:ln w="28575" cap="rnd">
              <a:solidFill>
                <a:schemeClr val="accent5"/>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Sheet1!$C$2:$C$6</c:f>
              <c:numCache>
                <c:formatCode>0%</c:formatCode>
                <c:ptCount val="5"/>
                <c:pt idx="0">
                  <c:v>0.97</c:v>
                </c:pt>
                <c:pt idx="1">
                  <c:v>0.97</c:v>
                </c:pt>
                <c:pt idx="2">
                  <c:v>0.94</c:v>
                </c:pt>
                <c:pt idx="3">
                  <c:v>0.95</c:v>
                </c:pt>
                <c:pt idx="4">
                  <c:v>0.95</c:v>
                </c:pt>
              </c:numCache>
            </c:numRef>
          </c:val>
          <c:smooth val="0"/>
          <c:extLst>
            <c:ext xmlns:c16="http://schemas.microsoft.com/office/drawing/2014/chart" uri="{C3380CC4-5D6E-409C-BE32-E72D297353CC}">
              <c16:uniqueId val="{00000001-6C98-44C9-A5BA-12F02999999D}"/>
            </c:ext>
          </c:extLst>
        </c:ser>
        <c:ser>
          <c:idx val="2"/>
          <c:order val="2"/>
          <c:tx>
            <c:strRef>
              <c:f>Sheet1!$D$1</c:f>
              <c:strCache>
                <c:ptCount val="1"/>
                <c:pt idx="0">
                  <c:v>European/Other</c:v>
                </c:pt>
              </c:strCache>
            </c:strRef>
          </c:tx>
          <c:spPr>
            <a:ln w="28575" cap="rnd">
              <a:solidFill>
                <a:schemeClr val="accent4">
                  <a:lumMod val="5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Sheet1!$D$2:$D$6</c:f>
              <c:numCache>
                <c:formatCode>0%</c:formatCode>
                <c:ptCount val="5"/>
                <c:pt idx="0">
                  <c:v>0.96</c:v>
                </c:pt>
                <c:pt idx="1">
                  <c:v>0.96</c:v>
                </c:pt>
                <c:pt idx="2">
                  <c:v>0.98</c:v>
                </c:pt>
                <c:pt idx="3">
                  <c:v>0.98</c:v>
                </c:pt>
                <c:pt idx="4">
                  <c:v>0.99</c:v>
                </c:pt>
              </c:numCache>
            </c:numRef>
          </c:val>
          <c:smooth val="0"/>
          <c:extLst>
            <c:ext xmlns:c16="http://schemas.microsoft.com/office/drawing/2014/chart" uri="{C3380CC4-5D6E-409C-BE32-E72D297353CC}">
              <c16:uniqueId val="{00000002-6C98-44C9-A5BA-12F02999999D}"/>
            </c:ext>
          </c:extLst>
        </c:ser>
        <c:ser>
          <c:idx val="3"/>
          <c:order val="3"/>
          <c:tx>
            <c:strRef>
              <c:f>Sheet1!$E$1</c:f>
              <c:strCache>
                <c:ptCount val="1"/>
                <c:pt idx="0">
                  <c:v>Total</c:v>
                </c:pt>
              </c:strCache>
            </c:strRef>
          </c:tx>
          <c:spPr>
            <a:ln w="28575" cap="rnd">
              <a:solidFill>
                <a:schemeClr val="bg2">
                  <a:lumMod val="60000"/>
                  <a:lumOff val="4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Sheet1!$E$2:$E$6</c:f>
              <c:numCache>
                <c:formatCode>0%</c:formatCode>
                <c:ptCount val="5"/>
                <c:pt idx="0">
                  <c:v>0.94</c:v>
                </c:pt>
                <c:pt idx="1">
                  <c:v>0.94</c:v>
                </c:pt>
                <c:pt idx="2">
                  <c:v>0.95</c:v>
                </c:pt>
                <c:pt idx="3">
                  <c:v>0.95</c:v>
                </c:pt>
                <c:pt idx="4">
                  <c:v>0.96</c:v>
                </c:pt>
              </c:numCache>
            </c:numRef>
          </c:val>
          <c:smooth val="0"/>
          <c:extLst>
            <c:ext xmlns:c16="http://schemas.microsoft.com/office/drawing/2014/chart" uri="{C3380CC4-5D6E-409C-BE32-E72D297353CC}">
              <c16:uniqueId val="{00000003-6C98-44C9-A5BA-12F02999999D}"/>
            </c:ext>
          </c:extLst>
        </c:ser>
        <c:ser>
          <c:idx val="4"/>
          <c:order val="4"/>
          <c:tx>
            <c:strRef>
              <c:f>Sheet1!$F$1</c:f>
              <c:strCache>
                <c:ptCount val="1"/>
                <c:pt idx="0">
                  <c:v>Target</c:v>
                </c:pt>
              </c:strCache>
            </c:strRef>
          </c:tx>
          <c:spPr>
            <a:ln w="28575" cap="rnd">
              <a:solidFill>
                <a:srgbClr val="92D050"/>
              </a:solidFill>
              <a:prstDash val="sysDash"/>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Sheet1!$F$2:$F$6</c:f>
              <c:numCache>
                <c:formatCode>0%</c:formatCode>
                <c:ptCount val="5"/>
                <c:pt idx="0">
                  <c:v>0.95</c:v>
                </c:pt>
                <c:pt idx="1">
                  <c:v>0.95</c:v>
                </c:pt>
                <c:pt idx="2">
                  <c:v>0.95</c:v>
                </c:pt>
                <c:pt idx="3">
                  <c:v>0.95</c:v>
                </c:pt>
                <c:pt idx="4">
                  <c:v>0.95</c:v>
                </c:pt>
              </c:numCache>
            </c:numRef>
          </c:val>
          <c:smooth val="0"/>
          <c:extLst>
            <c:ext xmlns:c16="http://schemas.microsoft.com/office/drawing/2014/chart" uri="{C3380CC4-5D6E-409C-BE32-E72D297353CC}">
              <c16:uniqueId val="{00000004-6C98-44C9-A5BA-12F02999999D}"/>
            </c:ext>
          </c:extLst>
        </c:ser>
        <c:dLbls>
          <c:showLegendKey val="0"/>
          <c:showVal val="0"/>
          <c:showCatName val="0"/>
          <c:showSerName val="0"/>
          <c:showPercent val="0"/>
          <c:showBubbleSize val="0"/>
        </c:dLbls>
        <c:smooth val="0"/>
        <c:axId val="1299064664"/>
        <c:axId val="1299071864"/>
      </c:lineChart>
      <c:catAx>
        <c:axId val="1299064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99071864"/>
        <c:crosses val="autoZero"/>
        <c:auto val="1"/>
        <c:lblAlgn val="ctr"/>
        <c:lblOffset val="100"/>
        <c:noMultiLvlLbl val="0"/>
      </c:catAx>
      <c:valAx>
        <c:axId val="1299071864"/>
        <c:scaling>
          <c:orientation val="minMax"/>
          <c:max val="1"/>
          <c:min val="0.8"/>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99064664"/>
        <c:crosses val="autoZero"/>
        <c:crossBetween val="between"/>
        <c:majorUnit val="5.000000000000001E-2"/>
        <c:minorUnit val="1.0000000000000002E-2"/>
      </c:valAx>
      <c:spPr>
        <a:noFill/>
        <a:ln>
          <a:noFill/>
        </a:ln>
        <a:effectLst/>
      </c:spPr>
    </c:plotArea>
    <c:legend>
      <c:legendPos val="b"/>
      <c:layout>
        <c:manualLayout>
          <c:xMode val="edge"/>
          <c:yMode val="edge"/>
          <c:x val="4.9999929177768049E-2"/>
          <c:y val="0.89464070270591001"/>
          <c:w val="0.9"/>
          <c:h val="7.942875961797550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46979121643207"/>
          <c:y val="4.3650793650793648E-2"/>
          <c:w val="0.85706707007686089"/>
          <c:h val="0.74707765468047349"/>
        </c:manualLayout>
      </c:layout>
      <c:lineChart>
        <c:grouping val="standard"/>
        <c:varyColors val="0"/>
        <c:ser>
          <c:idx val="0"/>
          <c:order val="0"/>
          <c:tx>
            <c:strRef>
              <c:f>Sheet1!$B$1</c:f>
              <c:strCache>
                <c:ptCount val="1"/>
                <c:pt idx="0">
                  <c:v>Māori</c:v>
                </c:pt>
              </c:strCache>
            </c:strRef>
          </c:tx>
          <c:spPr>
            <a:ln w="28575" cap="rnd">
              <a:solidFill>
                <a:schemeClr val="accent6"/>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Sheet1!$B$2:$B$6</c:f>
              <c:numCache>
                <c:formatCode>0%</c:formatCode>
                <c:ptCount val="5"/>
                <c:pt idx="0">
                  <c:v>0.72</c:v>
                </c:pt>
                <c:pt idx="1">
                  <c:v>0.78</c:v>
                </c:pt>
                <c:pt idx="2">
                  <c:v>0.82</c:v>
                </c:pt>
                <c:pt idx="3">
                  <c:v>0.78</c:v>
                </c:pt>
                <c:pt idx="4">
                  <c:v>0.83</c:v>
                </c:pt>
              </c:numCache>
            </c:numRef>
          </c:val>
          <c:smooth val="0"/>
          <c:extLst>
            <c:ext xmlns:c16="http://schemas.microsoft.com/office/drawing/2014/chart" uri="{C3380CC4-5D6E-409C-BE32-E72D297353CC}">
              <c16:uniqueId val="{00000000-69B9-4DAD-804D-10C978BA8414}"/>
            </c:ext>
          </c:extLst>
        </c:ser>
        <c:ser>
          <c:idx val="1"/>
          <c:order val="1"/>
          <c:tx>
            <c:strRef>
              <c:f>Sheet1!$C$1</c:f>
              <c:strCache>
                <c:ptCount val="1"/>
                <c:pt idx="0">
                  <c:v>Pacific</c:v>
                </c:pt>
              </c:strCache>
            </c:strRef>
          </c:tx>
          <c:spPr>
            <a:ln w="28575" cap="rnd">
              <a:solidFill>
                <a:schemeClr val="accent5"/>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Sheet1!$C$2:$C$6</c:f>
              <c:numCache>
                <c:formatCode>0%</c:formatCode>
                <c:ptCount val="5"/>
                <c:pt idx="0">
                  <c:v>0.77</c:v>
                </c:pt>
                <c:pt idx="1">
                  <c:v>0.85</c:v>
                </c:pt>
                <c:pt idx="2">
                  <c:v>0.92</c:v>
                </c:pt>
                <c:pt idx="3">
                  <c:v>0.83</c:v>
                </c:pt>
                <c:pt idx="4">
                  <c:v>0.85</c:v>
                </c:pt>
              </c:numCache>
            </c:numRef>
          </c:val>
          <c:smooth val="0"/>
          <c:extLst>
            <c:ext xmlns:c16="http://schemas.microsoft.com/office/drawing/2014/chart" uri="{C3380CC4-5D6E-409C-BE32-E72D297353CC}">
              <c16:uniqueId val="{00000001-69B9-4DAD-804D-10C978BA8414}"/>
            </c:ext>
          </c:extLst>
        </c:ser>
        <c:ser>
          <c:idx val="2"/>
          <c:order val="2"/>
          <c:tx>
            <c:strRef>
              <c:f>Sheet1!$D$1</c:f>
              <c:strCache>
                <c:ptCount val="1"/>
                <c:pt idx="0">
                  <c:v>European/Other</c:v>
                </c:pt>
              </c:strCache>
            </c:strRef>
          </c:tx>
          <c:spPr>
            <a:ln w="28575" cap="rnd">
              <a:solidFill>
                <a:schemeClr val="accent4">
                  <a:lumMod val="5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Sheet1!$D$2:$D$6</c:f>
              <c:numCache>
                <c:formatCode>0%</c:formatCode>
                <c:ptCount val="5"/>
                <c:pt idx="0">
                  <c:v>0.77</c:v>
                </c:pt>
                <c:pt idx="1">
                  <c:v>0.81</c:v>
                </c:pt>
                <c:pt idx="2">
                  <c:v>0.82</c:v>
                </c:pt>
                <c:pt idx="3">
                  <c:v>0.79</c:v>
                </c:pt>
                <c:pt idx="4">
                  <c:v>0.82</c:v>
                </c:pt>
              </c:numCache>
            </c:numRef>
          </c:val>
          <c:smooth val="0"/>
          <c:extLst>
            <c:ext xmlns:c16="http://schemas.microsoft.com/office/drawing/2014/chart" uri="{C3380CC4-5D6E-409C-BE32-E72D297353CC}">
              <c16:uniqueId val="{00000002-69B9-4DAD-804D-10C978BA8414}"/>
            </c:ext>
          </c:extLst>
        </c:ser>
        <c:ser>
          <c:idx val="3"/>
          <c:order val="3"/>
          <c:tx>
            <c:strRef>
              <c:f>Sheet1!$E$1</c:f>
              <c:strCache>
                <c:ptCount val="1"/>
                <c:pt idx="0">
                  <c:v>Asian</c:v>
                </c:pt>
              </c:strCache>
            </c:strRef>
          </c:tx>
          <c:spPr>
            <a:ln w="28575" cap="rnd">
              <a:solidFill>
                <a:schemeClr val="accent1">
                  <a:lumMod val="60000"/>
                  <a:lumOff val="4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Sheet1!$E$2:$E$6</c:f>
              <c:numCache>
                <c:formatCode>0%</c:formatCode>
                <c:ptCount val="5"/>
                <c:pt idx="0">
                  <c:v>0.83</c:v>
                </c:pt>
                <c:pt idx="1">
                  <c:v>0.86</c:v>
                </c:pt>
                <c:pt idx="2">
                  <c:v>0.88</c:v>
                </c:pt>
                <c:pt idx="3">
                  <c:v>0.9</c:v>
                </c:pt>
                <c:pt idx="4">
                  <c:v>0.91</c:v>
                </c:pt>
              </c:numCache>
            </c:numRef>
          </c:val>
          <c:smooth val="0"/>
          <c:extLst>
            <c:ext xmlns:c16="http://schemas.microsoft.com/office/drawing/2014/chart" uri="{C3380CC4-5D6E-409C-BE32-E72D297353CC}">
              <c16:uniqueId val="{00000003-69B9-4DAD-804D-10C978BA8414}"/>
            </c:ext>
          </c:extLst>
        </c:ser>
        <c:ser>
          <c:idx val="4"/>
          <c:order val="4"/>
          <c:tx>
            <c:strRef>
              <c:f>Sheet1!$F$1</c:f>
              <c:strCache>
                <c:ptCount val="1"/>
                <c:pt idx="0">
                  <c:v>Total</c:v>
                </c:pt>
              </c:strCache>
            </c:strRef>
          </c:tx>
          <c:spPr>
            <a:ln w="28575" cap="rnd">
              <a:solidFill>
                <a:schemeClr val="bg2">
                  <a:lumMod val="60000"/>
                  <a:lumOff val="4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Sheet1!$F$2:$F$6</c:f>
              <c:numCache>
                <c:formatCode>0%</c:formatCode>
                <c:ptCount val="5"/>
                <c:pt idx="0">
                  <c:v>0.76</c:v>
                </c:pt>
                <c:pt idx="1">
                  <c:v>0.81</c:v>
                </c:pt>
                <c:pt idx="2">
                  <c:v>0.83</c:v>
                </c:pt>
                <c:pt idx="3">
                  <c:v>0.8</c:v>
                </c:pt>
                <c:pt idx="4">
                  <c:v>0.83</c:v>
                </c:pt>
              </c:numCache>
            </c:numRef>
          </c:val>
          <c:smooth val="0"/>
          <c:extLst>
            <c:ext xmlns:c16="http://schemas.microsoft.com/office/drawing/2014/chart" uri="{C3380CC4-5D6E-409C-BE32-E72D297353CC}">
              <c16:uniqueId val="{00000004-69B9-4DAD-804D-10C978BA8414}"/>
            </c:ext>
          </c:extLst>
        </c:ser>
        <c:dLbls>
          <c:showLegendKey val="0"/>
          <c:showVal val="0"/>
          <c:showCatName val="0"/>
          <c:showSerName val="0"/>
          <c:showPercent val="0"/>
          <c:showBubbleSize val="0"/>
        </c:dLbls>
        <c:smooth val="0"/>
        <c:axId val="1267766432"/>
        <c:axId val="1267758512"/>
      </c:lineChart>
      <c:catAx>
        <c:axId val="126776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67758512"/>
        <c:crosses val="autoZero"/>
        <c:auto val="1"/>
        <c:lblAlgn val="ctr"/>
        <c:lblOffset val="100"/>
        <c:noMultiLvlLbl val="0"/>
      </c:catAx>
      <c:valAx>
        <c:axId val="1267758512"/>
        <c:scaling>
          <c:orientation val="minMax"/>
          <c:max val="1"/>
          <c:min val="0.60000000000000009"/>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67766432"/>
        <c:crosses val="autoZero"/>
        <c:crossBetween val="between"/>
        <c:majorUnit val="0.1"/>
      </c:valAx>
      <c:spPr>
        <a:noFill/>
        <a:ln>
          <a:noFill/>
        </a:ln>
        <a:effectLst/>
      </c:spPr>
    </c:plotArea>
    <c:legend>
      <c:legendPos val="b"/>
      <c:layout>
        <c:manualLayout>
          <c:xMode val="edge"/>
          <c:yMode val="edge"/>
          <c:x val="0.12848322789131128"/>
          <c:y val="0.90701037370328708"/>
          <c:w val="0.82816417095261941"/>
          <c:h val="8.928633920759906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88466025080199"/>
          <c:y val="6.5840301990720912E-2"/>
          <c:w val="0.86265237678623508"/>
          <c:h val="0.69659780071974986"/>
        </c:manualLayout>
      </c:layout>
      <c:lineChart>
        <c:grouping val="standard"/>
        <c:varyColors val="0"/>
        <c:ser>
          <c:idx val="0"/>
          <c:order val="0"/>
          <c:tx>
            <c:strRef>
              <c:f>Sheet1!$B$1</c:f>
              <c:strCache>
                <c:ptCount val="1"/>
                <c:pt idx="0">
                  <c:v>Māori</c:v>
                </c:pt>
              </c:strCache>
            </c:strRef>
          </c:tx>
          <c:spPr>
            <a:ln w="28575" cap="rnd">
              <a:solidFill>
                <a:schemeClr val="accent6"/>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Sheet1!$B$2:$B$6</c:f>
              <c:numCache>
                <c:formatCode>#,##0</c:formatCode>
                <c:ptCount val="5"/>
                <c:pt idx="0">
                  <c:v>4866</c:v>
                </c:pt>
                <c:pt idx="1">
                  <c:v>4841</c:v>
                </c:pt>
                <c:pt idx="2">
                  <c:v>4710</c:v>
                </c:pt>
                <c:pt idx="3">
                  <c:v>4911</c:v>
                </c:pt>
                <c:pt idx="4">
                  <c:v>4548</c:v>
                </c:pt>
              </c:numCache>
            </c:numRef>
          </c:val>
          <c:smooth val="0"/>
          <c:extLst>
            <c:ext xmlns:c16="http://schemas.microsoft.com/office/drawing/2014/chart" uri="{C3380CC4-5D6E-409C-BE32-E72D297353CC}">
              <c16:uniqueId val="{00000000-971E-42AA-97F9-857F23B01D9B}"/>
            </c:ext>
          </c:extLst>
        </c:ser>
        <c:ser>
          <c:idx val="1"/>
          <c:order val="1"/>
          <c:tx>
            <c:strRef>
              <c:f>Sheet1!$C$1</c:f>
              <c:strCache>
                <c:ptCount val="1"/>
                <c:pt idx="0">
                  <c:v>Pacific</c:v>
                </c:pt>
              </c:strCache>
            </c:strRef>
          </c:tx>
          <c:spPr>
            <a:ln w="28575" cap="rnd">
              <a:solidFill>
                <a:schemeClr val="accent5"/>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Sheet1!$C$2:$C$6</c:f>
              <c:numCache>
                <c:formatCode>#,##0</c:formatCode>
                <c:ptCount val="5"/>
                <c:pt idx="0">
                  <c:v>2578</c:v>
                </c:pt>
                <c:pt idx="1">
                  <c:v>2592</c:v>
                </c:pt>
                <c:pt idx="2">
                  <c:v>2466</c:v>
                </c:pt>
                <c:pt idx="3">
                  <c:v>2518</c:v>
                </c:pt>
                <c:pt idx="4">
                  <c:v>2380</c:v>
                </c:pt>
              </c:numCache>
            </c:numRef>
          </c:val>
          <c:smooth val="0"/>
          <c:extLst>
            <c:ext xmlns:c16="http://schemas.microsoft.com/office/drawing/2014/chart" uri="{C3380CC4-5D6E-409C-BE32-E72D297353CC}">
              <c16:uniqueId val="{00000001-971E-42AA-97F9-857F23B01D9B}"/>
            </c:ext>
          </c:extLst>
        </c:ser>
        <c:ser>
          <c:idx val="2"/>
          <c:order val="2"/>
          <c:tx>
            <c:strRef>
              <c:f>Sheet1!$D$1</c:f>
              <c:strCache>
                <c:ptCount val="1"/>
                <c:pt idx="0">
                  <c:v>European/ Other</c:v>
                </c:pt>
              </c:strCache>
            </c:strRef>
          </c:tx>
          <c:spPr>
            <a:ln w="28575" cap="rnd">
              <a:solidFill>
                <a:schemeClr val="accent4">
                  <a:lumMod val="5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Sheet1!$D$2:$D$6</c:f>
              <c:numCache>
                <c:formatCode>#,##0</c:formatCode>
                <c:ptCount val="5"/>
                <c:pt idx="0">
                  <c:v>3021</c:v>
                </c:pt>
                <c:pt idx="1">
                  <c:v>2979</c:v>
                </c:pt>
                <c:pt idx="2">
                  <c:v>2886</c:v>
                </c:pt>
                <c:pt idx="3">
                  <c:v>2964</c:v>
                </c:pt>
                <c:pt idx="4">
                  <c:v>2664</c:v>
                </c:pt>
              </c:numCache>
            </c:numRef>
          </c:val>
          <c:smooth val="0"/>
          <c:extLst>
            <c:ext xmlns:c16="http://schemas.microsoft.com/office/drawing/2014/chart" uri="{C3380CC4-5D6E-409C-BE32-E72D297353CC}">
              <c16:uniqueId val="{00000002-971E-42AA-97F9-857F23B01D9B}"/>
            </c:ext>
          </c:extLst>
        </c:ser>
        <c:ser>
          <c:idx val="3"/>
          <c:order val="3"/>
          <c:tx>
            <c:strRef>
              <c:f>Sheet1!$E$1</c:f>
              <c:strCache>
                <c:ptCount val="1"/>
                <c:pt idx="0">
                  <c:v>Asian</c:v>
                </c:pt>
              </c:strCache>
            </c:strRef>
          </c:tx>
          <c:spPr>
            <a:ln w="28575" cap="rnd">
              <a:solidFill>
                <a:schemeClr val="accent1">
                  <a:lumMod val="60000"/>
                  <a:lumOff val="4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Sheet1!$E$2:$E$6</c:f>
              <c:numCache>
                <c:formatCode>#,##0</c:formatCode>
                <c:ptCount val="5"/>
                <c:pt idx="0">
                  <c:v>1075</c:v>
                </c:pt>
                <c:pt idx="1">
                  <c:v>1075</c:v>
                </c:pt>
                <c:pt idx="2">
                  <c:v>1039</c:v>
                </c:pt>
                <c:pt idx="3">
                  <c:v>1101</c:v>
                </c:pt>
                <c:pt idx="4">
                  <c:v>1036</c:v>
                </c:pt>
              </c:numCache>
            </c:numRef>
          </c:val>
          <c:smooth val="0"/>
          <c:extLst>
            <c:ext xmlns:c16="http://schemas.microsoft.com/office/drawing/2014/chart" uri="{C3380CC4-5D6E-409C-BE32-E72D297353CC}">
              <c16:uniqueId val="{00000003-971E-42AA-97F9-857F23B01D9B}"/>
            </c:ext>
          </c:extLst>
        </c:ser>
        <c:ser>
          <c:idx val="4"/>
          <c:order val="4"/>
          <c:tx>
            <c:strRef>
              <c:f>Sheet1!$F$1</c:f>
              <c:strCache>
                <c:ptCount val="1"/>
                <c:pt idx="0">
                  <c:v>Total</c:v>
                </c:pt>
              </c:strCache>
            </c:strRef>
          </c:tx>
          <c:spPr>
            <a:ln w="28575" cap="rnd">
              <a:solidFill>
                <a:schemeClr val="bg2">
                  <a:lumMod val="60000"/>
                  <a:lumOff val="4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Sheet1!$F$2:$F$6</c:f>
              <c:numCache>
                <c:formatCode>#,##0</c:formatCode>
                <c:ptCount val="5"/>
                <c:pt idx="0">
                  <c:v>2713</c:v>
                </c:pt>
                <c:pt idx="1">
                  <c:v>2974</c:v>
                </c:pt>
                <c:pt idx="2">
                  <c:v>2879</c:v>
                </c:pt>
                <c:pt idx="3">
                  <c:v>2972</c:v>
                </c:pt>
                <c:pt idx="4">
                  <c:v>3000</c:v>
                </c:pt>
              </c:numCache>
            </c:numRef>
          </c:val>
          <c:smooth val="0"/>
          <c:extLst>
            <c:ext xmlns:c16="http://schemas.microsoft.com/office/drawing/2014/chart" uri="{C3380CC4-5D6E-409C-BE32-E72D297353CC}">
              <c16:uniqueId val="{00000004-971E-42AA-97F9-857F23B01D9B}"/>
            </c:ext>
          </c:extLst>
        </c:ser>
        <c:dLbls>
          <c:showLegendKey val="0"/>
          <c:showVal val="0"/>
          <c:showCatName val="0"/>
          <c:showSerName val="0"/>
          <c:showPercent val="0"/>
          <c:showBubbleSize val="0"/>
        </c:dLbls>
        <c:smooth val="0"/>
        <c:axId val="134872783"/>
        <c:axId val="134874223"/>
      </c:lineChart>
      <c:catAx>
        <c:axId val="134872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34874223"/>
        <c:crosses val="autoZero"/>
        <c:auto val="1"/>
        <c:lblAlgn val="ctr"/>
        <c:lblOffset val="100"/>
        <c:noMultiLvlLbl val="0"/>
      </c:catAx>
      <c:valAx>
        <c:axId val="1348742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348727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Māori</c:v>
                </c:pt>
              </c:strCache>
            </c:strRef>
          </c:tx>
          <c:spPr>
            <a:ln w="28575" cap="rnd">
              <a:solidFill>
                <a:schemeClr val="accent6"/>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Sheet1!$B$2:$B$6</c:f>
              <c:numCache>
                <c:formatCode>#,##0</c:formatCode>
                <c:ptCount val="5"/>
                <c:pt idx="0">
                  <c:v>1356</c:v>
                </c:pt>
                <c:pt idx="1">
                  <c:v>1395</c:v>
                </c:pt>
                <c:pt idx="2">
                  <c:v>1783</c:v>
                </c:pt>
                <c:pt idx="3">
                  <c:v>2080</c:v>
                </c:pt>
                <c:pt idx="4">
                  <c:v>1911</c:v>
                </c:pt>
              </c:numCache>
            </c:numRef>
          </c:val>
          <c:smooth val="0"/>
          <c:extLst>
            <c:ext xmlns:c16="http://schemas.microsoft.com/office/drawing/2014/chart" uri="{C3380CC4-5D6E-409C-BE32-E72D297353CC}">
              <c16:uniqueId val="{00000000-6B17-4647-A7DB-9D851559BA5E}"/>
            </c:ext>
          </c:extLst>
        </c:ser>
        <c:ser>
          <c:idx val="1"/>
          <c:order val="1"/>
          <c:tx>
            <c:strRef>
              <c:f>Sheet1!$C$1</c:f>
              <c:strCache>
                <c:ptCount val="1"/>
                <c:pt idx="0">
                  <c:v>Pacific</c:v>
                </c:pt>
              </c:strCache>
            </c:strRef>
          </c:tx>
          <c:spPr>
            <a:ln w="28575" cap="rnd">
              <a:solidFill>
                <a:schemeClr val="accent5"/>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Sheet1!$C$2:$C$6</c:f>
              <c:numCache>
                <c:formatCode>#,##0</c:formatCode>
                <c:ptCount val="5"/>
                <c:pt idx="0">
                  <c:v>1282</c:v>
                </c:pt>
                <c:pt idx="1">
                  <c:v>1403</c:v>
                </c:pt>
                <c:pt idx="2">
                  <c:v>2410</c:v>
                </c:pt>
                <c:pt idx="3">
                  <c:v>1603</c:v>
                </c:pt>
                <c:pt idx="4">
                  <c:v>1668</c:v>
                </c:pt>
              </c:numCache>
            </c:numRef>
          </c:val>
          <c:smooth val="0"/>
          <c:extLst>
            <c:ext xmlns:c16="http://schemas.microsoft.com/office/drawing/2014/chart" uri="{C3380CC4-5D6E-409C-BE32-E72D297353CC}">
              <c16:uniqueId val="{00000001-6B17-4647-A7DB-9D851559BA5E}"/>
            </c:ext>
          </c:extLst>
        </c:ser>
        <c:ser>
          <c:idx val="2"/>
          <c:order val="2"/>
          <c:tx>
            <c:strRef>
              <c:f>Sheet1!$D$1</c:f>
              <c:strCache>
                <c:ptCount val="1"/>
                <c:pt idx="0">
                  <c:v>European/Other</c:v>
                </c:pt>
              </c:strCache>
            </c:strRef>
          </c:tx>
          <c:spPr>
            <a:ln w="28575" cap="rnd">
              <a:solidFill>
                <a:schemeClr val="accent4">
                  <a:lumMod val="5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Sheet1!$D$2:$D$6</c:f>
              <c:numCache>
                <c:formatCode>General</c:formatCode>
                <c:ptCount val="5"/>
                <c:pt idx="0">
                  <c:v>857</c:v>
                </c:pt>
                <c:pt idx="1">
                  <c:v>884</c:v>
                </c:pt>
                <c:pt idx="2">
                  <c:v>947</c:v>
                </c:pt>
                <c:pt idx="3" formatCode="#,##0">
                  <c:v>1050</c:v>
                </c:pt>
                <c:pt idx="4" formatCode="#,##0">
                  <c:v>1124</c:v>
                </c:pt>
              </c:numCache>
            </c:numRef>
          </c:val>
          <c:smooth val="0"/>
          <c:extLst>
            <c:ext xmlns:c16="http://schemas.microsoft.com/office/drawing/2014/chart" uri="{C3380CC4-5D6E-409C-BE32-E72D297353CC}">
              <c16:uniqueId val="{00000002-6B17-4647-A7DB-9D851559BA5E}"/>
            </c:ext>
          </c:extLst>
        </c:ser>
        <c:ser>
          <c:idx val="3"/>
          <c:order val="3"/>
          <c:tx>
            <c:strRef>
              <c:f>Sheet1!$E$1</c:f>
              <c:strCache>
                <c:ptCount val="1"/>
                <c:pt idx="0">
                  <c:v>Asian</c:v>
                </c:pt>
              </c:strCache>
            </c:strRef>
          </c:tx>
          <c:spPr>
            <a:ln w="28575" cap="rnd">
              <a:solidFill>
                <a:schemeClr val="accent1">
                  <a:lumMod val="60000"/>
                  <a:lumOff val="4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Sheet1!$E$2:$E$6</c:f>
              <c:numCache>
                <c:formatCode>General</c:formatCode>
                <c:ptCount val="5"/>
                <c:pt idx="0">
                  <c:v>486</c:v>
                </c:pt>
                <c:pt idx="1">
                  <c:v>480</c:v>
                </c:pt>
                <c:pt idx="2">
                  <c:v>522</c:v>
                </c:pt>
                <c:pt idx="3">
                  <c:v>595</c:v>
                </c:pt>
                <c:pt idx="4">
                  <c:v>690</c:v>
                </c:pt>
              </c:numCache>
            </c:numRef>
          </c:val>
          <c:smooth val="0"/>
          <c:extLst>
            <c:ext xmlns:c16="http://schemas.microsoft.com/office/drawing/2014/chart" uri="{C3380CC4-5D6E-409C-BE32-E72D297353CC}">
              <c16:uniqueId val="{00000003-6B17-4647-A7DB-9D851559BA5E}"/>
            </c:ext>
          </c:extLst>
        </c:ser>
        <c:ser>
          <c:idx val="4"/>
          <c:order val="4"/>
          <c:tx>
            <c:strRef>
              <c:f>Sheet1!$F$1</c:f>
              <c:strCache>
                <c:ptCount val="1"/>
                <c:pt idx="0">
                  <c:v>Total</c:v>
                </c:pt>
              </c:strCache>
            </c:strRef>
          </c:tx>
          <c:spPr>
            <a:ln w="28575" cap="rnd">
              <a:solidFill>
                <a:schemeClr val="bg2">
                  <a:lumMod val="60000"/>
                  <a:lumOff val="4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Sheet1!$F$2:$F$6</c:f>
              <c:numCache>
                <c:formatCode>General</c:formatCode>
                <c:ptCount val="5"/>
                <c:pt idx="0">
                  <c:v>916</c:v>
                </c:pt>
                <c:pt idx="1">
                  <c:v>947</c:v>
                </c:pt>
                <c:pt idx="2" formatCode="#,##0">
                  <c:v>1132</c:v>
                </c:pt>
                <c:pt idx="3" formatCode="#,##0">
                  <c:v>1198</c:v>
                </c:pt>
                <c:pt idx="4" formatCode="#,##0">
                  <c:v>1232</c:v>
                </c:pt>
              </c:numCache>
            </c:numRef>
          </c:val>
          <c:smooth val="0"/>
          <c:extLst>
            <c:ext xmlns:c16="http://schemas.microsoft.com/office/drawing/2014/chart" uri="{C3380CC4-5D6E-409C-BE32-E72D297353CC}">
              <c16:uniqueId val="{00000004-6B17-4647-A7DB-9D851559BA5E}"/>
            </c:ext>
          </c:extLst>
        </c:ser>
        <c:dLbls>
          <c:showLegendKey val="0"/>
          <c:showVal val="0"/>
          <c:showCatName val="0"/>
          <c:showSerName val="0"/>
          <c:showPercent val="0"/>
          <c:showBubbleSize val="0"/>
        </c:dLbls>
        <c:smooth val="0"/>
        <c:axId val="1335958200"/>
        <c:axId val="1335958920"/>
      </c:lineChart>
      <c:catAx>
        <c:axId val="1335958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5958920"/>
        <c:crosses val="autoZero"/>
        <c:auto val="1"/>
        <c:lblAlgn val="ctr"/>
        <c:lblOffset val="100"/>
        <c:noMultiLvlLbl val="0"/>
      </c:catAx>
      <c:valAx>
        <c:axId val="1335958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5958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4175061922022"/>
          <c:y val="7.0784432488925311E-2"/>
          <c:w val="0.86063893374991063"/>
          <c:h val="0.66255507654303392"/>
        </c:manualLayout>
      </c:layout>
      <c:lineChart>
        <c:grouping val="standard"/>
        <c:varyColors val="0"/>
        <c:ser>
          <c:idx val="0"/>
          <c:order val="0"/>
          <c:tx>
            <c:strRef>
              <c:f>Sheet1!$B$1</c:f>
              <c:strCache>
                <c:ptCount val="1"/>
                <c:pt idx="0">
                  <c:v>Māori</c:v>
                </c:pt>
              </c:strCache>
            </c:strRef>
          </c:tx>
          <c:spPr>
            <a:ln w="28575" cap="rnd">
              <a:solidFill>
                <a:schemeClr val="accent6"/>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Sheet1!$B$2:$B$6</c:f>
              <c:numCache>
                <c:formatCode>0%</c:formatCode>
                <c:ptCount val="5"/>
                <c:pt idx="0">
                  <c:v>0.78900000000000003</c:v>
                </c:pt>
                <c:pt idx="1">
                  <c:v>0.76600000000000001</c:v>
                </c:pt>
                <c:pt idx="2">
                  <c:v>0.76100000000000001</c:v>
                </c:pt>
                <c:pt idx="3">
                  <c:v>0.71499999999999997</c:v>
                </c:pt>
                <c:pt idx="4">
                  <c:v>0.76300000000000001</c:v>
                </c:pt>
              </c:numCache>
            </c:numRef>
          </c:val>
          <c:smooth val="0"/>
          <c:extLst>
            <c:ext xmlns:c16="http://schemas.microsoft.com/office/drawing/2014/chart" uri="{C3380CC4-5D6E-409C-BE32-E72D297353CC}">
              <c16:uniqueId val="{00000000-665B-4CBC-82A1-B3EDDB34D59F}"/>
            </c:ext>
          </c:extLst>
        </c:ser>
        <c:ser>
          <c:idx val="1"/>
          <c:order val="1"/>
          <c:tx>
            <c:strRef>
              <c:f>Sheet1!$C$1</c:f>
              <c:strCache>
                <c:ptCount val="1"/>
                <c:pt idx="0">
                  <c:v>Pacific</c:v>
                </c:pt>
              </c:strCache>
            </c:strRef>
          </c:tx>
          <c:spPr>
            <a:ln w="28575" cap="rnd">
              <a:solidFill>
                <a:schemeClr val="accent5"/>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Sheet1!$C$2:$C$6</c:f>
              <c:numCache>
                <c:formatCode>0%</c:formatCode>
                <c:ptCount val="5"/>
                <c:pt idx="0">
                  <c:v>0.81599999999999995</c:v>
                </c:pt>
                <c:pt idx="1">
                  <c:v>0.80800000000000005</c:v>
                </c:pt>
                <c:pt idx="2">
                  <c:v>0.80100000000000005</c:v>
                </c:pt>
                <c:pt idx="3">
                  <c:v>0.73899999999999999</c:v>
                </c:pt>
                <c:pt idx="4">
                  <c:v>0.83699999999999997</c:v>
                </c:pt>
              </c:numCache>
            </c:numRef>
          </c:val>
          <c:smooth val="0"/>
          <c:extLst>
            <c:ext xmlns:c16="http://schemas.microsoft.com/office/drawing/2014/chart" uri="{C3380CC4-5D6E-409C-BE32-E72D297353CC}">
              <c16:uniqueId val="{00000001-665B-4CBC-82A1-B3EDDB34D59F}"/>
            </c:ext>
          </c:extLst>
        </c:ser>
        <c:ser>
          <c:idx val="2"/>
          <c:order val="2"/>
          <c:tx>
            <c:strRef>
              <c:f>Sheet1!$D$1</c:f>
              <c:strCache>
                <c:ptCount val="1"/>
                <c:pt idx="0">
                  <c:v>European/ Other</c:v>
                </c:pt>
              </c:strCache>
            </c:strRef>
          </c:tx>
          <c:spPr>
            <a:ln w="28575" cap="rnd">
              <a:solidFill>
                <a:schemeClr val="accent4">
                  <a:lumMod val="5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Sheet1!$D$2:$D$6</c:f>
              <c:numCache>
                <c:formatCode>0%</c:formatCode>
                <c:ptCount val="5"/>
                <c:pt idx="0">
                  <c:v>0.67400000000000004</c:v>
                </c:pt>
                <c:pt idx="1">
                  <c:v>0.61199999999999999</c:v>
                </c:pt>
                <c:pt idx="2">
                  <c:v>0.65</c:v>
                </c:pt>
                <c:pt idx="3">
                  <c:v>0.61099999999999999</c:v>
                </c:pt>
                <c:pt idx="4">
                  <c:v>0.68</c:v>
                </c:pt>
              </c:numCache>
            </c:numRef>
          </c:val>
          <c:smooth val="0"/>
          <c:extLst>
            <c:ext xmlns:c16="http://schemas.microsoft.com/office/drawing/2014/chart" uri="{C3380CC4-5D6E-409C-BE32-E72D297353CC}">
              <c16:uniqueId val="{00000002-665B-4CBC-82A1-B3EDDB34D59F}"/>
            </c:ext>
          </c:extLst>
        </c:ser>
        <c:ser>
          <c:idx val="3"/>
          <c:order val="3"/>
          <c:tx>
            <c:strRef>
              <c:f>Sheet1!$E$1</c:f>
              <c:strCache>
                <c:ptCount val="1"/>
                <c:pt idx="0">
                  <c:v>Asian</c:v>
                </c:pt>
              </c:strCache>
            </c:strRef>
          </c:tx>
          <c:spPr>
            <a:ln w="28575" cap="rnd">
              <a:solidFill>
                <a:schemeClr val="accent1">
                  <a:lumMod val="60000"/>
                  <a:lumOff val="4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Sheet1!$E$2:$E$6</c:f>
              <c:numCache>
                <c:formatCode>0%</c:formatCode>
                <c:ptCount val="5"/>
                <c:pt idx="0">
                  <c:v>0.70299999999999996</c:v>
                </c:pt>
                <c:pt idx="1">
                  <c:v>0.69</c:v>
                </c:pt>
                <c:pt idx="2">
                  <c:v>0.72099999999999997</c:v>
                </c:pt>
                <c:pt idx="3">
                  <c:v>0.69299999999999995</c:v>
                </c:pt>
                <c:pt idx="4">
                  <c:v>0.70899999999999996</c:v>
                </c:pt>
              </c:numCache>
            </c:numRef>
          </c:val>
          <c:smooth val="0"/>
          <c:extLst>
            <c:ext xmlns:c16="http://schemas.microsoft.com/office/drawing/2014/chart" uri="{C3380CC4-5D6E-409C-BE32-E72D297353CC}">
              <c16:uniqueId val="{00000003-665B-4CBC-82A1-B3EDDB34D59F}"/>
            </c:ext>
          </c:extLst>
        </c:ser>
        <c:ser>
          <c:idx val="4"/>
          <c:order val="4"/>
          <c:tx>
            <c:strRef>
              <c:f>Sheet1!$F$1</c:f>
              <c:strCache>
                <c:ptCount val="1"/>
                <c:pt idx="0">
                  <c:v>Total</c:v>
                </c:pt>
              </c:strCache>
            </c:strRef>
          </c:tx>
          <c:spPr>
            <a:ln w="28575" cap="rnd">
              <a:solidFill>
                <a:schemeClr val="bg2">
                  <a:lumMod val="60000"/>
                  <a:lumOff val="4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Sheet1!$F$2:$F$6</c:f>
              <c:numCache>
                <c:formatCode>0%</c:formatCode>
                <c:ptCount val="5"/>
                <c:pt idx="0">
                  <c:v>0.72</c:v>
                </c:pt>
                <c:pt idx="1">
                  <c:v>0.67700000000000005</c:v>
                </c:pt>
                <c:pt idx="2">
                  <c:v>0.69699999999999995</c:v>
                </c:pt>
                <c:pt idx="3">
                  <c:v>0.65600000000000003</c:v>
                </c:pt>
                <c:pt idx="4">
                  <c:v>0.71899999999999997</c:v>
                </c:pt>
              </c:numCache>
            </c:numRef>
          </c:val>
          <c:smooth val="0"/>
          <c:extLst>
            <c:ext xmlns:c16="http://schemas.microsoft.com/office/drawing/2014/chart" uri="{C3380CC4-5D6E-409C-BE32-E72D297353CC}">
              <c16:uniqueId val="{00000004-665B-4CBC-82A1-B3EDDB34D59F}"/>
            </c:ext>
          </c:extLst>
        </c:ser>
        <c:ser>
          <c:idx val="5"/>
          <c:order val="5"/>
          <c:tx>
            <c:strRef>
              <c:f>Sheet1!$G$1</c:f>
              <c:strCache>
                <c:ptCount val="1"/>
                <c:pt idx="0">
                  <c:v>Target</c:v>
                </c:pt>
              </c:strCache>
            </c:strRef>
          </c:tx>
          <c:spPr>
            <a:ln w="28575" cap="rnd">
              <a:solidFill>
                <a:srgbClr val="92D050"/>
              </a:solidFill>
              <a:prstDash val="sysDash"/>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Sheet1!$G$2:$G$6</c:f>
              <c:numCache>
                <c:formatCode>0%</c:formatCode>
                <c:ptCount val="5"/>
                <c:pt idx="0">
                  <c:v>0.8</c:v>
                </c:pt>
                <c:pt idx="1">
                  <c:v>0.8</c:v>
                </c:pt>
                <c:pt idx="2">
                  <c:v>0.8</c:v>
                </c:pt>
                <c:pt idx="3">
                  <c:v>0.8</c:v>
                </c:pt>
                <c:pt idx="4">
                  <c:v>0.8</c:v>
                </c:pt>
              </c:numCache>
            </c:numRef>
          </c:val>
          <c:smooth val="0"/>
          <c:extLst>
            <c:ext xmlns:c16="http://schemas.microsoft.com/office/drawing/2014/chart" uri="{C3380CC4-5D6E-409C-BE32-E72D297353CC}">
              <c16:uniqueId val="{00000005-665B-4CBC-82A1-B3EDDB34D59F}"/>
            </c:ext>
          </c:extLst>
        </c:ser>
        <c:dLbls>
          <c:showLegendKey val="0"/>
          <c:showVal val="0"/>
          <c:showCatName val="0"/>
          <c:showSerName val="0"/>
          <c:showPercent val="0"/>
          <c:showBubbleSize val="0"/>
        </c:dLbls>
        <c:smooth val="0"/>
        <c:axId val="1932811728"/>
        <c:axId val="1932813888"/>
      </c:lineChart>
      <c:catAx>
        <c:axId val="193281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932813888"/>
        <c:crosses val="autoZero"/>
        <c:auto val="1"/>
        <c:lblAlgn val="ctr"/>
        <c:lblOffset val="100"/>
        <c:noMultiLvlLbl val="0"/>
      </c:catAx>
      <c:valAx>
        <c:axId val="1932813888"/>
        <c:scaling>
          <c:orientation val="minMax"/>
          <c:max val="1"/>
          <c:min val="0.60000000000000009"/>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932811728"/>
        <c:crosses val="autoZero"/>
        <c:crossBetween val="between"/>
        <c:majorUnit val="0.1"/>
      </c:valAx>
      <c:spPr>
        <a:noFill/>
        <a:ln>
          <a:noFill/>
        </a:ln>
        <a:effectLst/>
      </c:spPr>
    </c:plotArea>
    <c:legend>
      <c:legendPos val="b"/>
      <c:layout>
        <c:manualLayout>
          <c:xMode val="edge"/>
          <c:yMode val="edge"/>
          <c:x val="1.6434136341459682E-2"/>
          <c:y val="0.86985732705962993"/>
          <c:w val="0.96411601647876821"/>
          <c:h val="9.394372400488663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12539487284815"/>
          <c:y val="6.6323295609554175E-2"/>
          <c:w val="0.86068662667520968"/>
          <c:h val="0.71332844147169772"/>
        </c:manualLayout>
      </c:layout>
      <c:lineChart>
        <c:grouping val="standard"/>
        <c:varyColors val="0"/>
        <c:ser>
          <c:idx val="0"/>
          <c:order val="0"/>
          <c:tx>
            <c:strRef>
              <c:f>Sheet1!$B$1</c:f>
              <c:strCache>
                <c:ptCount val="1"/>
                <c:pt idx="0">
                  <c:v>Māori</c:v>
                </c:pt>
              </c:strCache>
            </c:strRef>
          </c:tx>
          <c:spPr>
            <a:ln w="28575" cap="rnd">
              <a:solidFill>
                <a:schemeClr val="accent6"/>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Sheet1!$B$2:$B$6</c:f>
              <c:numCache>
                <c:formatCode>0%</c:formatCode>
                <c:ptCount val="5"/>
                <c:pt idx="0">
                  <c:v>0.67</c:v>
                </c:pt>
                <c:pt idx="1">
                  <c:v>0.66</c:v>
                </c:pt>
                <c:pt idx="2">
                  <c:v>0.69</c:v>
                </c:pt>
                <c:pt idx="3">
                  <c:v>0.7</c:v>
                </c:pt>
                <c:pt idx="4">
                  <c:v>0.7</c:v>
                </c:pt>
              </c:numCache>
            </c:numRef>
          </c:val>
          <c:smooth val="0"/>
          <c:extLst>
            <c:ext xmlns:c16="http://schemas.microsoft.com/office/drawing/2014/chart" uri="{C3380CC4-5D6E-409C-BE32-E72D297353CC}">
              <c16:uniqueId val="{00000000-D3B2-42AD-BB72-68D2CCE3CF0B}"/>
            </c:ext>
          </c:extLst>
        </c:ser>
        <c:ser>
          <c:idx val="1"/>
          <c:order val="1"/>
          <c:tx>
            <c:strRef>
              <c:f>Sheet1!$C$1</c:f>
              <c:strCache>
                <c:ptCount val="1"/>
                <c:pt idx="0">
                  <c:v>Pacific</c:v>
                </c:pt>
              </c:strCache>
            </c:strRef>
          </c:tx>
          <c:spPr>
            <a:ln w="28575" cap="rnd">
              <a:solidFill>
                <a:schemeClr val="accent5"/>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Sheet1!$C$2:$C$6</c:f>
              <c:numCache>
                <c:formatCode>0%</c:formatCode>
                <c:ptCount val="5"/>
                <c:pt idx="0">
                  <c:v>0.81</c:v>
                </c:pt>
                <c:pt idx="1">
                  <c:v>0.82</c:v>
                </c:pt>
                <c:pt idx="2">
                  <c:v>0.81</c:v>
                </c:pt>
                <c:pt idx="3">
                  <c:v>0.81</c:v>
                </c:pt>
                <c:pt idx="4">
                  <c:v>0.81</c:v>
                </c:pt>
              </c:numCache>
            </c:numRef>
          </c:val>
          <c:smooth val="0"/>
          <c:extLst>
            <c:ext xmlns:c16="http://schemas.microsoft.com/office/drawing/2014/chart" uri="{C3380CC4-5D6E-409C-BE32-E72D297353CC}">
              <c16:uniqueId val="{00000001-D3B2-42AD-BB72-68D2CCE3CF0B}"/>
            </c:ext>
          </c:extLst>
        </c:ser>
        <c:ser>
          <c:idx val="2"/>
          <c:order val="2"/>
          <c:tx>
            <c:strRef>
              <c:f>Sheet1!$D$1</c:f>
              <c:strCache>
                <c:ptCount val="1"/>
                <c:pt idx="0">
                  <c:v>European/Other</c:v>
                </c:pt>
              </c:strCache>
            </c:strRef>
          </c:tx>
          <c:spPr>
            <a:ln w="28575" cap="rnd">
              <a:solidFill>
                <a:schemeClr val="accent4">
                  <a:lumMod val="5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Sheet1!$D$2:$D$6</c:f>
              <c:numCache>
                <c:formatCode>0%</c:formatCode>
                <c:ptCount val="5"/>
                <c:pt idx="0">
                  <c:v>0.86</c:v>
                </c:pt>
                <c:pt idx="1">
                  <c:v>0.86</c:v>
                </c:pt>
                <c:pt idx="2">
                  <c:v>0.86</c:v>
                </c:pt>
                <c:pt idx="3">
                  <c:v>0.86</c:v>
                </c:pt>
                <c:pt idx="4">
                  <c:v>0.87</c:v>
                </c:pt>
              </c:numCache>
            </c:numRef>
          </c:val>
          <c:smooth val="0"/>
          <c:extLst>
            <c:ext xmlns:c16="http://schemas.microsoft.com/office/drawing/2014/chart" uri="{C3380CC4-5D6E-409C-BE32-E72D297353CC}">
              <c16:uniqueId val="{00000002-D3B2-42AD-BB72-68D2CCE3CF0B}"/>
            </c:ext>
          </c:extLst>
        </c:ser>
        <c:ser>
          <c:idx val="3"/>
          <c:order val="3"/>
          <c:tx>
            <c:strRef>
              <c:f>Sheet1!$E$1</c:f>
              <c:strCache>
                <c:ptCount val="1"/>
                <c:pt idx="0">
                  <c:v>Asian</c:v>
                </c:pt>
              </c:strCache>
            </c:strRef>
          </c:tx>
          <c:spPr>
            <a:ln w="28575" cap="rnd">
              <a:solidFill>
                <a:schemeClr val="accent1">
                  <a:lumMod val="60000"/>
                  <a:lumOff val="4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Sheet1!$E$2:$E$6</c:f>
              <c:numCache>
                <c:formatCode>0%</c:formatCode>
                <c:ptCount val="5"/>
                <c:pt idx="0">
                  <c:v>0.94</c:v>
                </c:pt>
                <c:pt idx="1">
                  <c:v>0.94</c:v>
                </c:pt>
                <c:pt idx="2">
                  <c:v>1</c:v>
                </c:pt>
                <c:pt idx="3">
                  <c:v>0.95</c:v>
                </c:pt>
                <c:pt idx="4">
                  <c:v>0.93</c:v>
                </c:pt>
              </c:numCache>
            </c:numRef>
          </c:val>
          <c:smooth val="0"/>
          <c:extLst>
            <c:ext xmlns:c16="http://schemas.microsoft.com/office/drawing/2014/chart" uri="{C3380CC4-5D6E-409C-BE32-E72D297353CC}">
              <c16:uniqueId val="{00000003-D3B2-42AD-BB72-68D2CCE3CF0B}"/>
            </c:ext>
          </c:extLst>
        </c:ser>
        <c:ser>
          <c:idx val="4"/>
          <c:order val="4"/>
          <c:tx>
            <c:strRef>
              <c:f>Sheet1!$F$1</c:f>
              <c:strCache>
                <c:ptCount val="1"/>
                <c:pt idx="0">
                  <c:v>Total</c:v>
                </c:pt>
              </c:strCache>
            </c:strRef>
          </c:tx>
          <c:spPr>
            <a:ln w="28575" cap="rnd">
              <a:solidFill>
                <a:schemeClr val="bg2">
                  <a:lumMod val="60000"/>
                  <a:lumOff val="40000"/>
                </a:schemeClr>
              </a:solidFill>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Sheet1!$F$2:$F$6</c:f>
              <c:numCache>
                <c:formatCode>0%</c:formatCode>
                <c:ptCount val="5"/>
                <c:pt idx="0">
                  <c:v>0.82</c:v>
                </c:pt>
                <c:pt idx="1">
                  <c:v>0.82</c:v>
                </c:pt>
                <c:pt idx="2">
                  <c:v>0.84</c:v>
                </c:pt>
                <c:pt idx="3">
                  <c:v>0.83</c:v>
                </c:pt>
                <c:pt idx="4">
                  <c:v>0.83</c:v>
                </c:pt>
              </c:numCache>
            </c:numRef>
          </c:val>
          <c:smooth val="0"/>
          <c:extLst>
            <c:ext xmlns:c16="http://schemas.microsoft.com/office/drawing/2014/chart" uri="{C3380CC4-5D6E-409C-BE32-E72D297353CC}">
              <c16:uniqueId val="{00000004-D3B2-42AD-BB72-68D2CCE3CF0B}"/>
            </c:ext>
          </c:extLst>
        </c:ser>
        <c:ser>
          <c:idx val="5"/>
          <c:order val="5"/>
          <c:tx>
            <c:strRef>
              <c:f>Sheet1!$G$1</c:f>
              <c:strCache>
                <c:ptCount val="1"/>
                <c:pt idx="0">
                  <c:v>Target</c:v>
                </c:pt>
              </c:strCache>
            </c:strRef>
          </c:tx>
          <c:spPr>
            <a:ln w="28575" cap="rnd">
              <a:solidFill>
                <a:srgbClr val="92D050"/>
              </a:solidFill>
              <a:prstDash val="sysDash"/>
              <a:round/>
            </a:ln>
            <a:effectLst/>
          </c:spPr>
          <c:marker>
            <c:symbol val="none"/>
          </c:marker>
          <c:cat>
            <c:strRef>
              <c:f>Sheet1!$A$2:$A$6</c:f>
              <c:strCache>
                <c:ptCount val="5"/>
                <c:pt idx="0">
                  <c:v>Q1 22/23</c:v>
                </c:pt>
                <c:pt idx="1">
                  <c:v>Q2 22/23</c:v>
                </c:pt>
                <c:pt idx="2">
                  <c:v>Q3 22/23</c:v>
                </c:pt>
                <c:pt idx="3">
                  <c:v>Q4 22/23</c:v>
                </c:pt>
                <c:pt idx="4">
                  <c:v>Q1 23/24</c:v>
                </c:pt>
              </c:strCache>
            </c:strRef>
          </c:cat>
          <c:val>
            <c:numRef>
              <c:f>Sheet1!$G$2:$G$6</c:f>
              <c:numCache>
                <c:formatCode>0%</c:formatCode>
                <c:ptCount val="5"/>
                <c:pt idx="0">
                  <c:v>0.9</c:v>
                </c:pt>
                <c:pt idx="1">
                  <c:v>0.9</c:v>
                </c:pt>
                <c:pt idx="2">
                  <c:v>0.9</c:v>
                </c:pt>
                <c:pt idx="3">
                  <c:v>0.9</c:v>
                </c:pt>
                <c:pt idx="4">
                  <c:v>0.9</c:v>
                </c:pt>
              </c:numCache>
            </c:numRef>
          </c:val>
          <c:smooth val="0"/>
          <c:extLst>
            <c:ext xmlns:c16="http://schemas.microsoft.com/office/drawing/2014/chart" uri="{C3380CC4-5D6E-409C-BE32-E72D297353CC}">
              <c16:uniqueId val="{00000005-D3B2-42AD-BB72-68D2CCE3CF0B}"/>
            </c:ext>
          </c:extLst>
        </c:ser>
        <c:dLbls>
          <c:showLegendKey val="0"/>
          <c:showVal val="0"/>
          <c:showCatName val="0"/>
          <c:showSerName val="0"/>
          <c:showPercent val="0"/>
          <c:showBubbleSize val="0"/>
        </c:dLbls>
        <c:smooth val="0"/>
        <c:axId val="1229111360"/>
        <c:axId val="1229114240"/>
      </c:lineChart>
      <c:catAx>
        <c:axId val="122911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29114240"/>
        <c:crosses val="autoZero"/>
        <c:auto val="1"/>
        <c:lblAlgn val="ctr"/>
        <c:lblOffset val="100"/>
        <c:noMultiLvlLbl val="0"/>
      </c:catAx>
      <c:valAx>
        <c:axId val="1229114240"/>
        <c:scaling>
          <c:orientation val="minMax"/>
          <c:max val="1.05"/>
          <c:min val="0.60000000000000009"/>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229111360"/>
        <c:crosses val="autoZero"/>
        <c:crossBetween val="between"/>
        <c:minorUnit val="1.0000000000000002E-2"/>
      </c:valAx>
      <c:spPr>
        <a:noFill/>
        <a:ln>
          <a:noFill/>
        </a:ln>
        <a:effectLst/>
      </c:spPr>
    </c:plotArea>
    <c:legend>
      <c:legendPos val="b"/>
      <c:layout>
        <c:manualLayout>
          <c:xMode val="edge"/>
          <c:yMode val="edge"/>
          <c:x val="1.0825822842459407E-2"/>
          <c:y val="0.88239384481055327"/>
          <c:w val="0.96013810224388219"/>
          <c:h val="0.1176059981749593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Māori</c:v>
                </c:pt>
              </c:strCache>
            </c:strRef>
          </c:tx>
          <c:spPr>
            <a:ln w="28575" cap="rnd">
              <a:solidFill>
                <a:schemeClr val="accent6"/>
              </a:solidFill>
              <a:round/>
            </a:ln>
            <a:effectLst/>
          </c:spPr>
          <c:marker>
            <c:symbol val="none"/>
          </c:marker>
          <c:cat>
            <c:strRef>
              <c:f>Sheet1!$A$2:$A$3</c:f>
              <c:strCache>
                <c:ptCount val="2"/>
                <c:pt idx="0">
                  <c:v>Q1 22/23</c:v>
                </c:pt>
                <c:pt idx="1">
                  <c:v>Q1 23/24</c:v>
                </c:pt>
              </c:strCache>
            </c:strRef>
          </c:cat>
          <c:val>
            <c:numRef>
              <c:f>Sheet1!$B$2:$B$3</c:f>
              <c:numCache>
                <c:formatCode>0%</c:formatCode>
                <c:ptCount val="2"/>
                <c:pt idx="0">
                  <c:v>0.61</c:v>
                </c:pt>
                <c:pt idx="1">
                  <c:v>0.57999999999999996</c:v>
                </c:pt>
              </c:numCache>
            </c:numRef>
          </c:val>
          <c:smooth val="0"/>
          <c:extLst>
            <c:ext xmlns:c16="http://schemas.microsoft.com/office/drawing/2014/chart" uri="{C3380CC4-5D6E-409C-BE32-E72D297353CC}">
              <c16:uniqueId val="{00000000-F9E7-44EB-AF90-2F1264E1F2AF}"/>
            </c:ext>
          </c:extLst>
        </c:ser>
        <c:ser>
          <c:idx val="1"/>
          <c:order val="1"/>
          <c:tx>
            <c:strRef>
              <c:f>Sheet1!$C$1</c:f>
              <c:strCache>
                <c:ptCount val="1"/>
                <c:pt idx="0">
                  <c:v>Pacific</c:v>
                </c:pt>
              </c:strCache>
            </c:strRef>
          </c:tx>
          <c:spPr>
            <a:ln w="28575" cap="rnd">
              <a:solidFill>
                <a:schemeClr val="accent5"/>
              </a:solidFill>
              <a:round/>
            </a:ln>
            <a:effectLst/>
          </c:spPr>
          <c:marker>
            <c:symbol val="none"/>
          </c:marker>
          <c:cat>
            <c:strRef>
              <c:f>Sheet1!$A$2:$A$3</c:f>
              <c:strCache>
                <c:ptCount val="2"/>
                <c:pt idx="0">
                  <c:v>Q1 22/23</c:v>
                </c:pt>
                <c:pt idx="1">
                  <c:v>Q1 23/24</c:v>
                </c:pt>
              </c:strCache>
            </c:strRef>
          </c:cat>
          <c:val>
            <c:numRef>
              <c:f>Sheet1!$C$2:$C$3</c:f>
              <c:numCache>
                <c:formatCode>0%</c:formatCode>
                <c:ptCount val="2"/>
                <c:pt idx="0">
                  <c:v>0.59</c:v>
                </c:pt>
                <c:pt idx="1">
                  <c:v>0.57999999999999996</c:v>
                </c:pt>
              </c:numCache>
            </c:numRef>
          </c:val>
          <c:smooth val="0"/>
          <c:extLst>
            <c:ext xmlns:c16="http://schemas.microsoft.com/office/drawing/2014/chart" uri="{C3380CC4-5D6E-409C-BE32-E72D297353CC}">
              <c16:uniqueId val="{00000001-F9E7-44EB-AF90-2F1264E1F2AF}"/>
            </c:ext>
          </c:extLst>
        </c:ser>
        <c:ser>
          <c:idx val="2"/>
          <c:order val="2"/>
          <c:tx>
            <c:strRef>
              <c:f>Sheet1!$D$1</c:f>
              <c:strCache>
                <c:ptCount val="1"/>
                <c:pt idx="0">
                  <c:v>European/Other</c:v>
                </c:pt>
              </c:strCache>
            </c:strRef>
          </c:tx>
          <c:spPr>
            <a:ln w="28575" cap="rnd">
              <a:solidFill>
                <a:schemeClr val="accent4">
                  <a:lumMod val="50000"/>
                </a:schemeClr>
              </a:solidFill>
              <a:round/>
            </a:ln>
            <a:effectLst/>
          </c:spPr>
          <c:marker>
            <c:symbol val="none"/>
          </c:marker>
          <c:cat>
            <c:strRef>
              <c:f>Sheet1!$A$2:$A$3</c:f>
              <c:strCache>
                <c:ptCount val="2"/>
                <c:pt idx="0">
                  <c:v>Q1 22/23</c:v>
                </c:pt>
                <c:pt idx="1">
                  <c:v>Q1 23/24</c:v>
                </c:pt>
              </c:strCache>
            </c:strRef>
          </c:cat>
          <c:val>
            <c:numRef>
              <c:f>Sheet1!$D$2:$D$3</c:f>
              <c:numCache>
                <c:formatCode>0%</c:formatCode>
                <c:ptCount val="2"/>
                <c:pt idx="0">
                  <c:v>0.66</c:v>
                </c:pt>
                <c:pt idx="1">
                  <c:v>0.67</c:v>
                </c:pt>
              </c:numCache>
            </c:numRef>
          </c:val>
          <c:smooth val="0"/>
          <c:extLst>
            <c:ext xmlns:c16="http://schemas.microsoft.com/office/drawing/2014/chart" uri="{C3380CC4-5D6E-409C-BE32-E72D297353CC}">
              <c16:uniqueId val="{00000002-F9E7-44EB-AF90-2F1264E1F2AF}"/>
            </c:ext>
          </c:extLst>
        </c:ser>
        <c:ser>
          <c:idx val="3"/>
          <c:order val="3"/>
          <c:tx>
            <c:strRef>
              <c:f>Sheet1!$E$1</c:f>
              <c:strCache>
                <c:ptCount val="1"/>
                <c:pt idx="0">
                  <c:v>Asian</c:v>
                </c:pt>
              </c:strCache>
            </c:strRef>
          </c:tx>
          <c:spPr>
            <a:ln w="28575" cap="rnd">
              <a:solidFill>
                <a:schemeClr val="accent1">
                  <a:lumMod val="60000"/>
                  <a:lumOff val="40000"/>
                </a:schemeClr>
              </a:solidFill>
              <a:round/>
            </a:ln>
            <a:effectLst/>
          </c:spPr>
          <c:marker>
            <c:symbol val="none"/>
          </c:marker>
          <c:cat>
            <c:strRef>
              <c:f>Sheet1!$A$2:$A$3</c:f>
              <c:strCache>
                <c:ptCount val="2"/>
                <c:pt idx="0">
                  <c:v>Q1 22/23</c:v>
                </c:pt>
                <c:pt idx="1">
                  <c:v>Q1 23/24</c:v>
                </c:pt>
              </c:strCache>
            </c:strRef>
          </c:cat>
          <c:val>
            <c:numRef>
              <c:f>Sheet1!$E$2:$E$3</c:f>
              <c:numCache>
                <c:formatCode>0%</c:formatCode>
                <c:ptCount val="2"/>
                <c:pt idx="0">
                  <c:v>0.55000000000000004</c:v>
                </c:pt>
                <c:pt idx="1">
                  <c:v>0.59</c:v>
                </c:pt>
              </c:numCache>
            </c:numRef>
          </c:val>
          <c:smooth val="0"/>
          <c:extLst>
            <c:ext xmlns:c16="http://schemas.microsoft.com/office/drawing/2014/chart" uri="{C3380CC4-5D6E-409C-BE32-E72D297353CC}">
              <c16:uniqueId val="{00000003-F9E7-44EB-AF90-2F1264E1F2AF}"/>
            </c:ext>
          </c:extLst>
        </c:ser>
        <c:ser>
          <c:idx val="4"/>
          <c:order val="4"/>
          <c:tx>
            <c:strRef>
              <c:f>Sheet1!$F$1</c:f>
              <c:strCache>
                <c:ptCount val="1"/>
                <c:pt idx="0">
                  <c:v>Total</c:v>
                </c:pt>
              </c:strCache>
            </c:strRef>
          </c:tx>
          <c:spPr>
            <a:ln w="28575" cap="rnd">
              <a:solidFill>
                <a:schemeClr val="bg2">
                  <a:lumMod val="60000"/>
                  <a:lumOff val="40000"/>
                </a:schemeClr>
              </a:solidFill>
              <a:round/>
            </a:ln>
            <a:effectLst/>
          </c:spPr>
          <c:marker>
            <c:symbol val="none"/>
          </c:marker>
          <c:cat>
            <c:strRef>
              <c:f>Sheet1!$A$2:$A$3</c:f>
              <c:strCache>
                <c:ptCount val="2"/>
                <c:pt idx="0">
                  <c:v>Q1 22/23</c:v>
                </c:pt>
                <c:pt idx="1">
                  <c:v>Q1 23/24</c:v>
                </c:pt>
              </c:strCache>
            </c:strRef>
          </c:cat>
          <c:val>
            <c:numRef>
              <c:f>Sheet1!$F$2:$F$3</c:f>
              <c:numCache>
                <c:formatCode>0%</c:formatCode>
                <c:ptCount val="2"/>
                <c:pt idx="0">
                  <c:v>0.65</c:v>
                </c:pt>
                <c:pt idx="1">
                  <c:v>0.65</c:v>
                </c:pt>
              </c:numCache>
            </c:numRef>
          </c:val>
          <c:smooth val="0"/>
          <c:extLst>
            <c:ext xmlns:c16="http://schemas.microsoft.com/office/drawing/2014/chart" uri="{C3380CC4-5D6E-409C-BE32-E72D297353CC}">
              <c16:uniqueId val="{00000004-F9E7-44EB-AF90-2F1264E1F2AF}"/>
            </c:ext>
          </c:extLst>
        </c:ser>
        <c:ser>
          <c:idx val="5"/>
          <c:order val="5"/>
          <c:tx>
            <c:strRef>
              <c:f>Sheet1!$G$1</c:f>
              <c:strCache>
                <c:ptCount val="1"/>
                <c:pt idx="0">
                  <c:v>Target</c:v>
                </c:pt>
              </c:strCache>
            </c:strRef>
          </c:tx>
          <c:spPr>
            <a:ln w="28575" cap="rnd">
              <a:solidFill>
                <a:srgbClr val="92D050"/>
              </a:solidFill>
              <a:prstDash val="sysDash"/>
              <a:round/>
            </a:ln>
            <a:effectLst/>
          </c:spPr>
          <c:marker>
            <c:symbol val="none"/>
          </c:marker>
          <c:dPt>
            <c:idx val="1"/>
            <c:marker>
              <c:symbol val="none"/>
            </c:marker>
            <c:bubble3D val="0"/>
            <c:spPr>
              <a:ln w="28575" cap="rnd">
                <a:solidFill>
                  <a:srgbClr val="92D050"/>
                </a:solidFill>
                <a:prstDash val="sysDash"/>
                <a:round/>
              </a:ln>
              <a:effectLst/>
            </c:spPr>
            <c:extLst>
              <c:ext xmlns:c16="http://schemas.microsoft.com/office/drawing/2014/chart" uri="{C3380CC4-5D6E-409C-BE32-E72D297353CC}">
                <c16:uniqueId val="{00000006-F9E7-44EB-AF90-2F1264E1F2AF}"/>
              </c:ext>
            </c:extLst>
          </c:dPt>
          <c:cat>
            <c:strRef>
              <c:f>Sheet1!$A$2:$A$3</c:f>
              <c:strCache>
                <c:ptCount val="2"/>
                <c:pt idx="0">
                  <c:v>Q1 22/23</c:v>
                </c:pt>
                <c:pt idx="1">
                  <c:v>Q1 23/24</c:v>
                </c:pt>
              </c:strCache>
            </c:strRef>
          </c:cat>
          <c:val>
            <c:numRef>
              <c:f>Sheet1!$G$2:$G$3</c:f>
              <c:numCache>
                <c:formatCode>0%</c:formatCode>
                <c:ptCount val="2"/>
                <c:pt idx="0">
                  <c:v>0.7</c:v>
                </c:pt>
                <c:pt idx="1">
                  <c:v>0.7</c:v>
                </c:pt>
              </c:numCache>
            </c:numRef>
          </c:val>
          <c:smooth val="0"/>
          <c:extLst>
            <c:ext xmlns:c16="http://schemas.microsoft.com/office/drawing/2014/chart" uri="{C3380CC4-5D6E-409C-BE32-E72D297353CC}">
              <c16:uniqueId val="{00000007-F9E7-44EB-AF90-2F1264E1F2AF}"/>
            </c:ext>
          </c:extLst>
        </c:ser>
        <c:dLbls>
          <c:showLegendKey val="0"/>
          <c:showVal val="0"/>
          <c:showCatName val="0"/>
          <c:showSerName val="0"/>
          <c:showPercent val="0"/>
          <c:showBubbleSize val="0"/>
        </c:dLbls>
        <c:smooth val="0"/>
        <c:axId val="1134194200"/>
        <c:axId val="1134192040"/>
      </c:lineChart>
      <c:catAx>
        <c:axId val="1134194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134192040"/>
        <c:crosses val="autoZero"/>
        <c:auto val="1"/>
        <c:lblAlgn val="ctr"/>
        <c:lblOffset val="100"/>
        <c:noMultiLvlLbl val="0"/>
      </c:catAx>
      <c:valAx>
        <c:axId val="1134192040"/>
        <c:scaling>
          <c:orientation val="minMax"/>
          <c:max val="0.75000000000000011"/>
          <c:min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134194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10414</Words>
  <Characters>59361</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2024-02-04T19:50:00Z</dcterms:created>
  <dcterms:modified xsi:type="dcterms:W3CDTF">2024-04-18T05:19:00Z</dcterms:modified>
</cp:coreProperties>
</file>