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B316F" w:rsidP="00D54D50">
      <w:pPr>
        <w:pStyle w:val="Title"/>
      </w:pPr>
      <w:bookmarkStart w:id="0" w:name="_GoBack"/>
      <w:r>
        <w:t>Review of Adult Palliative Care Services in New Zealand</w:t>
      </w:r>
      <w:bookmarkEnd w:id="0"/>
    </w:p>
    <w:p w:rsidR="00455CC9" w:rsidRPr="00082762" w:rsidRDefault="00455CC9" w:rsidP="00455CC9">
      <w:pPr>
        <w:pStyle w:val="Year"/>
        <w:rPr>
          <w:sz w:val="2"/>
          <w:szCs w:val="2"/>
        </w:rPr>
      </w:pP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1B316F">
        <w:t>201</w:t>
      </w:r>
      <w:r w:rsidR="00782E74">
        <w:t>7</w:t>
      </w:r>
      <w:r w:rsidR="00442C1C">
        <w:t xml:space="preserve">. </w:t>
      </w:r>
      <w:r w:rsidR="001B316F">
        <w:rPr>
          <w:i/>
        </w:rPr>
        <w:t>Review of Adult Palliative Care Services in New Zealand</w:t>
      </w:r>
      <w:r w:rsidR="00442C1C">
        <w:t>. Wellington: Ministry of Health.</w:t>
      </w:r>
    </w:p>
    <w:p w:rsidR="00C86248" w:rsidRDefault="00C86248">
      <w:pPr>
        <w:pStyle w:val="Imprint"/>
      </w:pPr>
      <w:r>
        <w:t xml:space="preserve">Published in </w:t>
      </w:r>
      <w:r w:rsidR="001F6DF0">
        <w:t>March</w:t>
      </w:r>
      <w:r w:rsidR="00782E74">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3672A4" w:rsidP="00082CD6">
      <w:pPr>
        <w:pStyle w:val="Imprint"/>
      </w:pPr>
      <w:r>
        <w:t xml:space="preserve">ISBN </w:t>
      </w:r>
      <w:r w:rsidRPr="003672A4">
        <w:t>978-1-98-850236-6</w:t>
      </w:r>
      <w:r>
        <w:t xml:space="preserve"> (print)</w:t>
      </w:r>
      <w:r>
        <w:br/>
      </w:r>
      <w:r w:rsidR="00F63781">
        <w:t xml:space="preserve">ISBN </w:t>
      </w:r>
      <w:r w:rsidR="00E83131" w:rsidRPr="00E83131">
        <w:t xml:space="preserve">978-0-947515-82-9 </w:t>
      </w:r>
      <w:r w:rsidR="00D863D0" w:rsidRPr="00E83131">
        <w:t>(</w:t>
      </w:r>
      <w:r w:rsidR="00442C1C" w:rsidRPr="00E83131">
        <w:t>online</w:t>
      </w:r>
      <w:r w:rsidR="00D863D0" w:rsidRPr="00E83131">
        <w:t>)</w:t>
      </w:r>
      <w:r w:rsidR="00082CD6" w:rsidRPr="00E83131">
        <w:br/>
        <w:t xml:space="preserve">HP </w:t>
      </w:r>
      <w:r w:rsidR="00E83131">
        <w:t>6516</w:t>
      </w:r>
    </w:p>
    <w:p w:rsidR="00C86248" w:rsidRDefault="00C86248">
      <w:pPr>
        <w:pStyle w:val="Imprint"/>
      </w:pPr>
      <w:r w:rsidRPr="00E83131">
        <w:t>This document is available h</w:t>
      </w:r>
      <w:r w:rsidR="00A80363" w:rsidRPr="00E83131">
        <w:t>ealth</w:t>
      </w:r>
      <w:r w:rsidRPr="00E83131">
        <w:t>.govt.nz</w:t>
      </w:r>
    </w:p>
    <w:p w:rsidR="00C86248" w:rsidRDefault="007D5DC7">
      <w:pPr>
        <w:jc w:val="center"/>
      </w:pPr>
      <w:r>
        <w:rPr>
          <w:noProof/>
          <w:lang w:eastAsia="en-NZ"/>
        </w:rPr>
        <w:drawing>
          <wp:inline distT="0" distB="0" distL="0" distR="0">
            <wp:extent cx="1670685" cy="681355"/>
            <wp:effectExtent l="0" t="0" r="571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D5DC7" w:rsidP="001F45A7">
      <w:pPr>
        <w:spacing w:before="240"/>
        <w:ind w:right="-851"/>
        <w:rPr>
          <w:sz w:val="18"/>
          <w:szCs w:val="18"/>
        </w:rPr>
      </w:pPr>
      <w:r>
        <w:rPr>
          <w:b/>
          <w:noProof/>
          <w:sz w:val="18"/>
          <w:szCs w:val="18"/>
          <w:lang w:eastAsia="en-NZ"/>
        </w:rPr>
        <w:drawing>
          <wp:inline distT="0" distB="0" distL="0" distR="0">
            <wp:extent cx="806450" cy="282575"/>
            <wp:effectExtent l="0" t="0" r="0" b="3175"/>
            <wp:docPr id="9"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7E74F1" w:rsidRPr="001F45A7">
        <w:rPr>
          <w:sz w:val="18"/>
          <w:szCs w:val="18"/>
        </w:rPr>
        <w:t xml:space="preserve"> This work is licensed under the Creative Commons Attribution 4.0 International licence. In essence, </w:t>
      </w:r>
      <w:r w:rsidR="007E74F1" w:rsidRPr="001F45A7">
        <w:rPr>
          <w:bCs/>
          <w:sz w:val="18"/>
          <w:szCs w:val="18"/>
        </w:rPr>
        <w:t xml:space="preserve">you are free to: </w:t>
      </w:r>
      <w:r w:rsidR="007E74F1" w:rsidRPr="001F45A7">
        <w:rPr>
          <w:sz w:val="18"/>
          <w:szCs w:val="18"/>
        </w:rPr>
        <w:t xml:space="preserve">share ie, copy and redistribute the material in any medium or format; adapt ie, remix, transform and build upon the material. </w:t>
      </w:r>
      <w:r w:rsidR="007E74F1"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5C119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C119E">
        <w:rPr>
          <w:noProof/>
        </w:rPr>
        <w:t>1</w:t>
      </w:r>
      <w:r w:rsidR="005C119E">
        <w:rPr>
          <w:rFonts w:asciiTheme="minorHAnsi" w:eastAsiaTheme="minorEastAsia" w:hAnsiTheme="minorHAnsi" w:cstheme="minorBidi"/>
          <w:b w:val="0"/>
          <w:noProof/>
          <w:szCs w:val="22"/>
          <w:lang w:eastAsia="en-NZ"/>
        </w:rPr>
        <w:tab/>
      </w:r>
      <w:r w:rsidR="005C119E">
        <w:rPr>
          <w:noProof/>
        </w:rPr>
        <w:t>Background</w:t>
      </w:r>
      <w:r w:rsidR="005C119E">
        <w:rPr>
          <w:noProof/>
        </w:rPr>
        <w:tab/>
      </w:r>
      <w:r w:rsidR="005C119E">
        <w:rPr>
          <w:noProof/>
        </w:rPr>
        <w:fldChar w:fldCharType="begin"/>
      </w:r>
      <w:r w:rsidR="005C119E">
        <w:rPr>
          <w:noProof/>
        </w:rPr>
        <w:instrText xml:space="preserve"> PAGEREF _Toc477850252 \h </w:instrText>
      </w:r>
      <w:r w:rsidR="005C119E">
        <w:rPr>
          <w:noProof/>
        </w:rPr>
      </w:r>
      <w:r w:rsidR="005C119E">
        <w:rPr>
          <w:noProof/>
        </w:rPr>
        <w:fldChar w:fldCharType="separate"/>
      </w:r>
      <w:r w:rsidR="001D0F53">
        <w:rPr>
          <w:noProof/>
        </w:rPr>
        <w:t>1</w:t>
      </w:r>
      <w:r w:rsidR="005C119E">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Purpose of the Review</w:t>
      </w:r>
      <w:r>
        <w:rPr>
          <w:noProof/>
        </w:rPr>
        <w:tab/>
      </w:r>
      <w:r>
        <w:rPr>
          <w:noProof/>
        </w:rPr>
        <w:fldChar w:fldCharType="begin"/>
      </w:r>
      <w:r>
        <w:rPr>
          <w:noProof/>
        </w:rPr>
        <w:instrText xml:space="preserve"> PAGEREF _Toc477850253 \h </w:instrText>
      </w:r>
      <w:r>
        <w:rPr>
          <w:noProof/>
        </w:rPr>
      </w:r>
      <w:r>
        <w:rPr>
          <w:noProof/>
        </w:rPr>
        <w:fldChar w:fldCharType="separate"/>
      </w:r>
      <w:r w:rsidR="001D0F53">
        <w:rPr>
          <w:noProof/>
        </w:rPr>
        <w:t>1</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Strategic connections</w:t>
      </w:r>
      <w:r>
        <w:rPr>
          <w:noProof/>
        </w:rPr>
        <w:tab/>
      </w:r>
      <w:r>
        <w:rPr>
          <w:noProof/>
        </w:rPr>
        <w:fldChar w:fldCharType="begin"/>
      </w:r>
      <w:r>
        <w:rPr>
          <w:noProof/>
        </w:rPr>
        <w:instrText xml:space="preserve"> PAGEREF _Toc477850254 \h </w:instrText>
      </w:r>
      <w:r>
        <w:rPr>
          <w:noProof/>
        </w:rPr>
      </w:r>
      <w:r>
        <w:rPr>
          <w:noProof/>
        </w:rPr>
        <w:fldChar w:fldCharType="separate"/>
      </w:r>
      <w:r w:rsidR="001D0F53">
        <w:rPr>
          <w:noProof/>
        </w:rPr>
        <w:t>1</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A refreshed strategic direction for palliative care</w:t>
      </w:r>
      <w:r>
        <w:rPr>
          <w:noProof/>
        </w:rPr>
        <w:tab/>
      </w:r>
      <w:r>
        <w:rPr>
          <w:noProof/>
        </w:rPr>
        <w:fldChar w:fldCharType="begin"/>
      </w:r>
      <w:r>
        <w:rPr>
          <w:noProof/>
        </w:rPr>
        <w:instrText xml:space="preserve"> PAGEREF _Toc477850255 \h </w:instrText>
      </w:r>
      <w:r>
        <w:rPr>
          <w:noProof/>
        </w:rPr>
      </w:r>
      <w:r>
        <w:rPr>
          <w:noProof/>
        </w:rPr>
        <w:fldChar w:fldCharType="separate"/>
      </w:r>
      <w:r w:rsidR="001D0F53">
        <w:rPr>
          <w:noProof/>
        </w:rPr>
        <w:t>2</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What is palliative care?</w:t>
      </w:r>
      <w:r>
        <w:rPr>
          <w:noProof/>
        </w:rPr>
        <w:tab/>
      </w:r>
      <w:r>
        <w:rPr>
          <w:noProof/>
        </w:rPr>
        <w:fldChar w:fldCharType="begin"/>
      </w:r>
      <w:r>
        <w:rPr>
          <w:noProof/>
        </w:rPr>
        <w:instrText xml:space="preserve"> PAGEREF _Toc477850256 \h </w:instrText>
      </w:r>
      <w:r>
        <w:rPr>
          <w:noProof/>
        </w:rPr>
      </w:r>
      <w:r>
        <w:rPr>
          <w:noProof/>
        </w:rPr>
        <w:fldChar w:fldCharType="separate"/>
      </w:r>
      <w:r w:rsidR="001D0F53">
        <w:rPr>
          <w:noProof/>
        </w:rPr>
        <w:t>3</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Key aspects of current palliative care services</w:t>
      </w:r>
      <w:r>
        <w:rPr>
          <w:noProof/>
        </w:rPr>
        <w:tab/>
      </w:r>
      <w:r>
        <w:rPr>
          <w:noProof/>
        </w:rPr>
        <w:fldChar w:fldCharType="begin"/>
      </w:r>
      <w:r>
        <w:rPr>
          <w:noProof/>
        </w:rPr>
        <w:instrText xml:space="preserve"> PAGEREF _Toc477850257 \h </w:instrText>
      </w:r>
      <w:r>
        <w:rPr>
          <w:noProof/>
        </w:rPr>
      </w:r>
      <w:r>
        <w:rPr>
          <w:noProof/>
        </w:rPr>
        <w:fldChar w:fldCharType="separate"/>
      </w:r>
      <w:r w:rsidR="001D0F53">
        <w:rPr>
          <w:noProof/>
        </w:rPr>
        <w:t>5</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Settings of services</w:t>
      </w:r>
      <w:r>
        <w:rPr>
          <w:noProof/>
        </w:rPr>
        <w:tab/>
      </w:r>
      <w:r>
        <w:rPr>
          <w:noProof/>
        </w:rPr>
        <w:fldChar w:fldCharType="begin"/>
      </w:r>
      <w:r>
        <w:rPr>
          <w:noProof/>
        </w:rPr>
        <w:instrText xml:space="preserve"> PAGEREF _Toc477850258 \h </w:instrText>
      </w:r>
      <w:r>
        <w:rPr>
          <w:noProof/>
        </w:rPr>
      </w:r>
      <w:r>
        <w:rPr>
          <w:noProof/>
        </w:rPr>
        <w:fldChar w:fldCharType="separate"/>
      </w:r>
      <w:r w:rsidR="001D0F53">
        <w:rPr>
          <w:noProof/>
        </w:rPr>
        <w:t>5</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Assessing service integration</w:t>
      </w:r>
      <w:r>
        <w:rPr>
          <w:noProof/>
        </w:rPr>
        <w:tab/>
      </w:r>
      <w:r>
        <w:rPr>
          <w:noProof/>
        </w:rPr>
        <w:fldChar w:fldCharType="begin"/>
      </w:r>
      <w:r>
        <w:rPr>
          <w:noProof/>
        </w:rPr>
        <w:instrText xml:space="preserve"> PAGEREF _Toc477850259 \h </w:instrText>
      </w:r>
      <w:r>
        <w:rPr>
          <w:noProof/>
        </w:rPr>
      </w:r>
      <w:r>
        <w:rPr>
          <w:noProof/>
        </w:rPr>
        <w:fldChar w:fldCharType="separate"/>
      </w:r>
      <w:r w:rsidR="001D0F53">
        <w:rPr>
          <w:noProof/>
        </w:rPr>
        <w:t>5</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Funding</w:t>
      </w:r>
      <w:r>
        <w:rPr>
          <w:noProof/>
        </w:rPr>
        <w:tab/>
      </w:r>
      <w:r>
        <w:rPr>
          <w:noProof/>
        </w:rPr>
        <w:fldChar w:fldCharType="begin"/>
      </w:r>
      <w:r>
        <w:rPr>
          <w:noProof/>
        </w:rPr>
        <w:instrText xml:space="preserve"> PAGEREF _Toc477850260 \h </w:instrText>
      </w:r>
      <w:r>
        <w:rPr>
          <w:noProof/>
        </w:rPr>
      </w:r>
      <w:r>
        <w:rPr>
          <w:noProof/>
        </w:rPr>
        <w:fldChar w:fldCharType="separate"/>
      </w:r>
      <w:r w:rsidR="001D0F53">
        <w:rPr>
          <w:noProof/>
        </w:rPr>
        <w:t>6</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What matters to people – what we know</w:t>
      </w:r>
      <w:r>
        <w:rPr>
          <w:noProof/>
        </w:rPr>
        <w:tab/>
      </w:r>
      <w:r>
        <w:rPr>
          <w:noProof/>
        </w:rPr>
        <w:fldChar w:fldCharType="begin"/>
      </w:r>
      <w:r>
        <w:rPr>
          <w:noProof/>
        </w:rPr>
        <w:instrText xml:space="preserve"> PAGEREF _Toc477850261 \h </w:instrText>
      </w:r>
      <w:r>
        <w:rPr>
          <w:noProof/>
        </w:rPr>
      </w:r>
      <w:r>
        <w:rPr>
          <w:noProof/>
        </w:rPr>
        <w:fldChar w:fldCharType="separate"/>
      </w:r>
      <w:r w:rsidR="001D0F53">
        <w:rPr>
          <w:noProof/>
        </w:rPr>
        <w:t>7</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Changing demands on palliative care services</w:t>
      </w:r>
      <w:r>
        <w:rPr>
          <w:noProof/>
        </w:rPr>
        <w:tab/>
      </w:r>
      <w:r>
        <w:rPr>
          <w:noProof/>
        </w:rPr>
        <w:fldChar w:fldCharType="begin"/>
      </w:r>
      <w:r>
        <w:rPr>
          <w:noProof/>
        </w:rPr>
        <w:instrText xml:space="preserve"> PAGEREF _Toc477850262 \h </w:instrText>
      </w:r>
      <w:r>
        <w:rPr>
          <w:noProof/>
        </w:rPr>
      </w:r>
      <w:r>
        <w:rPr>
          <w:noProof/>
        </w:rPr>
        <w:fldChar w:fldCharType="separate"/>
      </w:r>
      <w:r w:rsidR="001D0F53">
        <w:rPr>
          <w:noProof/>
        </w:rPr>
        <w:t>8</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Forecast need for palliative care</w:t>
      </w:r>
      <w:r>
        <w:rPr>
          <w:noProof/>
        </w:rPr>
        <w:tab/>
      </w:r>
      <w:r>
        <w:rPr>
          <w:noProof/>
        </w:rPr>
        <w:fldChar w:fldCharType="begin"/>
      </w:r>
      <w:r>
        <w:rPr>
          <w:noProof/>
        </w:rPr>
        <w:instrText xml:space="preserve"> PAGEREF _Toc477850263 \h </w:instrText>
      </w:r>
      <w:r>
        <w:rPr>
          <w:noProof/>
        </w:rPr>
      </w:r>
      <w:r>
        <w:rPr>
          <w:noProof/>
        </w:rPr>
        <w:fldChar w:fldCharType="separate"/>
      </w:r>
      <w:r w:rsidR="001D0F53">
        <w:rPr>
          <w:noProof/>
        </w:rPr>
        <w:t>8</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Implications of the forecast need</w:t>
      </w:r>
      <w:r>
        <w:rPr>
          <w:noProof/>
        </w:rPr>
        <w:tab/>
      </w:r>
      <w:r>
        <w:rPr>
          <w:noProof/>
        </w:rPr>
        <w:fldChar w:fldCharType="begin"/>
      </w:r>
      <w:r>
        <w:rPr>
          <w:noProof/>
        </w:rPr>
        <w:instrText xml:space="preserve"> PAGEREF _Toc477850264 \h </w:instrText>
      </w:r>
      <w:r>
        <w:rPr>
          <w:noProof/>
        </w:rPr>
      </w:r>
      <w:r>
        <w:rPr>
          <w:noProof/>
        </w:rPr>
        <w:fldChar w:fldCharType="separate"/>
      </w:r>
      <w:r w:rsidR="001D0F53">
        <w:rPr>
          <w:noProof/>
        </w:rPr>
        <w:t>9</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Future workforce capacity</w:t>
      </w:r>
      <w:r>
        <w:rPr>
          <w:noProof/>
        </w:rPr>
        <w:tab/>
      </w:r>
      <w:r>
        <w:rPr>
          <w:noProof/>
        </w:rPr>
        <w:fldChar w:fldCharType="begin"/>
      </w:r>
      <w:r>
        <w:rPr>
          <w:noProof/>
        </w:rPr>
        <w:instrText xml:space="preserve"> PAGEREF _Toc477850265 \h </w:instrText>
      </w:r>
      <w:r>
        <w:rPr>
          <w:noProof/>
        </w:rPr>
      </w:r>
      <w:r>
        <w:rPr>
          <w:noProof/>
        </w:rPr>
        <w:fldChar w:fldCharType="separate"/>
      </w:r>
      <w:r w:rsidR="001D0F53">
        <w:rPr>
          <w:noProof/>
        </w:rPr>
        <w:t>10</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Stakeholders’ views on future demands on funding</w:t>
      </w:r>
      <w:r>
        <w:rPr>
          <w:noProof/>
        </w:rPr>
        <w:tab/>
      </w:r>
      <w:r>
        <w:rPr>
          <w:noProof/>
        </w:rPr>
        <w:fldChar w:fldCharType="begin"/>
      </w:r>
      <w:r>
        <w:rPr>
          <w:noProof/>
        </w:rPr>
        <w:instrText xml:space="preserve"> PAGEREF _Toc477850266 \h </w:instrText>
      </w:r>
      <w:r>
        <w:rPr>
          <w:noProof/>
        </w:rPr>
      </w:r>
      <w:r>
        <w:rPr>
          <w:noProof/>
        </w:rPr>
        <w:fldChar w:fldCharType="separate"/>
      </w:r>
      <w:r w:rsidR="001D0F53">
        <w:rPr>
          <w:noProof/>
        </w:rPr>
        <w:t>11</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What matters to people – what we need to know</w:t>
      </w:r>
      <w:r>
        <w:rPr>
          <w:noProof/>
        </w:rPr>
        <w:tab/>
      </w:r>
      <w:r>
        <w:rPr>
          <w:noProof/>
        </w:rPr>
        <w:fldChar w:fldCharType="begin"/>
      </w:r>
      <w:r>
        <w:rPr>
          <w:noProof/>
        </w:rPr>
        <w:instrText xml:space="preserve"> PAGEREF _Toc477850267 \h </w:instrText>
      </w:r>
      <w:r>
        <w:rPr>
          <w:noProof/>
        </w:rPr>
      </w:r>
      <w:r>
        <w:rPr>
          <w:noProof/>
        </w:rPr>
        <w:fldChar w:fldCharType="separate"/>
      </w:r>
      <w:r w:rsidR="001D0F53">
        <w:rPr>
          <w:noProof/>
        </w:rPr>
        <w:t>11</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Themes from stakeholders</w:t>
      </w:r>
      <w:r>
        <w:rPr>
          <w:noProof/>
        </w:rPr>
        <w:tab/>
      </w:r>
      <w:r>
        <w:rPr>
          <w:noProof/>
        </w:rPr>
        <w:fldChar w:fldCharType="begin"/>
      </w:r>
      <w:r>
        <w:rPr>
          <w:noProof/>
        </w:rPr>
        <w:instrText xml:space="preserve"> PAGEREF _Toc477850268 \h </w:instrText>
      </w:r>
      <w:r>
        <w:rPr>
          <w:noProof/>
        </w:rPr>
      </w:r>
      <w:r>
        <w:rPr>
          <w:noProof/>
        </w:rPr>
        <w:fldChar w:fldCharType="separate"/>
      </w:r>
      <w:r w:rsidR="001D0F53">
        <w:rPr>
          <w:noProof/>
        </w:rPr>
        <w:t>12</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Priority areas and actions</w:t>
      </w:r>
      <w:r>
        <w:rPr>
          <w:noProof/>
        </w:rPr>
        <w:tab/>
      </w:r>
      <w:r>
        <w:rPr>
          <w:noProof/>
        </w:rPr>
        <w:fldChar w:fldCharType="begin"/>
      </w:r>
      <w:r>
        <w:rPr>
          <w:noProof/>
        </w:rPr>
        <w:instrText xml:space="preserve"> PAGEREF _Toc477850269 \h </w:instrText>
      </w:r>
      <w:r>
        <w:rPr>
          <w:noProof/>
        </w:rPr>
      </w:r>
      <w:r>
        <w:rPr>
          <w:noProof/>
        </w:rPr>
        <w:fldChar w:fldCharType="separate"/>
      </w:r>
      <w:r w:rsidR="001D0F53">
        <w:rPr>
          <w:noProof/>
        </w:rPr>
        <w:t>13</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Priority area: Increase emphasis on primary palliative care</w:t>
      </w:r>
      <w:r>
        <w:rPr>
          <w:noProof/>
        </w:rPr>
        <w:tab/>
      </w:r>
      <w:r>
        <w:rPr>
          <w:noProof/>
        </w:rPr>
        <w:fldChar w:fldCharType="begin"/>
      </w:r>
      <w:r>
        <w:rPr>
          <w:noProof/>
        </w:rPr>
        <w:instrText xml:space="preserve"> PAGEREF _Toc477850270 \h </w:instrText>
      </w:r>
      <w:r>
        <w:rPr>
          <w:noProof/>
        </w:rPr>
      </w:r>
      <w:r>
        <w:rPr>
          <w:noProof/>
        </w:rPr>
        <w:fldChar w:fldCharType="separate"/>
      </w:r>
      <w:r w:rsidR="001D0F53">
        <w:rPr>
          <w:noProof/>
        </w:rPr>
        <w:t>13</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Priority area: Improve quality in all settings</w:t>
      </w:r>
      <w:r>
        <w:rPr>
          <w:noProof/>
        </w:rPr>
        <w:tab/>
      </w:r>
      <w:r>
        <w:rPr>
          <w:noProof/>
        </w:rPr>
        <w:fldChar w:fldCharType="begin"/>
      </w:r>
      <w:r>
        <w:rPr>
          <w:noProof/>
        </w:rPr>
        <w:instrText xml:space="preserve"> PAGEREF _Toc477850271 \h </w:instrText>
      </w:r>
      <w:r>
        <w:rPr>
          <w:noProof/>
        </w:rPr>
      </w:r>
      <w:r>
        <w:rPr>
          <w:noProof/>
        </w:rPr>
        <w:fldChar w:fldCharType="separate"/>
      </w:r>
      <w:r w:rsidR="001D0F53">
        <w:rPr>
          <w:noProof/>
        </w:rPr>
        <w:t>14</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Priority area: Grow the capability of informal carers in communities</w:t>
      </w:r>
      <w:r>
        <w:rPr>
          <w:noProof/>
        </w:rPr>
        <w:tab/>
      </w:r>
      <w:r>
        <w:rPr>
          <w:noProof/>
        </w:rPr>
        <w:fldChar w:fldCharType="begin"/>
      </w:r>
      <w:r>
        <w:rPr>
          <w:noProof/>
        </w:rPr>
        <w:instrText xml:space="preserve"> PAGEREF _Toc477850272 \h </w:instrText>
      </w:r>
      <w:r>
        <w:rPr>
          <w:noProof/>
        </w:rPr>
      </w:r>
      <w:r>
        <w:rPr>
          <w:noProof/>
        </w:rPr>
        <w:fldChar w:fldCharType="separate"/>
      </w:r>
      <w:r w:rsidR="001D0F53">
        <w:rPr>
          <w:noProof/>
        </w:rPr>
        <w:t>15</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Priority area: Respond to the voices of people with palliative care needs and their families and whānau</w:t>
      </w:r>
      <w:r>
        <w:rPr>
          <w:noProof/>
        </w:rPr>
        <w:tab/>
      </w:r>
      <w:r>
        <w:rPr>
          <w:noProof/>
        </w:rPr>
        <w:fldChar w:fldCharType="begin"/>
      </w:r>
      <w:r>
        <w:rPr>
          <w:noProof/>
        </w:rPr>
        <w:instrText xml:space="preserve"> PAGEREF _Toc477850273 \h </w:instrText>
      </w:r>
      <w:r>
        <w:rPr>
          <w:noProof/>
        </w:rPr>
      </w:r>
      <w:r>
        <w:rPr>
          <w:noProof/>
        </w:rPr>
        <w:fldChar w:fldCharType="separate"/>
      </w:r>
      <w:r w:rsidR="001D0F53">
        <w:rPr>
          <w:noProof/>
        </w:rPr>
        <w:t>15</w:t>
      </w:r>
      <w:r>
        <w:rPr>
          <w:noProof/>
        </w:rPr>
        <w:fldChar w:fldCharType="end"/>
      </w:r>
    </w:p>
    <w:p w:rsidR="005C119E" w:rsidRDefault="005C119E">
      <w:pPr>
        <w:pStyle w:val="TOC2"/>
        <w:rPr>
          <w:rFonts w:asciiTheme="minorHAnsi" w:eastAsiaTheme="minorEastAsia" w:hAnsiTheme="minorHAnsi" w:cstheme="minorBidi"/>
          <w:noProof/>
          <w:szCs w:val="22"/>
          <w:lang w:eastAsia="en-NZ"/>
        </w:rPr>
      </w:pPr>
      <w:r>
        <w:rPr>
          <w:noProof/>
        </w:rPr>
        <w:t>Priority area: Ensure strong strategic connections</w:t>
      </w:r>
      <w:r>
        <w:rPr>
          <w:noProof/>
        </w:rPr>
        <w:tab/>
      </w:r>
      <w:r>
        <w:rPr>
          <w:noProof/>
        </w:rPr>
        <w:fldChar w:fldCharType="begin"/>
      </w:r>
      <w:r>
        <w:rPr>
          <w:noProof/>
        </w:rPr>
        <w:instrText xml:space="preserve"> PAGEREF _Toc477850274 \h </w:instrText>
      </w:r>
      <w:r>
        <w:rPr>
          <w:noProof/>
        </w:rPr>
      </w:r>
      <w:r>
        <w:rPr>
          <w:noProof/>
        </w:rPr>
        <w:fldChar w:fldCharType="separate"/>
      </w:r>
      <w:r w:rsidR="001D0F53">
        <w:rPr>
          <w:noProof/>
        </w:rPr>
        <w:t>16</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_Toc477850275 \h </w:instrText>
      </w:r>
      <w:r>
        <w:rPr>
          <w:noProof/>
        </w:rPr>
      </w:r>
      <w:r>
        <w:rPr>
          <w:noProof/>
        </w:rPr>
        <w:fldChar w:fldCharType="separate"/>
      </w:r>
      <w:r w:rsidR="001D0F53">
        <w:rPr>
          <w:noProof/>
        </w:rPr>
        <w:t>17</w:t>
      </w:r>
      <w:r>
        <w:rPr>
          <w:noProof/>
        </w:rPr>
        <w:fldChar w:fldCharType="end"/>
      </w:r>
    </w:p>
    <w:p w:rsidR="005C119E" w:rsidRDefault="005C119E">
      <w:pPr>
        <w:pStyle w:val="TOC1"/>
        <w:rPr>
          <w:rFonts w:asciiTheme="minorHAnsi" w:eastAsiaTheme="minorEastAsia" w:hAnsiTheme="minorHAnsi" w:cstheme="minorBidi"/>
          <w:b w:val="0"/>
          <w:noProof/>
          <w:szCs w:val="22"/>
          <w:lang w:eastAsia="en-NZ"/>
        </w:rPr>
      </w:pPr>
      <w:r>
        <w:rPr>
          <w:noProof/>
        </w:rPr>
        <w:t>Appendix 1: Respondents to targeted consultation on draft Review findings, July 2016</w:t>
      </w:r>
      <w:r>
        <w:rPr>
          <w:noProof/>
        </w:rPr>
        <w:tab/>
      </w:r>
      <w:r>
        <w:rPr>
          <w:noProof/>
        </w:rPr>
        <w:fldChar w:fldCharType="begin"/>
      </w:r>
      <w:r>
        <w:rPr>
          <w:noProof/>
        </w:rPr>
        <w:instrText xml:space="preserve"> PAGEREF _Toc477850276 \h </w:instrText>
      </w:r>
      <w:r>
        <w:rPr>
          <w:noProof/>
        </w:rPr>
      </w:r>
      <w:r>
        <w:rPr>
          <w:noProof/>
        </w:rPr>
        <w:fldChar w:fldCharType="separate"/>
      </w:r>
      <w:r w:rsidR="001D0F53">
        <w:rPr>
          <w:noProof/>
        </w:rPr>
        <w:t>18</w:t>
      </w:r>
      <w:r>
        <w:rPr>
          <w:noProof/>
        </w:rPr>
        <w:fldChar w:fldCharType="end"/>
      </w:r>
    </w:p>
    <w:p w:rsidR="00C86248" w:rsidRDefault="00C86248">
      <w:r>
        <w:rPr>
          <w:b/>
        </w:rPr>
        <w:fldChar w:fldCharType="end"/>
      </w:r>
    </w:p>
    <w:p w:rsidR="003A5FEA" w:rsidRDefault="003A5FEA" w:rsidP="003A5FEA">
      <w:pPr>
        <w:pStyle w:val="TOC1"/>
      </w:pPr>
      <w:r>
        <w:t xml:space="preserve">List of </w:t>
      </w:r>
      <w:r w:rsidR="005C119E">
        <w:t>f</w:t>
      </w:r>
      <w:r>
        <w:t>igures</w:t>
      </w:r>
    </w:p>
    <w:p w:rsidR="000A2FB6" w:rsidRPr="00801F8A" w:rsidRDefault="003A5FEA">
      <w:pPr>
        <w:pStyle w:val="TOC3"/>
        <w:rPr>
          <w:rFonts w:ascii="Calibri" w:hAnsi="Calibri"/>
          <w:noProof/>
          <w:szCs w:val="22"/>
          <w:lang w:eastAsia="en-NZ"/>
        </w:rPr>
      </w:pPr>
      <w:r>
        <w:fldChar w:fldCharType="begin"/>
      </w:r>
      <w:r>
        <w:instrText xml:space="preserve"> TOC \t "Figure,3" </w:instrText>
      </w:r>
      <w:r>
        <w:fldChar w:fldCharType="separate"/>
      </w:r>
      <w:r w:rsidR="000A2FB6">
        <w:rPr>
          <w:noProof/>
        </w:rPr>
        <w:t>Figure 1:</w:t>
      </w:r>
      <w:r w:rsidR="000A2FB6">
        <w:rPr>
          <w:noProof/>
        </w:rPr>
        <w:tab/>
        <w:t>Five strategic themes of the New Zealand Health Strategy</w:t>
      </w:r>
      <w:r w:rsidR="000A2FB6">
        <w:rPr>
          <w:noProof/>
        </w:rPr>
        <w:tab/>
      </w:r>
      <w:r w:rsidR="000A2FB6">
        <w:rPr>
          <w:noProof/>
        </w:rPr>
        <w:fldChar w:fldCharType="begin"/>
      </w:r>
      <w:r w:rsidR="000A2FB6">
        <w:rPr>
          <w:noProof/>
        </w:rPr>
        <w:instrText xml:space="preserve"> PAGEREF _Toc467050673 \h </w:instrText>
      </w:r>
      <w:r w:rsidR="000A2FB6">
        <w:rPr>
          <w:noProof/>
        </w:rPr>
      </w:r>
      <w:r w:rsidR="000A2FB6">
        <w:rPr>
          <w:noProof/>
        </w:rPr>
        <w:fldChar w:fldCharType="separate"/>
      </w:r>
      <w:r w:rsidR="001D0F53">
        <w:rPr>
          <w:noProof/>
        </w:rPr>
        <w:t>1</w:t>
      </w:r>
      <w:r w:rsidR="000A2FB6">
        <w:rPr>
          <w:noProof/>
        </w:rPr>
        <w:fldChar w:fldCharType="end"/>
      </w:r>
    </w:p>
    <w:p w:rsidR="000A2FB6" w:rsidRPr="00801F8A" w:rsidRDefault="000A2FB6">
      <w:pPr>
        <w:pStyle w:val="TOC3"/>
        <w:rPr>
          <w:rFonts w:ascii="Calibri" w:hAnsi="Calibri"/>
          <w:noProof/>
          <w:szCs w:val="22"/>
          <w:lang w:eastAsia="en-NZ"/>
        </w:rPr>
      </w:pPr>
      <w:r>
        <w:rPr>
          <w:noProof/>
        </w:rPr>
        <w:t>Figure 2:</w:t>
      </w:r>
      <w:r>
        <w:rPr>
          <w:noProof/>
        </w:rPr>
        <w:tab/>
        <w:t>The relationship between primary palliative care and specialist palliative care</w:t>
      </w:r>
      <w:r>
        <w:rPr>
          <w:noProof/>
        </w:rPr>
        <w:tab/>
      </w:r>
      <w:r>
        <w:rPr>
          <w:noProof/>
        </w:rPr>
        <w:fldChar w:fldCharType="begin"/>
      </w:r>
      <w:r>
        <w:rPr>
          <w:noProof/>
        </w:rPr>
        <w:instrText xml:space="preserve"> PAGEREF _Toc467050674 \h </w:instrText>
      </w:r>
      <w:r>
        <w:rPr>
          <w:noProof/>
        </w:rPr>
      </w:r>
      <w:r>
        <w:rPr>
          <w:noProof/>
        </w:rPr>
        <w:fldChar w:fldCharType="separate"/>
      </w:r>
      <w:r w:rsidR="001D0F53">
        <w:rPr>
          <w:noProof/>
        </w:rPr>
        <w:t>4</w:t>
      </w:r>
      <w:r>
        <w:rPr>
          <w:noProof/>
        </w:rPr>
        <w:fldChar w:fldCharType="end"/>
      </w:r>
    </w:p>
    <w:p w:rsidR="000A2FB6" w:rsidRPr="00801F8A" w:rsidRDefault="000A2FB6">
      <w:pPr>
        <w:pStyle w:val="TOC3"/>
        <w:rPr>
          <w:rFonts w:ascii="Calibri" w:hAnsi="Calibri"/>
          <w:noProof/>
          <w:szCs w:val="22"/>
          <w:lang w:eastAsia="en-NZ"/>
        </w:rPr>
      </w:pPr>
      <w:r>
        <w:rPr>
          <w:noProof/>
        </w:rPr>
        <w:t>Figure 3:</w:t>
      </w:r>
      <w:r>
        <w:rPr>
          <w:noProof/>
        </w:rPr>
        <w:tab/>
        <w:t>Projected need for palliative care in New Zealand, 2016–2068</w:t>
      </w:r>
      <w:r>
        <w:rPr>
          <w:noProof/>
        </w:rPr>
        <w:tab/>
      </w:r>
      <w:r>
        <w:rPr>
          <w:noProof/>
        </w:rPr>
        <w:fldChar w:fldCharType="begin"/>
      </w:r>
      <w:r>
        <w:rPr>
          <w:noProof/>
        </w:rPr>
        <w:instrText xml:space="preserve"> PAGEREF _Toc467050675 \h </w:instrText>
      </w:r>
      <w:r>
        <w:rPr>
          <w:noProof/>
        </w:rPr>
      </w:r>
      <w:r>
        <w:rPr>
          <w:noProof/>
        </w:rPr>
        <w:fldChar w:fldCharType="separate"/>
      </w:r>
      <w:r w:rsidR="001D0F53">
        <w:rPr>
          <w:noProof/>
        </w:rPr>
        <w:t>9</w:t>
      </w:r>
      <w:r>
        <w:rPr>
          <w:noProof/>
        </w:rPr>
        <w:fldChar w:fldCharType="end"/>
      </w:r>
    </w:p>
    <w:p w:rsidR="00455CC9" w:rsidRDefault="003A5FEA" w:rsidP="0086388B">
      <w: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1B316F" w:rsidP="0086388B">
      <w:pPr>
        <w:pStyle w:val="Heading1"/>
      </w:pPr>
      <w:bookmarkStart w:id="3" w:name="_Toc477850252"/>
      <w:r>
        <w:lastRenderedPageBreak/>
        <w:t>1</w:t>
      </w:r>
      <w:r>
        <w:tab/>
        <w:t>Background</w:t>
      </w:r>
      <w:bookmarkEnd w:id="3"/>
    </w:p>
    <w:p w:rsidR="001B316F" w:rsidRPr="002D204F" w:rsidRDefault="001B316F" w:rsidP="001B316F">
      <w:pPr>
        <w:pStyle w:val="Heading2"/>
      </w:pPr>
      <w:bookmarkStart w:id="4" w:name="_Toc464970897"/>
      <w:bookmarkStart w:id="5" w:name="_Toc477850253"/>
      <w:r>
        <w:t xml:space="preserve">Purpose of the </w:t>
      </w:r>
      <w:r w:rsidRPr="002D204F">
        <w:t>Review</w:t>
      </w:r>
      <w:bookmarkEnd w:id="4"/>
      <w:bookmarkEnd w:id="5"/>
    </w:p>
    <w:p w:rsidR="001B316F" w:rsidRDefault="001B316F" w:rsidP="001B316F">
      <w:r w:rsidRPr="0051118C">
        <w:t xml:space="preserve">The purpose of the </w:t>
      </w:r>
      <w:r>
        <w:t xml:space="preserve">Review of Adult Palliative Care Services in New Zealand (the Review) </w:t>
      </w:r>
      <w:r w:rsidRPr="0051118C">
        <w:t xml:space="preserve">is to recommend actions to ensure that all New Zealand adults who would benefit from palliative care at the end of their life </w:t>
      </w:r>
      <w:r>
        <w:t xml:space="preserve">continue to </w:t>
      </w:r>
      <w:r w:rsidRPr="0051118C">
        <w:t>receive high</w:t>
      </w:r>
      <w:r>
        <w:t>-</w:t>
      </w:r>
      <w:r w:rsidRPr="0051118C">
        <w:t>quality care</w:t>
      </w:r>
      <w:r>
        <w:t xml:space="preserve"> </w:t>
      </w:r>
      <w:r w:rsidRPr="0051118C">
        <w:t>and a seamless experience of care regardless of whether they are at home, in hospital, in a hospice or in an aged residential care facility.</w:t>
      </w:r>
    </w:p>
    <w:p w:rsidR="001B316F" w:rsidRDefault="001B316F" w:rsidP="001B316F"/>
    <w:p w:rsidR="001B316F" w:rsidRDefault="001B316F" w:rsidP="001B316F">
      <w:r>
        <w:t xml:space="preserve">The Review was conducted from October 2015 to September 2016. Its terms of reference (available on the Ministry of Health website) </w:t>
      </w:r>
      <w:r w:rsidRPr="00315AA0">
        <w:t xml:space="preserve">limited </w:t>
      </w:r>
      <w:r>
        <w:t xml:space="preserve">the Review </w:t>
      </w:r>
      <w:r w:rsidRPr="00315AA0">
        <w:t xml:space="preserve">to adult services, as paediatric </w:t>
      </w:r>
      <w:r>
        <w:t>palliative care services are provided on a significantly smaller scale and through a different set of services. Its findings are drawn from projections the Ministry of Health</w:t>
      </w:r>
      <w:r w:rsidRPr="005A27C4">
        <w:t xml:space="preserve"> </w:t>
      </w:r>
      <w:r>
        <w:t>commissioned, information from stakeholders, and evidence gathered during the Review. The Palliative Care Advisory Panel</w:t>
      </w:r>
      <w:r w:rsidRPr="001B316F">
        <w:rPr>
          <w:rStyle w:val="FootnoteReference"/>
        </w:rPr>
        <w:footnoteReference w:id="1"/>
      </w:r>
      <w:r>
        <w:t xml:space="preserve"> has been consulted.</w:t>
      </w:r>
    </w:p>
    <w:p w:rsidR="001B316F" w:rsidRDefault="001B316F" w:rsidP="001B316F"/>
    <w:p w:rsidR="001B316F" w:rsidRDefault="001B316F" w:rsidP="001B316F">
      <w:pPr>
        <w:pStyle w:val="Heading2"/>
      </w:pPr>
      <w:bookmarkStart w:id="6" w:name="_Toc464970898"/>
      <w:bookmarkStart w:id="7" w:name="_Toc477850254"/>
      <w:r w:rsidRPr="007172B6">
        <w:t>Strategic con</w:t>
      </w:r>
      <w:r>
        <w:t>nections</w:t>
      </w:r>
      <w:bookmarkEnd w:id="6"/>
      <w:bookmarkEnd w:id="7"/>
    </w:p>
    <w:tbl>
      <w:tblPr>
        <w:tblW w:w="0" w:type="auto"/>
        <w:tblLayout w:type="fixed"/>
        <w:tblLook w:val="04A0" w:firstRow="1" w:lastRow="0" w:firstColumn="1" w:lastColumn="0" w:noHBand="0" w:noVBand="1"/>
      </w:tblPr>
      <w:tblGrid>
        <w:gridCol w:w="5070"/>
        <w:gridCol w:w="4501"/>
      </w:tblGrid>
      <w:tr w:rsidR="001B316F" w:rsidTr="00801F8A">
        <w:trPr>
          <w:cantSplit/>
        </w:trPr>
        <w:tc>
          <w:tcPr>
            <w:tcW w:w="5070" w:type="dxa"/>
            <w:shd w:val="clear" w:color="auto" w:fill="auto"/>
          </w:tcPr>
          <w:p w:rsidR="001B316F" w:rsidRDefault="001B316F" w:rsidP="00801F8A">
            <w:pPr>
              <w:pStyle w:val="Figure"/>
              <w:spacing w:before="0"/>
            </w:pPr>
            <w:bookmarkStart w:id="8" w:name="_Toc467050673"/>
            <w:r w:rsidRPr="00671DF5">
              <w:t>Figure 1: Five strategic themes of the New</w:t>
            </w:r>
            <w:r>
              <w:t> </w:t>
            </w:r>
            <w:r w:rsidRPr="00671DF5">
              <w:t>Zealand Health Strategy</w:t>
            </w:r>
            <w:bookmarkEnd w:id="8"/>
          </w:p>
          <w:p w:rsidR="001B316F" w:rsidRPr="001B316F" w:rsidRDefault="007D5DC7" w:rsidP="001B316F">
            <w:r>
              <w:rPr>
                <w:noProof/>
                <w:lang w:eastAsia="en-NZ"/>
              </w:rPr>
              <w:drawing>
                <wp:inline distT="0" distB="0" distL="0" distR="0">
                  <wp:extent cx="3092450" cy="3225165"/>
                  <wp:effectExtent l="0" t="0" r="0" b="0"/>
                  <wp:docPr id="8" name="Picture 1" descr="http://intranet.moh.govt.nz/sites/default/files/images/nzhs/fivethemesofnzhsenglish.jpg" title="Figure 1: Five strategic themes of the New Zealand Health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oh.govt.nz/sites/default/files/images/nzhs/fivethemesofnzhsenglish.jpg"/>
                          <pic:cNvPicPr>
                            <a:picLocks noChangeAspect="1" noChangeArrowheads="1"/>
                          </pic:cNvPicPr>
                        </pic:nvPicPr>
                        <pic:blipFill>
                          <a:blip r:embed="rId18">
                            <a:extLst>
                              <a:ext uri="{28A0092B-C50C-407E-A947-70E740481C1C}">
                                <a14:useLocalDpi xmlns:a14="http://schemas.microsoft.com/office/drawing/2010/main" val="0"/>
                              </a:ext>
                            </a:extLst>
                          </a:blip>
                          <a:srcRect t="6322" b="-6322"/>
                          <a:stretch>
                            <a:fillRect/>
                          </a:stretch>
                        </pic:blipFill>
                        <pic:spPr bwMode="auto">
                          <a:xfrm>
                            <a:off x="0" y="0"/>
                            <a:ext cx="3092450" cy="3225165"/>
                          </a:xfrm>
                          <a:prstGeom prst="rect">
                            <a:avLst/>
                          </a:prstGeom>
                          <a:noFill/>
                          <a:ln>
                            <a:noFill/>
                          </a:ln>
                        </pic:spPr>
                      </pic:pic>
                    </a:graphicData>
                  </a:graphic>
                </wp:inline>
              </w:drawing>
            </w:r>
          </w:p>
        </w:tc>
        <w:tc>
          <w:tcPr>
            <w:tcW w:w="4501" w:type="dxa"/>
            <w:shd w:val="clear" w:color="auto" w:fill="auto"/>
          </w:tcPr>
          <w:p w:rsidR="001B316F" w:rsidRDefault="001B316F" w:rsidP="001B316F">
            <w:r w:rsidRPr="006F0FE2">
              <w:t>Th</w:t>
            </w:r>
            <w:r>
              <w:t xml:space="preserve">e Roadmap of actions 2016 in the </w:t>
            </w:r>
            <w:r w:rsidRPr="006F0FE2">
              <w:t>New Zealand Health Strategy</w:t>
            </w:r>
            <w:r>
              <w:t xml:space="preserve"> identifies the Review as one of its</w:t>
            </w:r>
            <w:r w:rsidRPr="006F0FE2">
              <w:t xml:space="preserve"> action</w:t>
            </w:r>
            <w:r>
              <w:t>s.</w:t>
            </w:r>
          </w:p>
          <w:p w:rsidR="001B316F" w:rsidRDefault="001B316F" w:rsidP="001B316F"/>
          <w:p w:rsidR="001B316F" w:rsidRDefault="001B316F" w:rsidP="001B316F">
            <w:r>
              <w:t xml:space="preserve">The refreshed strategic direction for adult palliative care outlined in the Review aligns with the </w:t>
            </w:r>
            <w:r w:rsidRPr="00B1069C">
              <w:t>direction</w:t>
            </w:r>
            <w:r>
              <w:t xml:space="preserve"> </w:t>
            </w:r>
            <w:r w:rsidRPr="00B1069C">
              <w:t xml:space="preserve">for the health system established </w:t>
            </w:r>
            <w:r>
              <w:t xml:space="preserve">by </w:t>
            </w:r>
            <w:r w:rsidRPr="00B1069C">
              <w:t>the New Zealand Health Strategy</w:t>
            </w:r>
            <w:r>
              <w:t xml:space="preserve"> under five strategic themes (Figure 1), and with the Healthy Ageing Strategy.</w:t>
            </w:r>
          </w:p>
          <w:p w:rsidR="001B316F" w:rsidRDefault="001B316F" w:rsidP="001B316F"/>
          <w:p w:rsidR="001B316F" w:rsidRPr="001B316F" w:rsidRDefault="001B316F" w:rsidP="001B316F">
            <w:r w:rsidRPr="00E96910">
              <w:t xml:space="preserve">The </w:t>
            </w:r>
            <w:r>
              <w:t xml:space="preserve">Healthy Ageing </w:t>
            </w:r>
            <w:r w:rsidRPr="00E96910">
              <w:t>Strategy</w:t>
            </w:r>
            <w:r>
              <w:t xml:space="preserve"> </w:t>
            </w:r>
            <w:r w:rsidRPr="00E96910">
              <w:t xml:space="preserve">also has a focus area on support for a respectful end of life. The </w:t>
            </w:r>
            <w:r>
              <w:t xml:space="preserve">Healthy Ageing </w:t>
            </w:r>
            <w:r w:rsidRPr="00E96910">
              <w:t>Strategy is about supporting older people to age well, make informed choices about their health and wellbeing and ensure a person</w:t>
            </w:r>
            <w:r>
              <w:t>-</w:t>
            </w:r>
            <w:r w:rsidRPr="00E96910">
              <w:t xml:space="preserve">centred, responsive system. </w:t>
            </w:r>
            <w:r>
              <w:t>In particular, it is about enabling p</w:t>
            </w:r>
            <w:r w:rsidRPr="00E96910">
              <w:t xml:space="preserve">eople to feel safe and supported to openly discuss and plan </w:t>
            </w:r>
            <w:r>
              <w:t xml:space="preserve">for </w:t>
            </w:r>
            <w:r w:rsidRPr="00E96910">
              <w:t>their end of life.</w:t>
            </w:r>
          </w:p>
        </w:tc>
      </w:tr>
    </w:tbl>
    <w:p w:rsidR="001B316F" w:rsidRDefault="001B316F" w:rsidP="001B316F"/>
    <w:p w:rsidR="001B316F" w:rsidRDefault="001B316F" w:rsidP="001B316F">
      <w:pPr>
        <w:keepNext/>
      </w:pPr>
      <w:r w:rsidRPr="00E96910">
        <w:lastRenderedPageBreak/>
        <w:t xml:space="preserve">The </w:t>
      </w:r>
      <w:r>
        <w:t xml:space="preserve">Healthy Ageing </w:t>
      </w:r>
      <w:r w:rsidRPr="00E96910">
        <w:t xml:space="preserve">Strategy is the result of a highly collaborative process, involving </w:t>
      </w:r>
      <w:r>
        <w:t>many individuals and organisations, and public consultation. It</w:t>
      </w:r>
      <w:r w:rsidRPr="00E96910">
        <w:t xml:space="preserve"> will be a key platform for improv</w:t>
      </w:r>
      <w:r>
        <w:t>ing</w:t>
      </w:r>
      <w:r w:rsidRPr="00E96910">
        <w:t xml:space="preserve"> outcomes for older people and their families and </w:t>
      </w:r>
      <w:r>
        <w:t>whānau</w:t>
      </w:r>
      <w:r w:rsidRPr="00E96910">
        <w:t>.</w:t>
      </w:r>
    </w:p>
    <w:p w:rsidR="001B316F" w:rsidRDefault="001B316F" w:rsidP="001B316F"/>
    <w:p w:rsidR="001B316F" w:rsidRPr="001B316F" w:rsidRDefault="001B316F" w:rsidP="001B316F">
      <w:r>
        <w:t xml:space="preserve">A key strand connecting </w:t>
      </w:r>
      <w:r w:rsidRPr="00E96910">
        <w:t xml:space="preserve">the </w:t>
      </w:r>
      <w:r>
        <w:t xml:space="preserve">New Zealand Health Strategy, the Healthy Ageing </w:t>
      </w:r>
      <w:r w:rsidRPr="00E96910">
        <w:t>Strategy</w:t>
      </w:r>
      <w:r>
        <w:t xml:space="preserve"> and the Review </w:t>
      </w:r>
      <w:r w:rsidRPr="00E96910">
        <w:t xml:space="preserve">is </w:t>
      </w:r>
      <w:r>
        <w:t xml:space="preserve">the aim to support people in the final stages of life, whatever their age group. </w:t>
      </w:r>
      <w:r w:rsidRPr="00E96910">
        <w:t>Actions to improve the general public</w:t>
      </w:r>
      <w:r>
        <w:t>’s</w:t>
      </w:r>
      <w:r w:rsidRPr="00E96910">
        <w:t xml:space="preserve"> awareness and understanding of this phase of life </w:t>
      </w:r>
      <w:r>
        <w:t>(</w:t>
      </w:r>
      <w:r w:rsidRPr="001B316F">
        <w:t>Closer to home) as well as to develop the capability of the primary palliative care workforce and informal carers (One team) are a priority. Improving service quality, through increased national consistency (Value and high performance), and incorporating the views of patients, families and whānau (People-powered) are other common themes.</w:t>
      </w:r>
    </w:p>
    <w:p w:rsidR="001B316F" w:rsidRPr="001B316F" w:rsidRDefault="001B316F" w:rsidP="001B316F"/>
    <w:p w:rsidR="001B316F" w:rsidRPr="00831AEC" w:rsidRDefault="001B316F" w:rsidP="001B316F">
      <w:pPr>
        <w:pStyle w:val="Heading2"/>
      </w:pPr>
      <w:bookmarkStart w:id="9" w:name="_Toc464970899"/>
      <w:bookmarkStart w:id="10" w:name="_Toc477850255"/>
      <w:r>
        <w:t>A refreshed strategic direction for palliative care</w:t>
      </w:r>
      <w:bookmarkEnd w:id="9"/>
      <w:bookmarkEnd w:id="10"/>
    </w:p>
    <w:p w:rsidR="001B316F" w:rsidRDefault="001B316F" w:rsidP="001B316F">
      <w:r>
        <w:t>This report summarises key aspects of current service delivery of adult palliative care in New Zealand, and gives an overview of factors influencing the changing demand for these services. It outlines the implications of the forecast changes and opportunities to help manage them with a continued focus on high-quality care.</w:t>
      </w:r>
    </w:p>
    <w:p w:rsidR="001B316F" w:rsidRDefault="001B316F" w:rsidP="001B316F"/>
    <w:p w:rsidR="001B316F" w:rsidRDefault="001B316F" w:rsidP="001B316F">
      <w:r w:rsidRPr="00990967">
        <w:t xml:space="preserve">The overarching goal </w:t>
      </w:r>
      <w:r>
        <w:t xml:space="preserve">for adult palliative care service delivery in New Zealand </w:t>
      </w:r>
      <w:r w:rsidRPr="00990967">
        <w:t xml:space="preserve">is </w:t>
      </w:r>
      <w:r>
        <w:t>to provide</w:t>
      </w:r>
      <w:r w:rsidRPr="00990967">
        <w:t xml:space="preserve"> high</w:t>
      </w:r>
      <w:r>
        <w:t>-</w:t>
      </w:r>
      <w:r w:rsidRPr="00990967">
        <w:t>quality care</w:t>
      </w:r>
      <w:r>
        <w:t xml:space="preserve">, </w:t>
      </w:r>
      <w:r w:rsidRPr="00990967">
        <w:t>in all settings</w:t>
      </w:r>
      <w:r>
        <w:t xml:space="preserve"> and geographical locations, </w:t>
      </w:r>
      <w:r w:rsidRPr="00990967">
        <w:t>enabling someone to die in an environment that feels, and is, safe and comfortable.</w:t>
      </w:r>
    </w:p>
    <w:p w:rsidR="001B316F" w:rsidRDefault="001B316F" w:rsidP="001B316F"/>
    <w:p w:rsidR="001B316F" w:rsidRDefault="001B316F" w:rsidP="001B316F">
      <w:pPr>
        <w:rPr>
          <w:lang w:val="en"/>
        </w:rPr>
      </w:pPr>
      <w:r>
        <w:t xml:space="preserve">High-quality palliative care is, at its heart, people-centred and responsive, offering clinical, </w:t>
      </w:r>
      <w:r>
        <w:rPr>
          <w:lang w:val="en"/>
        </w:rPr>
        <w:t xml:space="preserve">physical, psychosocial, spiritual and cultural aspects of care and support. Transitions between goals of care, and sometimes place of care, can represent milestones in the journey of the person who is dying. Open communication and a clear patient pathway for this journey as it progresses are other characteristics of a high-quality experience. Support for </w:t>
      </w:r>
      <w:r>
        <w:t>family, whānau and friends</w:t>
      </w:r>
      <w:r>
        <w:rPr>
          <w:lang w:val="en"/>
        </w:rPr>
        <w:t>, both before and after a death, is a further core aspect.</w:t>
      </w:r>
    </w:p>
    <w:p w:rsidR="001B316F" w:rsidRDefault="001B316F" w:rsidP="001B316F"/>
    <w:p w:rsidR="001B316F" w:rsidRDefault="001B316F" w:rsidP="001B316F">
      <w:r>
        <w:t>This report outlines a suite of actions under five priority areas, which reflect the key themes</w:t>
      </w:r>
      <w:r w:rsidRPr="002F3755">
        <w:t xml:space="preserve"> </w:t>
      </w:r>
      <w:r>
        <w:t>arising from the Review. The five priority areas are to:</w:t>
      </w:r>
    </w:p>
    <w:p w:rsidR="001B316F" w:rsidRDefault="001B316F" w:rsidP="001B316F">
      <w:pPr>
        <w:pStyle w:val="Bullet"/>
      </w:pPr>
      <w:r>
        <w:t>increase the emphasis on primary palliative care</w:t>
      </w:r>
    </w:p>
    <w:p w:rsidR="001B316F" w:rsidRDefault="001B316F" w:rsidP="001B316F">
      <w:pPr>
        <w:pStyle w:val="Bullet"/>
      </w:pPr>
      <w:r>
        <w:t>improve quality in all settings</w:t>
      </w:r>
    </w:p>
    <w:p w:rsidR="001B316F" w:rsidRDefault="001B316F" w:rsidP="001B316F">
      <w:pPr>
        <w:pStyle w:val="Bullet"/>
      </w:pPr>
      <w:r>
        <w:t>grow the capability of informal carers in communities</w:t>
      </w:r>
    </w:p>
    <w:p w:rsidR="001B316F" w:rsidRDefault="001B316F" w:rsidP="001B316F">
      <w:pPr>
        <w:pStyle w:val="Bullet"/>
      </w:pPr>
      <w:r>
        <w:t xml:space="preserve">respond to the voices of people with palliative care needs and their families and </w:t>
      </w:r>
      <w:r w:rsidRPr="00C24E81">
        <w:t>whā</w:t>
      </w:r>
      <w:r>
        <w:t>nau</w:t>
      </w:r>
    </w:p>
    <w:p w:rsidR="001B316F" w:rsidRDefault="001B316F" w:rsidP="001B316F">
      <w:pPr>
        <w:pStyle w:val="Bullet"/>
      </w:pPr>
      <w:r>
        <w:t>ensure strong strategic connections.</w:t>
      </w:r>
    </w:p>
    <w:p w:rsidR="001B316F" w:rsidRDefault="001B316F" w:rsidP="001B316F"/>
    <w:p w:rsidR="001B316F" w:rsidRDefault="001B316F" w:rsidP="001B316F">
      <w:r>
        <w:t>These priority areas and their actions are aimed at managing future demand and achieving the overarching goal. They underpin a refreshed strategic direction for the delivery of adult palliative care services.</w:t>
      </w:r>
    </w:p>
    <w:p w:rsidR="001B316F" w:rsidRDefault="001B316F" w:rsidP="001B316F"/>
    <w:p w:rsidR="001B316F" w:rsidRDefault="001B316F" w:rsidP="001B316F">
      <w:r>
        <w:t>This report represents a high-level summary of a comprehensive reference document</w:t>
      </w:r>
      <w:r w:rsidRPr="00CA3596">
        <w:t xml:space="preserve"> </w:t>
      </w:r>
      <w:r>
        <w:t>that the Ministry of Health compiled for the purposes of the Review, with input from the sector.</w:t>
      </w:r>
    </w:p>
    <w:p w:rsidR="001B316F" w:rsidRDefault="001B316F" w:rsidP="001B316F"/>
    <w:p w:rsidR="001B316F" w:rsidRPr="004D65A2" w:rsidRDefault="001B316F" w:rsidP="001B316F">
      <w:pPr>
        <w:pStyle w:val="Heading2"/>
      </w:pPr>
      <w:bookmarkStart w:id="11" w:name="_Toc464970900"/>
      <w:bookmarkStart w:id="12" w:name="_Toc477850256"/>
      <w:r w:rsidRPr="004D65A2">
        <w:lastRenderedPageBreak/>
        <w:t>What is palliative care?</w:t>
      </w:r>
      <w:bookmarkEnd w:id="11"/>
      <w:bookmarkEnd w:id="12"/>
    </w:p>
    <w:p w:rsidR="001B316F" w:rsidRDefault="001B316F" w:rsidP="001B316F">
      <w:r>
        <w:t>This section defines the term ‘palliative care’ and the two main ways of delivering it. For e</w:t>
      </w:r>
      <w:r w:rsidRPr="00AE7089">
        <w:t xml:space="preserve">xplanations of </w:t>
      </w:r>
      <w:r>
        <w:t>other</w:t>
      </w:r>
      <w:r w:rsidRPr="00AE7089">
        <w:t xml:space="preserve"> relevant term</w:t>
      </w:r>
      <w:r>
        <w:t>s used in this report, see</w:t>
      </w:r>
      <w:r w:rsidRPr="00AE7089">
        <w:t xml:space="preserve"> the New Zealand Palliative </w:t>
      </w:r>
      <w:r w:rsidRPr="00836720">
        <w:t>Care Glossary (Ministry of Health 2015a).</w:t>
      </w:r>
    </w:p>
    <w:p w:rsidR="001B316F" w:rsidRDefault="001B316F" w:rsidP="001B316F"/>
    <w:p w:rsidR="001B316F" w:rsidRPr="0051118C" w:rsidRDefault="001B316F" w:rsidP="003004D0">
      <w:r w:rsidRPr="004A5E92">
        <w:rPr>
          <w:b/>
          <w:bCs/>
        </w:rPr>
        <w:t>Palliative care</w:t>
      </w:r>
      <w:r w:rsidRPr="003004D0">
        <w:t xml:space="preserve"> </w:t>
      </w:r>
      <w:r w:rsidRPr="00B1069C">
        <w:rPr>
          <w:iCs/>
        </w:rPr>
        <w:t>is</w:t>
      </w:r>
      <w:r w:rsidRPr="00B1069C">
        <w:rPr>
          <w:i/>
          <w:iCs/>
        </w:rPr>
        <w:t xml:space="preserve"> </w:t>
      </w:r>
      <w:r w:rsidRPr="00B1069C">
        <w:t>care for people of all ages with a life-limiting or life-threatening condition</w:t>
      </w:r>
      <w:r>
        <w:t>,</w:t>
      </w:r>
      <w:r w:rsidRPr="00B1069C">
        <w:t xml:space="preserve"> which aims to</w:t>
      </w:r>
      <w:r w:rsidRPr="0051118C">
        <w:t>:</w:t>
      </w:r>
    </w:p>
    <w:p w:rsidR="001B316F" w:rsidRPr="0051118C" w:rsidRDefault="001B316F" w:rsidP="003004D0">
      <w:pPr>
        <w:pStyle w:val="Bullet"/>
      </w:pPr>
      <w:r w:rsidRPr="0051118C">
        <w:t>optimise an individual</w:t>
      </w:r>
      <w:r>
        <w:t>’</w:t>
      </w:r>
      <w:r w:rsidRPr="0051118C">
        <w:t>s quality of life until death by addressing the person</w:t>
      </w:r>
      <w:r>
        <w:t>’</w:t>
      </w:r>
      <w:r w:rsidRPr="0051118C">
        <w:t>s physical, psychosocial, spiritual and cultural needs</w:t>
      </w:r>
    </w:p>
    <w:p w:rsidR="001B316F" w:rsidRPr="0051118C" w:rsidRDefault="001B316F" w:rsidP="003004D0">
      <w:pPr>
        <w:pStyle w:val="Bullet"/>
      </w:pPr>
      <w:r w:rsidRPr="0051118C">
        <w:t>support the individual</w:t>
      </w:r>
      <w:r>
        <w:t>’</w:t>
      </w:r>
      <w:r w:rsidRPr="0051118C">
        <w:t>s family, whānau and other caregivers where needed, through the illness and after death.</w:t>
      </w:r>
    </w:p>
    <w:p w:rsidR="003004D0" w:rsidRDefault="003004D0" w:rsidP="003004D0"/>
    <w:p w:rsidR="001B316F" w:rsidRPr="0051118C" w:rsidRDefault="001B316F" w:rsidP="008A6BD9">
      <w:r w:rsidRPr="0051118C">
        <w:t>Palliative care is provided according to an individual</w:t>
      </w:r>
      <w:r>
        <w:t>’</w:t>
      </w:r>
      <w:r w:rsidRPr="0051118C">
        <w:t>s need, and may be suitable whether death is days, weeks, months or occasionally even years away. It may be suitable sometimes when treatments are being given aimed at improving quantity of life.</w:t>
      </w:r>
      <w:r>
        <w:t xml:space="preserve"> The preferred approach is that it is </w:t>
      </w:r>
      <w:r w:rsidRPr="0051118C">
        <w:t>available wherever the person may be locat</w:t>
      </w:r>
      <w:r>
        <w:t xml:space="preserve">ed and is </w:t>
      </w:r>
      <w:r w:rsidRPr="0051118C">
        <w:t>provided by all health care professionals, supported where necessary, by specialist palliative care services.</w:t>
      </w:r>
    </w:p>
    <w:p w:rsidR="008A6BD9" w:rsidRDefault="008A6BD9" w:rsidP="008A6BD9"/>
    <w:p w:rsidR="001B316F" w:rsidRDefault="008A6BD9" w:rsidP="008A6BD9">
      <w:r>
        <w:rPr>
          <w:i/>
        </w:rPr>
        <w:t>‘</w:t>
      </w:r>
      <w:r w:rsidR="001B316F" w:rsidRPr="00646427">
        <w:rPr>
          <w:i/>
        </w:rPr>
        <w:t>Primary palliative care</w:t>
      </w:r>
      <w:r w:rsidR="001B316F">
        <w:t xml:space="preserve"> is </w:t>
      </w:r>
      <w:r w:rsidR="001B316F" w:rsidRPr="0051118C">
        <w:t>provided for those affected by a life-limiting or life-threatening condition as an integral part of standard clinical practice by any health</w:t>
      </w:r>
      <w:r>
        <w:t xml:space="preserve"> </w:t>
      </w:r>
      <w:r w:rsidR="001B316F" w:rsidRPr="0051118C">
        <w:t>care professional.</w:t>
      </w:r>
      <w:r w:rsidR="001B316F">
        <w:t xml:space="preserve"> It refers to palliative care </w:t>
      </w:r>
      <w:r w:rsidR="001B316F" w:rsidRPr="0012492A">
        <w:t>provided as a routine component of usual care</w:t>
      </w:r>
      <w:r w:rsidR="001B316F" w:rsidRPr="00B1069C">
        <w:t xml:space="preserve"> by all individuals and organisations who are not part of a specialist palliative care team</w:t>
      </w:r>
      <w:r w:rsidR="001B316F">
        <w:t>. Primary palliative care providers assess and refer people to specialist palliative care services when the needs of the person extend beyond the scope of the service.</w:t>
      </w:r>
    </w:p>
    <w:p w:rsidR="008A6BD9" w:rsidRDefault="008A6BD9" w:rsidP="008A6BD9"/>
    <w:p w:rsidR="001B316F" w:rsidRPr="00B1069C" w:rsidRDefault="001B316F" w:rsidP="008A6BD9">
      <w:r w:rsidRPr="00646427">
        <w:rPr>
          <w:i/>
        </w:rPr>
        <w:t>Specialist palliative care</w:t>
      </w:r>
      <w:r w:rsidRPr="0012492A">
        <w:t xml:space="preserve"> is</w:t>
      </w:r>
      <w:r w:rsidRPr="00B1069C">
        <w:t xml:space="preserve"> palliative care provided by those who have undergone specific training and/or a</w:t>
      </w:r>
      <w:r>
        <w:t xml:space="preserve">ccreditation in palliative care or palliative </w:t>
      </w:r>
      <w:r w:rsidRPr="00B1069C">
        <w:t>medicine, working in the context of an expert interdisciplinary team of palliative care health professionals.</w:t>
      </w:r>
    </w:p>
    <w:p w:rsidR="008A6BD9" w:rsidRDefault="008A6BD9" w:rsidP="008A6BD9"/>
    <w:p w:rsidR="001B316F" w:rsidRPr="00B1069C" w:rsidRDefault="001B316F" w:rsidP="008A6BD9">
      <w:r w:rsidRPr="00B1069C">
        <w:t xml:space="preserve">Specialist palliative care is delivered </w:t>
      </w:r>
      <w:r>
        <w:t>both:</w:t>
      </w:r>
    </w:p>
    <w:p w:rsidR="001B316F" w:rsidRDefault="001B316F" w:rsidP="008A6BD9">
      <w:pPr>
        <w:pStyle w:val="Bullet"/>
      </w:pPr>
      <w:r>
        <w:t>d</w:t>
      </w:r>
      <w:r w:rsidRPr="00B1069C">
        <w:t>irectly – to provide direct management and support of the person</w:t>
      </w:r>
      <w:r>
        <w:t xml:space="preserve">, </w:t>
      </w:r>
      <w:r w:rsidRPr="00B1069C">
        <w:t>family</w:t>
      </w:r>
      <w:r>
        <w:t xml:space="preserve"> and </w:t>
      </w:r>
      <w:r w:rsidRPr="00B1069C">
        <w:t>whānau where more complex palliative care need exceeds the resources</w:t>
      </w:r>
      <w:r>
        <w:t xml:space="preserve"> or scope </w:t>
      </w:r>
      <w:r w:rsidRPr="00B1069C">
        <w:t xml:space="preserve">of the primary </w:t>
      </w:r>
      <w:r>
        <w:t xml:space="preserve">palliative care </w:t>
      </w:r>
      <w:r w:rsidRPr="00B1069C">
        <w:t xml:space="preserve">provider. </w:t>
      </w:r>
      <w:r>
        <w:t xml:space="preserve">The delivery may be </w:t>
      </w:r>
      <w:r w:rsidRPr="00B1069C">
        <w:t>continuous or episodic depending on the changing need</w:t>
      </w:r>
      <w:r>
        <w:t xml:space="preserve">s of the person receiving care and their </w:t>
      </w:r>
      <w:r w:rsidRPr="0051118C">
        <w:t>family</w:t>
      </w:r>
      <w:r>
        <w:t xml:space="preserve"> and </w:t>
      </w:r>
      <w:r w:rsidRPr="0051118C">
        <w:t>whānau</w:t>
      </w:r>
    </w:p>
    <w:p w:rsidR="001B316F" w:rsidRDefault="001B316F" w:rsidP="008A6BD9">
      <w:pPr>
        <w:pStyle w:val="Bullet"/>
      </w:pPr>
      <w:r>
        <w:t>i</w:t>
      </w:r>
      <w:r w:rsidRPr="00B1069C">
        <w:t>ndirectly – to provide advice, support, education and training for other health professionals and volunteers to support the primary provision of palliative care.</w:t>
      </w:r>
    </w:p>
    <w:p w:rsidR="008A6BD9" w:rsidRDefault="008A6BD9" w:rsidP="008A6BD9"/>
    <w:p w:rsidR="001B316F" w:rsidRPr="00671DF5" w:rsidRDefault="001B316F" w:rsidP="008A6BD9">
      <w:pPr>
        <w:pStyle w:val="Figure"/>
      </w:pPr>
      <w:bookmarkStart w:id="13" w:name="_Toc467050674"/>
      <w:r w:rsidRPr="00671DF5">
        <w:lastRenderedPageBreak/>
        <w:t>Figure 2: The relationship between primary palliative care and specialist palliative care</w:t>
      </w:r>
      <w:bookmarkEnd w:id="13"/>
    </w:p>
    <w:p w:rsidR="001B316F" w:rsidRDefault="007D5DC7" w:rsidP="00371E01">
      <w:r>
        <w:rPr>
          <w:noProof/>
          <w:lang w:eastAsia="en-NZ"/>
        </w:rPr>
        <w:drawing>
          <wp:inline distT="0" distB="0" distL="0" distR="0">
            <wp:extent cx="4605020" cy="3075940"/>
            <wp:effectExtent l="0" t="0" r="5080" b="0"/>
            <wp:docPr id="14" name="Picture 1" title="Figure 2: The relationship between primary palliative care and specialist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877" r="1242" b="1324"/>
                    <a:stretch>
                      <a:fillRect/>
                    </a:stretch>
                  </pic:blipFill>
                  <pic:spPr bwMode="auto">
                    <a:xfrm>
                      <a:off x="0" y="0"/>
                      <a:ext cx="4605020" cy="3075940"/>
                    </a:xfrm>
                    <a:prstGeom prst="rect">
                      <a:avLst/>
                    </a:prstGeom>
                    <a:noFill/>
                    <a:ln>
                      <a:noFill/>
                    </a:ln>
                  </pic:spPr>
                </pic:pic>
              </a:graphicData>
            </a:graphic>
          </wp:inline>
        </w:drawing>
      </w:r>
    </w:p>
    <w:p w:rsidR="008A6BD9" w:rsidRDefault="008A6BD9" w:rsidP="00371E01"/>
    <w:p w:rsidR="001B316F" w:rsidRPr="000960D7" w:rsidRDefault="001B316F" w:rsidP="008A6BD9">
      <w:r>
        <w:t xml:space="preserve">Figure 2 above illustrates examples of the provision of primary palliative care and specialist palliative care and how delivery may be </w:t>
      </w:r>
      <w:r w:rsidRPr="00B1069C">
        <w:t>continuous or episodic depending on the changing need</w:t>
      </w:r>
      <w:r>
        <w:t>s of the person receiving care. The following four examples are illustrated.</w:t>
      </w:r>
    </w:p>
    <w:p w:rsidR="001B316F" w:rsidRDefault="001B316F" w:rsidP="008A6BD9">
      <w:pPr>
        <w:spacing w:before="120"/>
        <w:ind w:left="567" w:hanging="567"/>
      </w:pPr>
      <w:r>
        <w:t>1)</w:t>
      </w:r>
      <w:r>
        <w:tab/>
      </w:r>
      <w:r w:rsidRPr="000960D7">
        <w:t>All care is provided by the primary palliative care providers with no input required from specialist palliative care services.</w:t>
      </w:r>
    </w:p>
    <w:p w:rsidR="001B316F" w:rsidRPr="000960D7" w:rsidRDefault="001B316F" w:rsidP="008A6BD9">
      <w:pPr>
        <w:spacing w:before="120"/>
        <w:ind w:left="567" w:hanging="567"/>
      </w:pPr>
      <w:r>
        <w:t>2)</w:t>
      </w:r>
      <w:r>
        <w:tab/>
      </w:r>
      <w:r w:rsidRPr="000960D7">
        <w:t>Care is provided by specialist palliative care for the duration of the illness with little or no input from primary palliative care providers.</w:t>
      </w:r>
    </w:p>
    <w:p w:rsidR="001B316F" w:rsidRPr="000960D7" w:rsidRDefault="001B316F" w:rsidP="008A6BD9">
      <w:pPr>
        <w:spacing w:before="120"/>
        <w:ind w:left="567" w:hanging="567"/>
      </w:pPr>
      <w:r>
        <w:t>3)</w:t>
      </w:r>
      <w:r>
        <w:tab/>
      </w:r>
      <w:r w:rsidRPr="000960D7">
        <w:t>Initial involvement from specialist palliative care to guide a plan of care with re-referral during the deteriorating phase or during the last days of life.</w:t>
      </w:r>
    </w:p>
    <w:p w:rsidR="001B316F" w:rsidRDefault="001B316F" w:rsidP="008A6BD9">
      <w:pPr>
        <w:spacing w:before="120"/>
        <w:ind w:left="567" w:hanging="567"/>
      </w:pPr>
      <w:r>
        <w:t>4)</w:t>
      </w:r>
      <w:r>
        <w:tab/>
      </w:r>
      <w:r w:rsidRPr="000960D7">
        <w:t>Multiple episodes of specialist palliative care involvement during times of increased need/complexity, not necessarily during the last days of life.</w:t>
      </w:r>
    </w:p>
    <w:p w:rsidR="008A6BD9" w:rsidRDefault="008A6BD9" w:rsidP="008A6BD9"/>
    <w:p w:rsidR="001B316F" w:rsidRDefault="001B316F" w:rsidP="008A6BD9">
      <w:r w:rsidRPr="000960D7">
        <w:t>3) and 4) are examples of the ways in which care may be provided intermittently by specialist palliative care in combination with primary palliative care. Continuity of care is provided by the primary palliative care provider(s).</w:t>
      </w:r>
    </w:p>
    <w:p w:rsidR="008A6BD9" w:rsidRDefault="008A6BD9" w:rsidP="008A6BD9"/>
    <w:p w:rsidR="001B316F" w:rsidRDefault="001B316F" w:rsidP="008A6BD9">
      <w:pPr>
        <w:pStyle w:val="Heading1"/>
      </w:pPr>
      <w:bookmarkStart w:id="14" w:name="_Toc464970901"/>
      <w:bookmarkStart w:id="15" w:name="_Toc477850257"/>
      <w:r>
        <w:lastRenderedPageBreak/>
        <w:t>2</w:t>
      </w:r>
      <w:r w:rsidR="008A6BD9">
        <w:tab/>
      </w:r>
      <w:r>
        <w:t>Key aspects of current palliative care services</w:t>
      </w:r>
      <w:bookmarkEnd w:id="14"/>
      <w:bookmarkEnd w:id="15"/>
    </w:p>
    <w:p w:rsidR="001B316F" w:rsidRDefault="001B316F" w:rsidP="008A6BD9">
      <w:pPr>
        <w:pStyle w:val="Heading2"/>
      </w:pPr>
      <w:bookmarkStart w:id="16" w:name="_Toc464970902"/>
      <w:bookmarkStart w:id="17" w:name="_Toc477850258"/>
      <w:r>
        <w:t>Settings of services</w:t>
      </w:r>
      <w:bookmarkEnd w:id="16"/>
      <w:bookmarkEnd w:id="17"/>
    </w:p>
    <w:p w:rsidR="001B316F" w:rsidRDefault="001B316F" w:rsidP="008A6BD9">
      <w:r>
        <w:t xml:space="preserve">In New Zealand, primary and specialist palliative care services are delivered in hospitals, aged residential care, private homes and hospices. </w:t>
      </w:r>
      <w:r w:rsidRPr="00A40FA5">
        <w:t xml:space="preserve">In 2013 </w:t>
      </w:r>
      <w:r>
        <w:t>almost</w:t>
      </w:r>
      <w:r w:rsidRPr="00A40FA5">
        <w:t xml:space="preserve"> one</w:t>
      </w:r>
      <w:r>
        <w:t>-</w:t>
      </w:r>
      <w:r w:rsidRPr="00A40FA5">
        <w:t xml:space="preserve">third of deaths </w:t>
      </w:r>
      <w:r>
        <w:t xml:space="preserve">across New Zealand </w:t>
      </w:r>
      <w:r w:rsidRPr="00A40FA5">
        <w:t>occurred in public hospitals, one</w:t>
      </w:r>
      <w:r>
        <w:t>-</w:t>
      </w:r>
      <w:r w:rsidRPr="00A40FA5">
        <w:t>third in aged residential care</w:t>
      </w:r>
      <w:r>
        <w:t xml:space="preserve"> facilities</w:t>
      </w:r>
      <w:r w:rsidRPr="00A40FA5">
        <w:t>, 23</w:t>
      </w:r>
      <w:r>
        <w:t xml:space="preserve"> </w:t>
      </w:r>
      <w:r w:rsidRPr="00A40FA5">
        <w:t xml:space="preserve">percent in private </w:t>
      </w:r>
      <w:r>
        <w:t>homes</w:t>
      </w:r>
      <w:r w:rsidRPr="00A40FA5">
        <w:t xml:space="preserve"> and just under </w:t>
      </w:r>
      <w:r>
        <w:t>7</w:t>
      </w:r>
      <w:r w:rsidRPr="00A40FA5">
        <w:t xml:space="preserve"> percent in hospice inpatient</w:t>
      </w:r>
      <w:r>
        <w:t xml:space="preserve"> </w:t>
      </w:r>
      <w:r w:rsidRPr="00A40FA5">
        <w:t xml:space="preserve">units. </w:t>
      </w:r>
      <w:r>
        <w:t>These proportions varied across regions, genders, ethnicities and age at death.</w:t>
      </w:r>
    </w:p>
    <w:p w:rsidR="008A6BD9" w:rsidRDefault="008A6BD9" w:rsidP="008A6BD9"/>
    <w:p w:rsidR="001B316F" w:rsidRDefault="001B316F" w:rsidP="008A6BD9">
      <w:r>
        <w:t>The hospice service extends well beyond inpatient beds. In the year to June 2015, 74 percent of people using hospice services had no admissions to an inpatient facility and 69 percent of people who died supported by hospice, did so in the community, either at home or in aged residential care (Hospice New Zealand Annual Review 2015).</w:t>
      </w:r>
    </w:p>
    <w:p w:rsidR="008A6BD9" w:rsidRDefault="008A6BD9" w:rsidP="008A6BD9"/>
    <w:p w:rsidR="001B316F" w:rsidRDefault="001B316F" w:rsidP="008A6BD9">
      <w:r>
        <w:t>Importantly, place of death data may not reflect a person’s main place of care, or their main provider of care, as people may transition to other settings or services at critical points on their journey.</w:t>
      </w:r>
    </w:p>
    <w:p w:rsidR="008A6BD9" w:rsidRDefault="008A6BD9" w:rsidP="008A6BD9"/>
    <w:p w:rsidR="001B316F" w:rsidRDefault="001B316F" w:rsidP="008A6BD9">
      <w:r>
        <w:t>Post-death and bereavement support for family, whānau and friends is an important aspect of palliative care services. A range of providers may deliver that support across a range of settings and geographical locations, wherever the bereaved are based.</w:t>
      </w:r>
    </w:p>
    <w:p w:rsidR="008A6BD9" w:rsidRDefault="008A6BD9" w:rsidP="008A6BD9"/>
    <w:p w:rsidR="001B316F" w:rsidRDefault="001B316F" w:rsidP="008A6BD9">
      <w:pPr>
        <w:pStyle w:val="Heading2"/>
      </w:pPr>
      <w:bookmarkStart w:id="18" w:name="_Toc464970903"/>
      <w:bookmarkStart w:id="19" w:name="_Toc477850259"/>
      <w:r>
        <w:t>Assessing service i</w:t>
      </w:r>
      <w:r w:rsidRPr="0069273D">
        <w:t>ntegration</w:t>
      </w:r>
      <w:bookmarkEnd w:id="18"/>
      <w:bookmarkEnd w:id="19"/>
    </w:p>
    <w:p w:rsidR="001B316F" w:rsidRDefault="001B316F" w:rsidP="008A6BD9">
      <w:r>
        <w:t>As part of</w:t>
      </w:r>
      <w:r w:rsidRPr="00D91D1A">
        <w:t xml:space="preserve"> th</w:t>
      </w:r>
      <w:r>
        <w:t>e Review,</w:t>
      </w:r>
      <w:r w:rsidRPr="00D91D1A">
        <w:t xml:space="preserve"> </w:t>
      </w:r>
      <w:r>
        <w:t>district health boards self-assessed</w:t>
      </w:r>
      <w:r w:rsidRPr="00D91D1A">
        <w:t xml:space="preserve"> </w:t>
      </w:r>
      <w:r>
        <w:t xml:space="preserve">their </w:t>
      </w:r>
      <w:r w:rsidRPr="00D91D1A">
        <w:t xml:space="preserve">current services against the </w:t>
      </w:r>
      <w:r w:rsidRPr="00A546B0">
        <w:t xml:space="preserve">Resource and Capability Framework for Integrated Adult Palliative Care Services </w:t>
      </w:r>
      <w:r>
        <w:t xml:space="preserve">in New </w:t>
      </w:r>
      <w:r w:rsidRPr="00D67E47">
        <w:t>Zealand (Ministry of Health 2013).</w:t>
      </w:r>
    </w:p>
    <w:p w:rsidR="008A6BD9" w:rsidRDefault="008A6BD9" w:rsidP="008A6BD9"/>
    <w:p w:rsidR="001B316F" w:rsidRDefault="001B316F" w:rsidP="008A6BD9">
      <w:r>
        <w:t xml:space="preserve">The </w:t>
      </w:r>
      <w:r w:rsidRPr="00A546B0">
        <w:t xml:space="preserve">Resource and Capability Framework </w:t>
      </w:r>
      <w:r>
        <w:t>provides guidance to funders and policy makers to inform the strategic planning and purchasing of accessible and equitable palliative care services for New Zealanders.</w:t>
      </w:r>
    </w:p>
    <w:p w:rsidR="008A6BD9" w:rsidRDefault="008A6BD9" w:rsidP="008A6BD9"/>
    <w:p w:rsidR="001B316F" w:rsidRDefault="001B316F" w:rsidP="008A6BD9">
      <w:r>
        <w:t>The Resource and Capability Framework describes the levels of care and staffing resources appropriate for the New Zealand context, and the formal links between all providers of palliative care so that the needs of the patient and their family and whānau.</w:t>
      </w:r>
    </w:p>
    <w:p w:rsidR="008A6BD9" w:rsidRDefault="008A6BD9" w:rsidP="008A6BD9"/>
    <w:p w:rsidR="001B316F" w:rsidRDefault="001B316F" w:rsidP="008A6BD9">
      <w:r>
        <w:t>The Framework promotes a collaborative and integrated approach to palliative care service delivery. It is based on the concept that, for many people, their primary care provider – for example, their general practice team – can meet their need for palliative care, with specialist palliative care services provided as required.</w:t>
      </w:r>
    </w:p>
    <w:p w:rsidR="008A6BD9" w:rsidRDefault="008A6BD9" w:rsidP="008A6BD9"/>
    <w:p w:rsidR="001B316F" w:rsidRDefault="001B316F" w:rsidP="008A6BD9">
      <w:r>
        <w:t>Both the New Zealand Health Strategy and the Healthy Ageing Strategy recognise improving integration is a fundamental building block to improving communication, service planning and delivery (</w:t>
      </w:r>
      <w:r w:rsidRPr="008A6BD9">
        <w:t>One team; Value and high performance).</w:t>
      </w:r>
    </w:p>
    <w:p w:rsidR="008A6BD9" w:rsidRPr="008A6BD9" w:rsidRDefault="008A6BD9" w:rsidP="008A6BD9"/>
    <w:p w:rsidR="001B316F" w:rsidRDefault="001B316F" w:rsidP="008A6BD9">
      <w:r>
        <w:lastRenderedPageBreak/>
        <w:t>In summary, the findings from district health boards’ self-assessments in relation to integration were as follows.</w:t>
      </w:r>
    </w:p>
    <w:p w:rsidR="001B316F" w:rsidRDefault="001B316F" w:rsidP="008A6BD9">
      <w:pPr>
        <w:pStyle w:val="Bullet"/>
      </w:pPr>
      <w:r>
        <w:t>Overall, district health boards report good levels of collaboration and integration of specialist palliative care services between hospitals and hospices across districts. Some gave examples of larger hospices acting as hubs for specialist services within a district.</w:t>
      </w:r>
    </w:p>
    <w:p w:rsidR="001B316F" w:rsidRDefault="001B316F" w:rsidP="008A6BD9">
      <w:pPr>
        <w:pStyle w:val="Bullet"/>
      </w:pPr>
      <w:r>
        <w:t>District health boards report strong, functional relationships between specialist palliative care services, hospices, aged residential care and primary care at a local level, while recognising challenges with these relationships in some communities. In their view, partnering is more successful when individual general practice teams and the aged residential care facility are willing and have the capacity to do so and specialist palliative care is available.</w:t>
      </w:r>
    </w:p>
    <w:p w:rsidR="001B316F" w:rsidRDefault="001B316F" w:rsidP="008A6BD9">
      <w:pPr>
        <w:pStyle w:val="Bullet"/>
      </w:pPr>
      <w:r>
        <w:t xml:space="preserve">Many regions have established palliative care networks or working groups, some of which are linked to cancer networks or health of older people networks. Some regions have more mature </w:t>
      </w:r>
      <w:r w:rsidRPr="007A616A">
        <w:t>collaborative models</w:t>
      </w:r>
      <w:r>
        <w:t>, for example in Canterbury under the South Island Alliance (a</w:t>
      </w:r>
      <w:r w:rsidR="008A6BD9">
        <w:t> </w:t>
      </w:r>
      <w:r>
        <w:t>collaboration of the South Island’s five district health boards).</w:t>
      </w:r>
    </w:p>
    <w:p w:rsidR="001B316F" w:rsidRDefault="001B316F" w:rsidP="008A6BD9">
      <w:pPr>
        <w:pStyle w:val="Bullet"/>
      </w:pPr>
      <w:r>
        <w:t>Reports indicate pockets of primary palliative care services are operating independently and with limited access to specialist palliative care services, for example, in more isolated communities. District health boards report that the consistency of services across these pockets is difficult to determine.</w:t>
      </w:r>
    </w:p>
    <w:p w:rsidR="008A6BD9" w:rsidRDefault="008A6BD9" w:rsidP="008A6BD9"/>
    <w:p w:rsidR="001B316F" w:rsidRDefault="001B316F" w:rsidP="008A6BD9">
      <w:r>
        <w:t>Some examples of barriers to integration that district health boards and network leads gave are:</w:t>
      </w:r>
    </w:p>
    <w:p w:rsidR="001B316F" w:rsidRDefault="001B316F" w:rsidP="008A6BD9">
      <w:pPr>
        <w:pStyle w:val="Bullet"/>
      </w:pPr>
      <w:r>
        <w:t>the uneven distribution of palliative medicine specialists and palliative care nursing specialists, meaning there are shortages in some areas, particularly rural areas</w:t>
      </w:r>
    </w:p>
    <w:p w:rsidR="001B316F" w:rsidRDefault="001B316F" w:rsidP="008A6BD9">
      <w:pPr>
        <w:pStyle w:val="Bullet"/>
      </w:pPr>
      <w:r>
        <w:t>the need to build capability and support in primary palliative care across general practice teams, aged residential care staff, nurses, hospital staff and ambulance staff</w:t>
      </w:r>
    </w:p>
    <w:p w:rsidR="001B316F" w:rsidRDefault="001B316F" w:rsidP="008A6BD9">
      <w:pPr>
        <w:pStyle w:val="Bullet"/>
      </w:pPr>
      <w:r>
        <w:t>inconsistent criteria for referral from primary care to specialist palliative care, which can lead to variability of access</w:t>
      </w:r>
    </w:p>
    <w:p w:rsidR="001B316F" w:rsidRDefault="001B316F" w:rsidP="008A6BD9">
      <w:pPr>
        <w:pStyle w:val="Bullet"/>
      </w:pPr>
      <w:r>
        <w:t>information technology barriers to sharing patient information (although some regions have resolved this issue)</w:t>
      </w:r>
    </w:p>
    <w:p w:rsidR="001B316F" w:rsidRDefault="001B316F" w:rsidP="008A6BD9">
      <w:pPr>
        <w:pStyle w:val="Bullet"/>
      </w:pPr>
      <w:r>
        <w:t>differences in funding and reporting arrangements between providers</w:t>
      </w:r>
    </w:p>
    <w:p w:rsidR="001B316F" w:rsidRDefault="001B316F" w:rsidP="008A6BD9">
      <w:pPr>
        <w:pStyle w:val="Bullet"/>
      </w:pPr>
      <w:r>
        <w:t>unclear service specifications for specialist palliative care</w:t>
      </w:r>
    </w:p>
    <w:p w:rsidR="001B316F" w:rsidRDefault="001B316F" w:rsidP="008A6BD9">
      <w:pPr>
        <w:pStyle w:val="Bullet"/>
      </w:pPr>
      <w:r>
        <w:t>variable levels of confidence about the cultural appropriateness of the current models of care.</w:t>
      </w:r>
    </w:p>
    <w:p w:rsidR="008A6BD9" w:rsidRDefault="008A6BD9" w:rsidP="008A6BD9"/>
    <w:p w:rsidR="001B316F" w:rsidRDefault="001B316F" w:rsidP="008A6BD9">
      <w:pPr>
        <w:pStyle w:val="Heading2"/>
      </w:pPr>
      <w:bookmarkStart w:id="20" w:name="_Toc464970904"/>
      <w:bookmarkStart w:id="21" w:name="_Toc477850260"/>
      <w:r w:rsidRPr="0069273D">
        <w:t>Funding</w:t>
      </w:r>
      <w:bookmarkEnd w:id="20"/>
      <w:bookmarkEnd w:id="21"/>
    </w:p>
    <w:p w:rsidR="001B316F" w:rsidRDefault="001B316F" w:rsidP="008A6BD9">
      <w:r>
        <w:t>Under t</w:t>
      </w:r>
      <w:r w:rsidRPr="00FC4FF5">
        <w:t>he Service Coverage Schedule</w:t>
      </w:r>
      <w:r>
        <w:t>,</w:t>
      </w:r>
      <w:r w:rsidRPr="008A6BD9">
        <w:rPr>
          <w:rStyle w:val="FootnoteReference"/>
        </w:rPr>
        <w:footnoteReference w:id="2"/>
      </w:r>
      <w:r w:rsidRPr="00FC4FF5">
        <w:t xml:space="preserve"> palliative care services funded by </w:t>
      </w:r>
      <w:r>
        <w:t xml:space="preserve">district health boards </w:t>
      </w:r>
      <w:r w:rsidRPr="00FC4FF5">
        <w:t>include</w:t>
      </w:r>
      <w:r>
        <w:t xml:space="preserve"> </w:t>
      </w:r>
      <w:r w:rsidRPr="00FC4FF5">
        <w:t>assessment, care coordination, clinical c</w:t>
      </w:r>
      <w:r>
        <w:t xml:space="preserve">are and some support services. Palliative care service provision is often integrated with other service delivery and coding, as </w:t>
      </w:r>
      <w:r w:rsidRPr="003F440C">
        <w:t xml:space="preserve">many elements of palliative care are not </w:t>
      </w:r>
      <w:r>
        <w:t xml:space="preserve">distinctly </w:t>
      </w:r>
      <w:r w:rsidRPr="003F440C">
        <w:t>different from non-palliative care</w:t>
      </w:r>
      <w:r>
        <w:t xml:space="preserve">. For example, it </w:t>
      </w:r>
      <w:r w:rsidRPr="003F440C">
        <w:t>overlap</w:t>
      </w:r>
      <w:r>
        <w:t xml:space="preserve">s </w:t>
      </w:r>
      <w:r w:rsidRPr="003F440C">
        <w:t>with service provision for long-term conditions.</w:t>
      </w:r>
      <w:r w:rsidRPr="00567FA4">
        <w:t xml:space="preserve"> </w:t>
      </w:r>
      <w:r>
        <w:t>Most district health boards choose not to fund hospital specialist palliative care as a separate service.</w:t>
      </w:r>
    </w:p>
    <w:p w:rsidR="008A6BD9" w:rsidRDefault="008A6BD9" w:rsidP="008A6BD9"/>
    <w:p w:rsidR="001B316F" w:rsidRDefault="001B316F" w:rsidP="008A6BD9">
      <w:pPr>
        <w:keepLines/>
      </w:pPr>
      <w:r w:rsidRPr="006D5726">
        <w:lastRenderedPageBreak/>
        <w:t>Budget 2015</w:t>
      </w:r>
      <w:r>
        <w:t xml:space="preserve"> provided funding</w:t>
      </w:r>
      <w:r w:rsidRPr="004F1656">
        <w:t xml:space="preserve"> of </w:t>
      </w:r>
      <w:r w:rsidRPr="006D5726">
        <w:t xml:space="preserve">$76.1 million </w:t>
      </w:r>
      <w:r>
        <w:t>for hospice service delivery. That included $24.1</w:t>
      </w:r>
      <w:r w:rsidR="008A6BD9">
        <w:t> </w:t>
      </w:r>
      <w:r>
        <w:t xml:space="preserve">million over four years to </w:t>
      </w:r>
      <w:r w:rsidRPr="004F1656">
        <w:t>support</w:t>
      </w:r>
      <w:r>
        <w:t xml:space="preserve"> </w:t>
      </w:r>
      <w:r w:rsidRPr="004F1656">
        <w:t>the deliv</w:t>
      </w:r>
      <w:r>
        <w:t>ery of new palliative care services and innovation</w:t>
      </w:r>
      <w:r w:rsidRPr="004F1656">
        <w:t xml:space="preserve"> </w:t>
      </w:r>
      <w:r>
        <w:t xml:space="preserve">in aged residential care, primary care and community settings. To date, </w:t>
      </w:r>
      <w:r w:rsidRPr="006D5726">
        <w:t xml:space="preserve">40 </w:t>
      </w:r>
      <w:r w:rsidRPr="004F1656">
        <w:t xml:space="preserve">new palliative care positions </w:t>
      </w:r>
      <w:r>
        <w:t>have been</w:t>
      </w:r>
      <w:r w:rsidRPr="006D5726">
        <w:t xml:space="preserve"> established across 15 </w:t>
      </w:r>
      <w:r w:rsidRPr="004F1656">
        <w:t>district health boards</w:t>
      </w:r>
      <w:r>
        <w:t>,</w:t>
      </w:r>
      <w:r w:rsidRPr="004F1656">
        <w:t xml:space="preserve"> along with proposals for greater collaboration and integration across settings.</w:t>
      </w:r>
    </w:p>
    <w:p w:rsidR="008A6BD9" w:rsidRDefault="008A6BD9" w:rsidP="008A6BD9"/>
    <w:p w:rsidR="001B316F" w:rsidRDefault="001B316F" w:rsidP="008A6BD9">
      <w:r>
        <w:t>In regard to funding arrangements, stakeholders have initiated discussions on the optimal way of allocating funding across the palliative care sector in the future to meet changing demands, determine cost-effectiveness and continue to achieve high-quality outcomes.</w:t>
      </w:r>
    </w:p>
    <w:p w:rsidR="008A6BD9" w:rsidRDefault="008A6BD9" w:rsidP="008A6BD9"/>
    <w:p w:rsidR="001B316F" w:rsidRDefault="001B316F" w:rsidP="008A6BD9">
      <w:pPr>
        <w:pStyle w:val="Heading2"/>
      </w:pPr>
      <w:bookmarkStart w:id="22" w:name="_Toc464970905"/>
      <w:bookmarkStart w:id="23" w:name="_Toc477850261"/>
      <w:r>
        <w:t xml:space="preserve">What </w:t>
      </w:r>
      <w:r w:rsidRPr="0069273D">
        <w:t>matters to people</w:t>
      </w:r>
      <w:r>
        <w:t xml:space="preserve"> – what we know</w:t>
      </w:r>
      <w:bookmarkEnd w:id="22"/>
      <w:bookmarkEnd w:id="23"/>
    </w:p>
    <w:p w:rsidR="001B316F" w:rsidRDefault="001B316F" w:rsidP="008A6BD9">
      <w:r w:rsidRPr="00546B8A">
        <w:t xml:space="preserve">Evidence in New Zealand shows that what matters to people at the end of life is being accompanied by </w:t>
      </w:r>
      <w:r>
        <w:t xml:space="preserve">significant others, friends and family, </w:t>
      </w:r>
      <w:r w:rsidRPr="00546B8A">
        <w:t>control of symptoms</w:t>
      </w:r>
      <w:r>
        <w:t xml:space="preserve"> </w:t>
      </w:r>
      <w:r w:rsidRPr="00546B8A">
        <w:t>especially pain</w:t>
      </w:r>
      <w:r>
        <w:t xml:space="preserve">, </w:t>
      </w:r>
      <w:r w:rsidRPr="00546B8A">
        <w:t xml:space="preserve">and not being a </w:t>
      </w:r>
      <w:r>
        <w:t xml:space="preserve">strain </w:t>
      </w:r>
      <w:r w:rsidRPr="00546B8A">
        <w:t>on family</w:t>
      </w:r>
      <w:r>
        <w:t xml:space="preserve"> and </w:t>
      </w:r>
      <w:r w:rsidRPr="00E115A4">
        <w:t>whānau</w:t>
      </w:r>
      <w:r>
        <w:t xml:space="preserve"> </w:t>
      </w:r>
      <w:r w:rsidRPr="00546B8A">
        <w:t>members.</w:t>
      </w:r>
      <w:r>
        <w:t xml:space="preserve"> They describe self-management, to the extent it is possible, as empowering. To Māori, engagement with spiritual aspects of care is particularly important.</w:t>
      </w:r>
    </w:p>
    <w:p w:rsidR="008A6BD9" w:rsidRDefault="008A6BD9" w:rsidP="008A6BD9"/>
    <w:p w:rsidR="001B316F" w:rsidRDefault="001B316F" w:rsidP="008A6BD9">
      <w:r>
        <w:t xml:space="preserve">Research </w:t>
      </w:r>
      <w:r w:rsidRPr="00FC2E92">
        <w:t>by the Palliative Care Council of New Zealand (2015) reveals</w:t>
      </w:r>
      <w:r>
        <w:t xml:space="preserve"> consistent themes in people’s perceptions of high-quality palliative care. Notably, it found that good communication is crucial, alongside respect for patients and their families and </w:t>
      </w:r>
      <w:r w:rsidRPr="00D31550">
        <w:t>wh</w:t>
      </w:r>
      <w:r>
        <w:t>ā</w:t>
      </w:r>
      <w:r w:rsidRPr="00D31550">
        <w:t>nau</w:t>
      </w:r>
      <w:r>
        <w:t>, particularly in terms of listening to their desires and choices. Underpinning the experience of high-quality care is workforce capability, competence, ability to access care when it is needed and care continuity.</w:t>
      </w:r>
    </w:p>
    <w:p w:rsidR="008A6BD9" w:rsidRDefault="008A6BD9" w:rsidP="008A6BD9"/>
    <w:p w:rsidR="001B316F" w:rsidRDefault="001B316F" w:rsidP="008A6BD9">
      <w:r>
        <w:t xml:space="preserve">Respondents in that study reported that their experience of care in the hospice environment was of an overall high standard, although they raised some </w:t>
      </w:r>
      <w:r w:rsidRPr="00B15CF9">
        <w:t>concerns over patients being transferred to</w:t>
      </w:r>
      <w:r>
        <w:t xml:space="preserve"> hospice care </w:t>
      </w:r>
      <w:r w:rsidRPr="00B15CF9">
        <w:t xml:space="preserve">later than </w:t>
      </w:r>
      <w:r>
        <w:t xml:space="preserve">they </w:t>
      </w:r>
      <w:r w:rsidRPr="00B15CF9">
        <w:t>desired.</w:t>
      </w:r>
      <w:r>
        <w:t xml:space="preserve"> In aged residential care </w:t>
      </w:r>
      <w:r w:rsidRPr="00B15CF9">
        <w:t>facilities</w:t>
      </w:r>
      <w:r>
        <w:t>, respondents consistently identified c</w:t>
      </w:r>
      <w:r w:rsidRPr="00B15CF9">
        <w:t>ommunicati</w:t>
      </w:r>
      <w:r>
        <w:t xml:space="preserve">on and the </w:t>
      </w:r>
      <w:r w:rsidRPr="00B15CF9">
        <w:t>administration of pain relief and medication</w:t>
      </w:r>
      <w:r>
        <w:t xml:space="preserve"> as important in determining the quality of their care. Patients in the </w:t>
      </w:r>
      <w:r w:rsidRPr="00B15CF9">
        <w:t>hospital environment</w:t>
      </w:r>
      <w:r>
        <w:t xml:space="preserve"> again </w:t>
      </w:r>
      <w:r w:rsidRPr="00B15CF9">
        <w:t xml:space="preserve">tended to </w:t>
      </w:r>
      <w:r>
        <w:t xml:space="preserve">mention the importance of </w:t>
      </w:r>
      <w:r w:rsidRPr="00B15CF9">
        <w:t>communication,</w:t>
      </w:r>
      <w:r>
        <w:t xml:space="preserve"> including receiving information on </w:t>
      </w:r>
      <w:r w:rsidRPr="00B15CF9">
        <w:t>diagnosis</w:t>
      </w:r>
      <w:r>
        <w:t xml:space="preserve">, </w:t>
      </w:r>
      <w:r w:rsidRPr="00B15CF9">
        <w:t xml:space="preserve">and </w:t>
      </w:r>
      <w:r>
        <w:t>to perceive the hospital environment as impersonal.</w:t>
      </w:r>
    </w:p>
    <w:p w:rsidR="008A6BD9" w:rsidRDefault="008A6BD9" w:rsidP="008A6BD9"/>
    <w:p w:rsidR="001B316F" w:rsidRDefault="001B316F" w:rsidP="008A6BD9">
      <w:r w:rsidRPr="00E115A4">
        <w:t xml:space="preserve">Māori </w:t>
      </w:r>
      <w:r>
        <w:t>respondents</w:t>
      </w:r>
      <w:r w:rsidRPr="00E115A4">
        <w:t xml:space="preserve"> </w:t>
      </w:r>
      <w:r>
        <w:t>thought a</w:t>
      </w:r>
      <w:r w:rsidRPr="00E115A4">
        <w:t xml:space="preserve"> whānau-oriented approach was important to </w:t>
      </w:r>
      <w:r>
        <w:t>high-</w:t>
      </w:r>
      <w:r w:rsidRPr="00E115A4">
        <w:t>quality</w:t>
      </w:r>
      <w:r>
        <w:t xml:space="preserve"> </w:t>
      </w:r>
      <w:r w:rsidRPr="00E115A4">
        <w:t xml:space="preserve">palliative </w:t>
      </w:r>
      <w:r>
        <w:t>care. They also supported having a culturally competent workforce and good-quality written information, and addressing barriers to accessing specialist palliative care services.</w:t>
      </w:r>
    </w:p>
    <w:p w:rsidR="008A6BD9" w:rsidRDefault="008A6BD9" w:rsidP="008A6BD9"/>
    <w:p w:rsidR="001B316F" w:rsidRDefault="001B316F" w:rsidP="008A6BD9">
      <w:r w:rsidRPr="004C4244">
        <w:t xml:space="preserve">Limited stakeholder consultation highlighted </w:t>
      </w:r>
      <w:r>
        <w:t>several</w:t>
      </w:r>
      <w:r w:rsidRPr="004C4244">
        <w:t xml:space="preserve"> matters </w:t>
      </w:r>
      <w:r>
        <w:t xml:space="preserve">about </w:t>
      </w:r>
      <w:r w:rsidRPr="004C4244">
        <w:t>access</w:t>
      </w:r>
      <w:r>
        <w:t xml:space="preserve"> to palliative care by </w:t>
      </w:r>
      <w:r w:rsidRPr="004C4244">
        <w:t>Pacific people</w:t>
      </w:r>
      <w:r>
        <w:t>s. First,</w:t>
      </w:r>
      <w:r w:rsidRPr="004C4244">
        <w:t xml:space="preserve"> demand </w:t>
      </w:r>
      <w:r>
        <w:t xml:space="preserve">is ongoing </w:t>
      </w:r>
      <w:r w:rsidRPr="004C4244">
        <w:t xml:space="preserve">for Pacific navigators, interpreters and advocates to help clients and the wider extended family understand and navigate the system and to access palliative care along with psychosocial and spiritual support in all settings. </w:t>
      </w:r>
      <w:r>
        <w:t>Second, c</w:t>
      </w:r>
      <w:r w:rsidRPr="004C4244">
        <w:t xml:space="preserve">ommunication is key – it is important for Pacific families to understand what is happening, to know who is involved and to be involved. </w:t>
      </w:r>
      <w:r>
        <w:t>Finally, where hospices and aged residential care facilities have</w:t>
      </w:r>
      <w:r w:rsidRPr="004C4244">
        <w:t xml:space="preserve"> trained Pacific </w:t>
      </w:r>
      <w:r>
        <w:t>staff,</w:t>
      </w:r>
      <w:r w:rsidRPr="004C4244">
        <w:t xml:space="preserve"> </w:t>
      </w:r>
      <w:r>
        <w:t xml:space="preserve">staff who speak </w:t>
      </w:r>
      <w:r w:rsidRPr="004C4244">
        <w:t>Pacific</w:t>
      </w:r>
      <w:r>
        <w:t xml:space="preserve"> languages,</w:t>
      </w:r>
      <w:r w:rsidRPr="004C4244">
        <w:t xml:space="preserve"> or Pacific </w:t>
      </w:r>
      <w:r>
        <w:t>l</w:t>
      </w:r>
      <w:r w:rsidRPr="004C4244">
        <w:t>iaison roles</w:t>
      </w:r>
      <w:r>
        <w:t>, this</w:t>
      </w:r>
      <w:r w:rsidRPr="004C4244">
        <w:t xml:space="preserve"> has </w:t>
      </w:r>
      <w:r>
        <w:t xml:space="preserve">helped </w:t>
      </w:r>
      <w:r w:rsidRPr="004C4244">
        <w:t>the person and their family feel safe and comfortable.</w:t>
      </w:r>
    </w:p>
    <w:p w:rsidR="008A6BD9" w:rsidRDefault="008A6BD9" w:rsidP="008A6BD9"/>
    <w:p w:rsidR="001B316F" w:rsidRDefault="001B316F" w:rsidP="008A6BD9">
      <w:r>
        <w:t>Consultation for the Healthy Ageing Strategy confirms people want to be confident that they receive care and support that focuses on what is important to them, whichever setting or location they are in.</w:t>
      </w:r>
    </w:p>
    <w:p w:rsidR="008A6BD9" w:rsidRDefault="008A6BD9" w:rsidP="008A6BD9"/>
    <w:p w:rsidR="001B316F" w:rsidRDefault="001B316F" w:rsidP="008A6BD9">
      <w:pPr>
        <w:pStyle w:val="Heading1"/>
      </w:pPr>
      <w:bookmarkStart w:id="24" w:name="_Toc464970906"/>
      <w:bookmarkStart w:id="25" w:name="_Toc477850262"/>
      <w:r>
        <w:lastRenderedPageBreak/>
        <w:t>3</w:t>
      </w:r>
      <w:r w:rsidR="008A6BD9">
        <w:tab/>
      </w:r>
      <w:r>
        <w:t xml:space="preserve">Changing demands on </w:t>
      </w:r>
      <w:r w:rsidRPr="00B34D40">
        <w:t>palliative care</w:t>
      </w:r>
      <w:r>
        <w:t xml:space="preserve"> services</w:t>
      </w:r>
      <w:bookmarkEnd w:id="24"/>
      <w:bookmarkEnd w:id="25"/>
    </w:p>
    <w:p w:rsidR="001B316F" w:rsidRPr="00E875B1" w:rsidRDefault="001B316F" w:rsidP="008A6BD9">
      <w:pPr>
        <w:pStyle w:val="Heading2"/>
      </w:pPr>
      <w:bookmarkStart w:id="26" w:name="_Toc464970907"/>
      <w:bookmarkStart w:id="27" w:name="_Toc477850263"/>
      <w:r w:rsidRPr="00E875B1">
        <w:t>F</w:t>
      </w:r>
      <w:r>
        <w:t xml:space="preserve">orecast </w:t>
      </w:r>
      <w:r w:rsidRPr="00E875B1">
        <w:t>need for palliative care</w:t>
      </w:r>
      <w:bookmarkEnd w:id="26"/>
      <w:bookmarkEnd w:id="27"/>
    </w:p>
    <w:p w:rsidR="001B316F" w:rsidRDefault="001B316F" w:rsidP="008A6BD9">
      <w:r w:rsidRPr="00546B8A">
        <w:t>The evidence is clear</w:t>
      </w:r>
      <w:r>
        <w:t>:</w:t>
      </w:r>
      <w:r w:rsidRPr="00546B8A">
        <w:t xml:space="preserve"> more people will be dying each year,</w:t>
      </w:r>
      <w:r>
        <w:t xml:space="preserve"> and</w:t>
      </w:r>
      <w:r w:rsidRPr="00546B8A">
        <w:t xml:space="preserve"> people will be dying at older ages and increasingly with the presence of </w:t>
      </w:r>
      <w:r>
        <w:t xml:space="preserve">frailty and </w:t>
      </w:r>
      <w:r w:rsidRPr="00546B8A">
        <w:t>comorbidities including dementia.</w:t>
      </w:r>
      <w:r>
        <w:t xml:space="preserve"> </w:t>
      </w:r>
      <w:r w:rsidRPr="00546B8A">
        <w:t>Specifically, the updated projections</w:t>
      </w:r>
      <w:r w:rsidRPr="008A6BD9">
        <w:rPr>
          <w:rStyle w:val="FootnoteReference"/>
        </w:rPr>
        <w:footnoteReference w:id="3"/>
      </w:r>
      <w:r w:rsidRPr="00546B8A">
        <w:t xml:space="preserve"> </w:t>
      </w:r>
      <w:r>
        <w:t>indicate the following trends.</w:t>
      </w:r>
    </w:p>
    <w:p w:rsidR="001B316F" w:rsidRPr="00546B8A" w:rsidRDefault="001B316F" w:rsidP="008A6BD9">
      <w:pPr>
        <w:pStyle w:val="Bullet"/>
      </w:pPr>
      <w:r>
        <w:t>I</w:t>
      </w:r>
      <w:r w:rsidRPr="00546B8A">
        <w:t xml:space="preserve">n the next 20 years the </w:t>
      </w:r>
      <w:r>
        <w:t xml:space="preserve">number of deaths in </w:t>
      </w:r>
      <w:r w:rsidRPr="00546B8A">
        <w:t xml:space="preserve">New Zealand </w:t>
      </w:r>
      <w:r>
        <w:t xml:space="preserve">is projected to increase </w:t>
      </w:r>
      <w:r w:rsidRPr="00546B8A">
        <w:t>by almost 50</w:t>
      </w:r>
      <w:r w:rsidR="008A6BD9">
        <w:t> </w:t>
      </w:r>
      <w:r w:rsidRPr="00546B8A">
        <w:t>percent</w:t>
      </w:r>
      <w:r>
        <w:t xml:space="preserve">, </w:t>
      </w:r>
      <w:r w:rsidRPr="00546B8A">
        <w:t xml:space="preserve">from the current rate of around 30,000 per </w:t>
      </w:r>
      <w:r>
        <w:t>year to 45,000 per year in 2038.</w:t>
      </w:r>
    </w:p>
    <w:p w:rsidR="001B316F" w:rsidRDefault="001B316F" w:rsidP="008A6BD9">
      <w:pPr>
        <w:pStyle w:val="Bullet"/>
      </w:pPr>
      <w:r>
        <w:t>B</w:t>
      </w:r>
      <w:r w:rsidRPr="00546B8A">
        <w:t>y 2068</w:t>
      </w:r>
      <w:r>
        <w:t xml:space="preserve"> the number of d</w:t>
      </w:r>
      <w:r w:rsidRPr="00546B8A">
        <w:t xml:space="preserve">eaths per </w:t>
      </w:r>
      <w:r>
        <w:t>year</w:t>
      </w:r>
      <w:r w:rsidRPr="00546B8A">
        <w:t xml:space="preserve"> </w:t>
      </w:r>
      <w:r>
        <w:t xml:space="preserve">is projected to </w:t>
      </w:r>
      <w:r w:rsidRPr="00546B8A">
        <w:t>reach 55,500</w:t>
      </w:r>
      <w:r>
        <w:t xml:space="preserve">. </w:t>
      </w:r>
      <w:r w:rsidRPr="00546B8A">
        <w:t xml:space="preserve">This </w:t>
      </w:r>
      <w:r>
        <w:t xml:space="preserve">increase will happen because </w:t>
      </w:r>
      <w:r w:rsidRPr="00546B8A">
        <w:t xml:space="preserve">people </w:t>
      </w:r>
      <w:r>
        <w:t xml:space="preserve">will be </w:t>
      </w:r>
      <w:r w:rsidRPr="00546B8A">
        <w:t xml:space="preserve">living longer than </w:t>
      </w:r>
      <w:r>
        <w:t>in earlier periods</w:t>
      </w:r>
      <w:r w:rsidRPr="00546B8A">
        <w:t xml:space="preserve">, </w:t>
      </w:r>
      <w:r>
        <w:t>and the</w:t>
      </w:r>
      <w:r w:rsidRPr="00546B8A">
        <w:t xml:space="preserve"> absolute number</w:t>
      </w:r>
      <w:r>
        <w:t xml:space="preserve"> of older people will be higher as</w:t>
      </w:r>
      <w:r w:rsidRPr="00546B8A">
        <w:t xml:space="preserve"> the </w:t>
      </w:r>
      <w:r>
        <w:t>‘b</w:t>
      </w:r>
      <w:r w:rsidRPr="00546B8A">
        <w:t xml:space="preserve">aby </w:t>
      </w:r>
      <w:r>
        <w:t>b</w:t>
      </w:r>
      <w:r w:rsidRPr="00546B8A">
        <w:t>oom</w:t>
      </w:r>
      <w:r>
        <w:t>’</w:t>
      </w:r>
      <w:r w:rsidRPr="00546B8A">
        <w:t xml:space="preserve"> generation (born between 1946 and 1</w:t>
      </w:r>
      <w:r>
        <w:t>965) enter their older years.</w:t>
      </w:r>
    </w:p>
    <w:p w:rsidR="001B316F" w:rsidRDefault="001B316F" w:rsidP="008A6BD9">
      <w:pPr>
        <w:pStyle w:val="Bullet"/>
      </w:pPr>
      <w:r>
        <w:t>T</w:t>
      </w:r>
      <w:r w:rsidRPr="00546B8A">
        <w:t>he</w:t>
      </w:r>
      <w:r>
        <w:t xml:space="preserve"> </w:t>
      </w:r>
      <w:r w:rsidRPr="00546B8A">
        <w:t>age</w:t>
      </w:r>
      <w:r>
        <w:t xml:space="preserve"> at </w:t>
      </w:r>
      <w:r w:rsidRPr="00546B8A">
        <w:t>death</w:t>
      </w:r>
      <w:r>
        <w:t xml:space="preserve"> will increase rapidly. In 20 years, over half of </w:t>
      </w:r>
      <w:r w:rsidRPr="00546B8A">
        <w:t xml:space="preserve">deaths will be in the age group </w:t>
      </w:r>
      <w:r>
        <w:t xml:space="preserve">of </w:t>
      </w:r>
      <w:r w:rsidRPr="00546B8A">
        <w:t xml:space="preserve">85 years and over. </w:t>
      </w:r>
      <w:r>
        <w:t>Most of the d</w:t>
      </w:r>
      <w:r w:rsidRPr="00546B8A">
        <w:t>eaths at the oldest ages will be women</w:t>
      </w:r>
      <w:r>
        <w:t>.</w:t>
      </w:r>
    </w:p>
    <w:p w:rsidR="001B316F" w:rsidRDefault="001B316F" w:rsidP="008A6BD9">
      <w:pPr>
        <w:pStyle w:val="Bullet"/>
      </w:pPr>
      <w:r>
        <w:t>A</w:t>
      </w:r>
      <w:r w:rsidRPr="00061605">
        <w:t xml:space="preserve"> substantial increase in the proportion of Māori</w:t>
      </w:r>
      <w:r>
        <w:t xml:space="preserve"> deaths or Pacific deaths is unlikely, but t</w:t>
      </w:r>
      <w:r w:rsidRPr="00061605">
        <w:t>he proportion</w:t>
      </w:r>
      <w:r>
        <w:t xml:space="preserve"> </w:t>
      </w:r>
      <w:r w:rsidRPr="00061605">
        <w:t xml:space="preserve">of Asian deaths </w:t>
      </w:r>
      <w:r>
        <w:t xml:space="preserve">is likely to </w:t>
      </w:r>
      <w:r w:rsidRPr="00061605">
        <w:t xml:space="preserve">increase from 3.3 percent in 2016 to 8.2 percent </w:t>
      </w:r>
      <w:r>
        <w:t xml:space="preserve">(of the total number of deaths) by </w:t>
      </w:r>
      <w:r w:rsidRPr="00061605">
        <w:t>2038</w:t>
      </w:r>
      <w:r>
        <w:t>.</w:t>
      </w:r>
    </w:p>
    <w:p w:rsidR="001B316F" w:rsidRDefault="001B316F" w:rsidP="008A6BD9">
      <w:pPr>
        <w:pStyle w:val="Bullet"/>
      </w:pPr>
      <w:r>
        <w:t>The rising prevalence of comorbidities suggests that people’s course of illness at the end of life could be very hard to predict and to plan and coordinate care for.</w:t>
      </w:r>
    </w:p>
    <w:p w:rsidR="001B316F" w:rsidRDefault="001B316F" w:rsidP="008A6BD9">
      <w:pPr>
        <w:pStyle w:val="Bullet"/>
      </w:pPr>
      <w:r>
        <w:t xml:space="preserve">The number of people needing palliative care is projected to increase by 51 percent from 24,680 in 2016 to 37,286 by 2038. In terms of the proportion of all deaths, people needing palliative care would increase from 80.9 percent in 2016 to 82.8 percent in 2038. These projected figures do </w:t>
      </w:r>
      <w:r w:rsidRPr="00652B4D">
        <w:t xml:space="preserve">not distinguish between the need for specialist palliative care and </w:t>
      </w:r>
      <w:r>
        <w:t xml:space="preserve">the need for </w:t>
      </w:r>
      <w:r w:rsidRPr="00652B4D">
        <w:t>primary palliative care</w:t>
      </w:r>
      <w:r>
        <w:t>.</w:t>
      </w:r>
    </w:p>
    <w:p w:rsidR="001B316F" w:rsidRDefault="001B316F" w:rsidP="008A6BD9">
      <w:pPr>
        <w:pStyle w:val="Bullet"/>
      </w:pPr>
      <w:r>
        <w:t>Based on historic patterns of place of death, the need for palliative care is projected to increase between 2016 and 2038 by 37.5 percent in public hospitals, 84.2 percent in aged residential care and 51.8 percent under hospice care (including those under hospice services in aged residential care and in the community).</w:t>
      </w:r>
    </w:p>
    <w:p w:rsidR="008A6BD9" w:rsidRDefault="008A6BD9" w:rsidP="008A6BD9"/>
    <w:p w:rsidR="001B316F" w:rsidRDefault="001B316F" w:rsidP="008A6BD9">
      <w:r>
        <w:t>Figure 3 illustrates the forecast trend of the need for palliative care from 2016–2068. The forecast maximum need in the figure shows essentially all deaths, excluding maternity deaths and excluding sudden deaths from external causes unless these occur in aged residential care or a hospice inpatient unit.</w:t>
      </w:r>
    </w:p>
    <w:p w:rsidR="001B316F" w:rsidRDefault="001B316F" w:rsidP="008A6BD9"/>
    <w:p w:rsidR="001B316F" w:rsidRDefault="001B316F" w:rsidP="008A6BD9">
      <w:pPr>
        <w:pStyle w:val="Figure"/>
      </w:pPr>
      <w:bookmarkStart w:id="28" w:name="_Toc467050675"/>
      <w:r w:rsidRPr="00454798">
        <w:lastRenderedPageBreak/>
        <w:t>Figure 3: Projected need for palliative care in New Zealand, 2016</w:t>
      </w:r>
      <w:r>
        <w:t>–</w:t>
      </w:r>
      <w:r w:rsidRPr="00454798">
        <w:t>2068</w:t>
      </w:r>
      <w:bookmarkEnd w:id="28"/>
    </w:p>
    <w:p w:rsidR="008A6BD9" w:rsidRDefault="007D5DC7" w:rsidP="008A6BD9">
      <w:r>
        <w:rPr>
          <w:noProof/>
          <w:lang w:eastAsia="en-NZ"/>
        </w:rPr>
        <w:drawing>
          <wp:inline distT="0" distB="0" distL="0" distR="0">
            <wp:extent cx="5394960" cy="2875915"/>
            <wp:effectExtent l="0" t="0" r="0" b="635"/>
            <wp:docPr id="7" name="Picture 4" title="Figure 3: Projected need for palliative care in New Zealand, 2016–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t="1575" b="1837"/>
                    <a:stretch>
                      <a:fillRect/>
                    </a:stretch>
                  </pic:blipFill>
                  <pic:spPr bwMode="auto">
                    <a:xfrm>
                      <a:off x="0" y="0"/>
                      <a:ext cx="5394960" cy="2875915"/>
                    </a:xfrm>
                    <a:prstGeom prst="rect">
                      <a:avLst/>
                    </a:prstGeom>
                    <a:noFill/>
                    <a:ln>
                      <a:noFill/>
                    </a:ln>
                  </pic:spPr>
                </pic:pic>
              </a:graphicData>
            </a:graphic>
          </wp:inline>
        </w:drawing>
      </w:r>
    </w:p>
    <w:p w:rsidR="008A6BD9" w:rsidRPr="008A6BD9" w:rsidRDefault="008A6BD9" w:rsidP="008A6BD9"/>
    <w:p w:rsidR="001B316F" w:rsidRDefault="001B316F" w:rsidP="008A6BD9">
      <w:pPr>
        <w:pStyle w:val="Heading2"/>
      </w:pPr>
      <w:bookmarkStart w:id="29" w:name="_Toc464970908"/>
      <w:bookmarkStart w:id="30" w:name="_Toc477850264"/>
      <w:r w:rsidRPr="00E875B1">
        <w:t xml:space="preserve">Implications of the </w:t>
      </w:r>
      <w:r>
        <w:t>forecast need</w:t>
      </w:r>
      <w:bookmarkEnd w:id="29"/>
      <w:bookmarkEnd w:id="30"/>
    </w:p>
    <w:p w:rsidR="001B316F" w:rsidRDefault="001B316F" w:rsidP="008A6BD9">
      <w:r>
        <w:t>Because of advances in chronic disease management coupled with an increasing number of older people, comorbidities will be increasingly common. Correspondingly, approaches for planning end of life care that focus on a single disease only will increasingly make less sense as people’s functional decline towards the end of life may become very difficult to predict. These trends will have implications for the coordination of person-centred care, health and social services, prognostication, referrals, patient experience and choice, the experience and choice of family and whānau, and other aspects of the wider health and social sectors.</w:t>
      </w:r>
    </w:p>
    <w:p w:rsidR="008A6BD9" w:rsidRDefault="008A6BD9" w:rsidP="008A6BD9"/>
    <w:p w:rsidR="001B316F" w:rsidRPr="0069273D" w:rsidRDefault="001B316F" w:rsidP="008A6BD9">
      <w:r>
        <w:t>It is difficult to estimate with any certainty what the changing trends will mean for the demand on the different levels of palliative care and the proportion of those with complex needs likely to require either episodic or ongoing specialist care. C</w:t>
      </w:r>
      <w:r w:rsidRPr="0069273D">
        <w:t>ompound</w:t>
      </w:r>
      <w:r>
        <w:t>ing</w:t>
      </w:r>
      <w:r w:rsidRPr="0069273D">
        <w:t xml:space="preserve"> this</w:t>
      </w:r>
      <w:r>
        <w:t xml:space="preserve"> uncertainty</w:t>
      </w:r>
      <w:r w:rsidRPr="0069273D">
        <w:t xml:space="preserve"> are evident gaps in our knowledge of the palliative care needs of those with dementia and frailty and</w:t>
      </w:r>
      <w:r>
        <w:t xml:space="preserve"> how those needs will affect</w:t>
      </w:r>
      <w:r w:rsidRPr="0069273D">
        <w:t xml:space="preserve"> demand</w:t>
      </w:r>
      <w:r>
        <w:t xml:space="preserve"> on </w:t>
      </w:r>
      <w:r w:rsidRPr="0069273D">
        <w:t>specialist palliative care</w:t>
      </w:r>
      <w:r>
        <w:t xml:space="preserve"> services</w:t>
      </w:r>
      <w:r w:rsidRPr="0069273D">
        <w:t>.</w:t>
      </w:r>
    </w:p>
    <w:p w:rsidR="008A6BD9" w:rsidRDefault="008A6BD9" w:rsidP="008A6BD9"/>
    <w:p w:rsidR="001B316F" w:rsidRDefault="001B316F" w:rsidP="008A6BD9">
      <w:r>
        <w:t>The care that most people receive at the end of their lives will increasingly be provided not by specialist palliative care practitioners but by a primary palliative care team. That team will include general practitioners, practice nurses, district nurses, aged residential care workers, allied health practitioners, spiritual workers, home and community carers and the wider community.</w:t>
      </w:r>
    </w:p>
    <w:p w:rsidR="008A6BD9" w:rsidRDefault="008A6BD9" w:rsidP="008A6BD9"/>
    <w:p w:rsidR="001B316F" w:rsidRDefault="001B316F" w:rsidP="008A6BD9">
      <w:r w:rsidRPr="00192D19">
        <w:t>There is some consensus</w:t>
      </w:r>
      <w:r w:rsidRPr="008A6BD9">
        <w:rPr>
          <w:rStyle w:val="FootnoteReference"/>
        </w:rPr>
        <w:footnoteReference w:id="4"/>
      </w:r>
      <w:r w:rsidRPr="00192D19">
        <w:t xml:space="preserve"> that most people</w:t>
      </w:r>
      <w:r>
        <w:t>’</w:t>
      </w:r>
      <w:r w:rsidRPr="00192D19">
        <w:t>s palliative care needs can, and should, be met through good primary palliative care in primary care</w:t>
      </w:r>
      <w:r>
        <w:t xml:space="preserve"> settings </w:t>
      </w:r>
      <w:r w:rsidRPr="00192D19">
        <w:t>(home, hospice, aged residential care) and hospital settings</w:t>
      </w:r>
      <w:r>
        <w:t xml:space="preserve">. </w:t>
      </w:r>
      <w:r w:rsidRPr="00192D19">
        <w:t>Th</w:t>
      </w:r>
      <w:r>
        <w:t xml:space="preserve">is creates </w:t>
      </w:r>
      <w:r w:rsidRPr="00192D19">
        <w:t xml:space="preserve">a need </w:t>
      </w:r>
      <w:r>
        <w:t>to strengthen the</w:t>
      </w:r>
      <w:r w:rsidRPr="00192D19">
        <w:t xml:space="preserve"> emphasis on primary palliative care, and to </w:t>
      </w:r>
      <w:r>
        <w:t xml:space="preserve">acknowledge and </w:t>
      </w:r>
      <w:r w:rsidRPr="00192D19">
        <w:t>build understanding that</w:t>
      </w:r>
      <w:r>
        <w:t xml:space="preserve"> providing</w:t>
      </w:r>
      <w:r w:rsidRPr="00192D19">
        <w:t xml:space="preserve"> primary palliative care is the role of all health</w:t>
      </w:r>
      <w:r>
        <w:t xml:space="preserve"> practitioners </w:t>
      </w:r>
      <w:r w:rsidRPr="00192D19">
        <w:t>and allied health</w:t>
      </w:r>
      <w:r>
        <w:t xml:space="preserve"> </w:t>
      </w:r>
      <w:r w:rsidRPr="00192D19">
        <w:t xml:space="preserve">practitioners. </w:t>
      </w:r>
      <w:r w:rsidRPr="0051118C">
        <w:t>Some core elements of palliative care, such as aligning trea</w:t>
      </w:r>
      <w:r>
        <w:t>tment with a patient’s goals,</w:t>
      </w:r>
      <w:r w:rsidRPr="0051118C">
        <w:t xml:space="preserve"> basic symptom management and psychosocial</w:t>
      </w:r>
      <w:r>
        <w:t xml:space="preserve"> </w:t>
      </w:r>
      <w:r w:rsidRPr="0051118C">
        <w:t xml:space="preserve">support, </w:t>
      </w:r>
      <w:r>
        <w:t xml:space="preserve">should increasingly become </w:t>
      </w:r>
      <w:r w:rsidRPr="0051118C">
        <w:t>routine aspects of car</w:t>
      </w:r>
      <w:r>
        <w:t xml:space="preserve">e delivered by any health practitioner, supported by </w:t>
      </w:r>
      <w:r w:rsidRPr="002B6029">
        <w:t>minimum palliative care competencies</w:t>
      </w:r>
      <w:r>
        <w:t>.</w:t>
      </w:r>
    </w:p>
    <w:p w:rsidR="001B316F" w:rsidRDefault="001B316F" w:rsidP="008A6BD9">
      <w:pPr>
        <w:spacing w:before="240"/>
      </w:pPr>
      <w:r>
        <w:lastRenderedPageBreak/>
        <w:t>Supporting people to live and die in the community (at home or in aged residential care) is a strong theme in the Healthy Ageing Strategy. Consumers consistently called for community-based care delivered by a competent primary-level workforce, working with kaiāwhina and whānau, and supported by specialists as appropriate.</w:t>
      </w:r>
    </w:p>
    <w:p w:rsidR="008A6BD9" w:rsidRDefault="008A6BD9" w:rsidP="008A6BD9"/>
    <w:p w:rsidR="001B316F" w:rsidRDefault="001B316F" w:rsidP="008A6BD9">
      <w:pPr>
        <w:pStyle w:val="Heading2"/>
      </w:pPr>
      <w:bookmarkStart w:id="31" w:name="_Toc464970909"/>
      <w:bookmarkStart w:id="32" w:name="_Toc477850265"/>
      <w:r w:rsidRPr="00E875B1">
        <w:t>F</w:t>
      </w:r>
      <w:r>
        <w:t>uture workforce capacity</w:t>
      </w:r>
      <w:bookmarkEnd w:id="31"/>
      <w:bookmarkEnd w:id="32"/>
    </w:p>
    <w:p w:rsidR="001B316F" w:rsidRDefault="001B316F" w:rsidP="008A6BD9">
      <w:r>
        <w:t>There is a shortage of palliative medicine specialists in some parts of the country. While the ratio of palliative medicine specialists per head of population may meet the recommendations of the Australian and New Zealand Society of Palliative Medicine overall, in some locations limited access to specialist care is creating inequities. District health boards report difficulty in recruiting and retaining palliative medicine specialists in some locations, particularly in rural areas. Such difficulties limit access both for people needing specialist care and for primary palliative care teams seeking support and advice. To compound this situation, the number of palliative medicine specialists per person in the population</w:t>
      </w:r>
      <w:r w:rsidRPr="008F0085">
        <w:t xml:space="preserve"> </w:t>
      </w:r>
      <w:r>
        <w:t>is forecast to decline by 2026.</w:t>
      </w:r>
    </w:p>
    <w:p w:rsidR="00882B15" w:rsidRDefault="00882B15" w:rsidP="00882B15"/>
    <w:p w:rsidR="001B316F" w:rsidRDefault="001B316F" w:rsidP="00882B15">
      <w:r>
        <w:t>Alongside this</w:t>
      </w:r>
      <w:r w:rsidRPr="00583CBB">
        <w:t xml:space="preserve"> is a forecast shortage of</w:t>
      </w:r>
      <w:r>
        <w:t xml:space="preserve"> palliative care </w:t>
      </w:r>
      <w:r w:rsidRPr="00583CBB">
        <w:t>nurses, general practitioners with a special interest in palliative care</w:t>
      </w:r>
      <w:r>
        <w:t xml:space="preserve">, </w:t>
      </w:r>
      <w:r w:rsidRPr="00583CBB">
        <w:t>and Māori health workers.</w:t>
      </w:r>
    </w:p>
    <w:p w:rsidR="00882B15" w:rsidRDefault="00882B15" w:rsidP="00882B15"/>
    <w:p w:rsidR="001B316F" w:rsidRDefault="001B316F" w:rsidP="00882B15">
      <w:r>
        <w:t xml:space="preserve">The nursing and palliative medicine specialist workforce is also ageing, meaning its sustainability is a concern. </w:t>
      </w:r>
      <w:r w:rsidRPr="00656F83">
        <w:t>While this is a</w:t>
      </w:r>
      <w:r>
        <w:t xml:space="preserve">n issue </w:t>
      </w:r>
      <w:r w:rsidRPr="00656F83">
        <w:t>acro</w:t>
      </w:r>
      <w:r>
        <w:t xml:space="preserve">ss much of the health workforce, it is </w:t>
      </w:r>
      <w:r w:rsidRPr="00656F83">
        <w:t>particular</w:t>
      </w:r>
      <w:r>
        <w:t>ly relevant to palliative medicine specialists</w:t>
      </w:r>
      <w:r w:rsidRPr="00E0059A">
        <w:t>.</w:t>
      </w:r>
      <w:r>
        <w:t xml:space="preserve"> </w:t>
      </w:r>
      <w:r w:rsidRPr="00E0059A">
        <w:t>By 2020, 56 percent of the current palliative medicine specialist workforce will be over the age of 65</w:t>
      </w:r>
      <w:r>
        <w:t xml:space="preserve"> years</w:t>
      </w:r>
      <w:r w:rsidRPr="00E0059A">
        <w:t xml:space="preserve">. </w:t>
      </w:r>
      <w:r>
        <w:t>This issue is compounded by the ageing population, which increases demand for palliative care services.</w:t>
      </w:r>
    </w:p>
    <w:p w:rsidR="00882B15" w:rsidRDefault="00882B15" w:rsidP="00882B15"/>
    <w:p w:rsidR="001B316F" w:rsidRDefault="001B316F" w:rsidP="00882B15">
      <w:r>
        <w:t>The</w:t>
      </w:r>
      <w:r w:rsidRPr="006F4B0B">
        <w:t xml:space="preserve"> Workforce Forecasting Model</w:t>
      </w:r>
      <w:r w:rsidRPr="00882B15">
        <w:rPr>
          <w:rStyle w:val="FootnoteReference"/>
        </w:rPr>
        <w:footnoteReference w:id="5"/>
      </w:r>
      <w:r>
        <w:t xml:space="preserve"> </w:t>
      </w:r>
      <w:r w:rsidRPr="006F4B0B">
        <w:t xml:space="preserve">projects that, over the next </w:t>
      </w:r>
      <w:r>
        <w:t>10</w:t>
      </w:r>
      <w:r w:rsidRPr="006F4B0B">
        <w:t xml:space="preserve"> years, the ratio of nurses and palliative medicine specialists to the population group aged 60</w:t>
      </w:r>
      <w:r>
        <w:t xml:space="preserve"> years</w:t>
      </w:r>
      <w:r w:rsidRPr="006F4B0B">
        <w:t xml:space="preserve"> and over</w:t>
      </w:r>
      <w:r>
        <w:t xml:space="preserve"> will decline</w:t>
      </w:r>
      <w:r w:rsidRPr="006F4B0B">
        <w:t>.</w:t>
      </w:r>
      <w:r>
        <w:t xml:space="preserve"> </w:t>
      </w:r>
      <w:r w:rsidRPr="006F4B0B">
        <w:t>This is because</w:t>
      </w:r>
      <w:r>
        <w:t xml:space="preserve"> </w:t>
      </w:r>
      <w:r w:rsidRPr="006F4B0B">
        <w:t>a large proportion of the current health workforce is aged 55</w:t>
      </w:r>
      <w:r>
        <w:t xml:space="preserve"> years</w:t>
      </w:r>
      <w:r w:rsidRPr="006F4B0B">
        <w:t xml:space="preserve"> and over</w:t>
      </w:r>
      <w:r>
        <w:t xml:space="preserve"> and </w:t>
      </w:r>
      <w:r w:rsidRPr="006F4B0B">
        <w:t>the number of New Zealanders aged 60</w:t>
      </w:r>
      <w:r>
        <w:t xml:space="preserve"> years</w:t>
      </w:r>
      <w:r w:rsidRPr="006F4B0B">
        <w:t xml:space="preserve"> and over is expected to increase</w:t>
      </w:r>
      <w:r>
        <w:t>.</w:t>
      </w:r>
    </w:p>
    <w:p w:rsidR="00882B15" w:rsidRDefault="00882B15" w:rsidP="00882B15"/>
    <w:p w:rsidR="001B316F" w:rsidRDefault="001B316F" w:rsidP="00882B15">
      <w:r w:rsidRPr="00107F36">
        <w:t>The ageing population and the emphasis on integrated care mean that home and personal caregiver roles are becoming an increasing</w:t>
      </w:r>
      <w:r>
        <w:t>ly</w:t>
      </w:r>
      <w:r w:rsidRPr="00107F36">
        <w:t xml:space="preserve"> </w:t>
      </w:r>
      <w:r>
        <w:t>important</w:t>
      </w:r>
      <w:r w:rsidRPr="00107F36">
        <w:t xml:space="preserve"> part of the palliative care multidisciplinary team. </w:t>
      </w:r>
      <w:r>
        <w:t>Stakeholders note that they are also seeing clients with increasingly complex conditions. D</w:t>
      </w:r>
      <w:r w:rsidRPr="00107F36">
        <w:t>evelop</w:t>
      </w:r>
      <w:r>
        <w:t>ing</w:t>
      </w:r>
      <w:r w:rsidRPr="00107F36">
        <w:t xml:space="preserve"> the </w:t>
      </w:r>
      <w:r>
        <w:t>care and</w:t>
      </w:r>
      <w:r w:rsidRPr="00107F36">
        <w:t xml:space="preserve"> support workforce</w:t>
      </w:r>
      <w:r>
        <w:t xml:space="preserve"> will need to be </w:t>
      </w:r>
      <w:r w:rsidRPr="00107F36">
        <w:t>considered</w:t>
      </w:r>
      <w:r>
        <w:t xml:space="preserve"> to deal with these trends. As part of this work, Careerforce is developing training packages in palliative care. Like the other groups of health professionals noted above, the care and support workforce is ageing.</w:t>
      </w:r>
    </w:p>
    <w:p w:rsidR="00882B15" w:rsidRDefault="00882B15" w:rsidP="00882B15"/>
    <w:p w:rsidR="001B316F" w:rsidRDefault="001B316F" w:rsidP="00882B15">
      <w:r>
        <w:t xml:space="preserve">Volunteers, </w:t>
      </w:r>
      <w:r w:rsidRPr="00A75DC6">
        <w:t>family</w:t>
      </w:r>
      <w:r>
        <w:t>, whānau, friends and the wider community contribute significantly to the delivery of primary palliative care as informal carers in all settings. Based on the projections of future demand for palliative care, the system’s r</w:t>
      </w:r>
      <w:r w:rsidRPr="00EF781A">
        <w:t xml:space="preserve">eliance on </w:t>
      </w:r>
      <w:r>
        <w:t xml:space="preserve">this </w:t>
      </w:r>
      <w:r w:rsidRPr="00EF781A">
        <w:t xml:space="preserve">workforce </w:t>
      </w:r>
      <w:r>
        <w:t xml:space="preserve">is likely to increase. </w:t>
      </w:r>
      <w:r w:rsidRPr="00A75DC6">
        <w:t>The cost of replacing informal care with formal care would be substantial</w:t>
      </w:r>
      <w:r>
        <w:t>. There will be an increased need to train and support informal carers, volunteers and community groups to take on potentially more frequent, longer and more complex roles in supporting people with palliative care needs. The aged residential care sector is well placed to contribute to this work, if it has appropriate resourcing.</w:t>
      </w:r>
    </w:p>
    <w:p w:rsidR="00882B15" w:rsidRDefault="00882B15" w:rsidP="00882B15"/>
    <w:p w:rsidR="001B316F" w:rsidRDefault="001B316F" w:rsidP="00882B15">
      <w:r w:rsidRPr="00107F36">
        <w:lastRenderedPageBreak/>
        <w:t xml:space="preserve">The need </w:t>
      </w:r>
      <w:r>
        <w:t xml:space="preserve">is growing </w:t>
      </w:r>
      <w:r w:rsidRPr="00107F36">
        <w:t xml:space="preserve">for a workforce that is competent to accommodate </w:t>
      </w:r>
      <w:r>
        <w:t xml:space="preserve">increasingly </w:t>
      </w:r>
      <w:r w:rsidRPr="00107F36">
        <w:t xml:space="preserve">diverse personal, cultural and spiritual </w:t>
      </w:r>
      <w:r>
        <w:t xml:space="preserve">values and </w:t>
      </w:r>
      <w:r w:rsidRPr="00107F36">
        <w:t>customs</w:t>
      </w:r>
      <w:r>
        <w:t>.</w:t>
      </w:r>
    </w:p>
    <w:p w:rsidR="00882B15" w:rsidRDefault="00882B15" w:rsidP="00882B15"/>
    <w:p w:rsidR="001B316F" w:rsidRDefault="001B316F" w:rsidP="00882B15">
      <w:pPr>
        <w:pStyle w:val="Heading2"/>
      </w:pPr>
      <w:bookmarkStart w:id="33" w:name="_Toc464970910"/>
      <w:bookmarkStart w:id="34" w:name="_Toc477850266"/>
      <w:r>
        <w:t>Stakeholders’ views on future demands on funding</w:t>
      </w:r>
      <w:bookmarkEnd w:id="33"/>
      <w:bookmarkEnd w:id="34"/>
    </w:p>
    <w:p w:rsidR="001B316F" w:rsidRPr="003F440C" w:rsidRDefault="001B316F" w:rsidP="00882B15">
      <w:r>
        <w:t>Many stakeholders</w:t>
      </w:r>
      <w:r w:rsidRPr="00200685">
        <w:t xml:space="preserve"> </w:t>
      </w:r>
      <w:r>
        <w:t xml:space="preserve">have noted </w:t>
      </w:r>
      <w:r w:rsidRPr="003F440C">
        <w:t>that</w:t>
      </w:r>
      <w:r>
        <w:t xml:space="preserve">, to meet changing demand, </w:t>
      </w:r>
      <w:r w:rsidRPr="003F440C">
        <w:t xml:space="preserve">funding settings </w:t>
      </w:r>
      <w:r>
        <w:t xml:space="preserve">will need to provide stronger </w:t>
      </w:r>
      <w:r w:rsidRPr="003F440C">
        <w:t>incentiv</w:t>
      </w:r>
      <w:r>
        <w:t>es for providers to</w:t>
      </w:r>
      <w:r w:rsidRPr="003F440C">
        <w:t xml:space="preserve"> collaborat</w:t>
      </w:r>
      <w:r>
        <w:t xml:space="preserve">e, and drive </w:t>
      </w:r>
      <w:r w:rsidRPr="003F440C">
        <w:t>efficiencies in service provision.</w:t>
      </w:r>
    </w:p>
    <w:p w:rsidR="00882B15" w:rsidRDefault="00882B15" w:rsidP="00882B15"/>
    <w:p w:rsidR="001B316F" w:rsidRPr="001B316F" w:rsidRDefault="001B316F" w:rsidP="00882B15">
      <w:r w:rsidRPr="003F440C">
        <w:t xml:space="preserve">Aged residential care providers </w:t>
      </w:r>
      <w:r>
        <w:t>say</w:t>
      </w:r>
      <w:r w:rsidRPr="003F440C">
        <w:t xml:space="preserve"> they face increasing cost pressures. </w:t>
      </w:r>
      <w:r>
        <w:t>One particular issue for them is</w:t>
      </w:r>
      <w:r w:rsidRPr="003F440C">
        <w:t xml:space="preserve"> uncertainty</w:t>
      </w:r>
      <w:r>
        <w:t xml:space="preserve"> </w:t>
      </w:r>
      <w:r w:rsidRPr="003F440C">
        <w:t xml:space="preserve">over </w:t>
      </w:r>
      <w:r w:rsidRPr="001B316F">
        <w:t>whether the</w:t>
      </w:r>
      <w:r w:rsidRPr="00200685">
        <w:t xml:space="preserve"> </w:t>
      </w:r>
      <w:r>
        <w:t>aged residential care sector</w:t>
      </w:r>
      <w:r w:rsidRPr="00200685">
        <w:t xml:space="preserve"> </w:t>
      </w:r>
      <w:r>
        <w:t>in the future</w:t>
      </w:r>
      <w:r w:rsidRPr="001B316F">
        <w:t xml:space="preserve"> will have sufficient capacity and choice of facility type in some locations to meet the growing demand from the ageing population. Other uncertainties concern funding sustainability and the future availability of </w:t>
      </w:r>
      <w:r w:rsidRPr="003F440C">
        <w:t>specialist palliative care services.</w:t>
      </w:r>
    </w:p>
    <w:p w:rsidR="00882B15" w:rsidRDefault="00882B15" w:rsidP="00882B15"/>
    <w:p w:rsidR="001B316F" w:rsidRDefault="001B316F" w:rsidP="00882B15">
      <w:r w:rsidRPr="003F440C">
        <w:t xml:space="preserve">The main funding issues </w:t>
      </w:r>
      <w:r>
        <w:t xml:space="preserve">individual </w:t>
      </w:r>
      <w:r w:rsidRPr="003F440C">
        <w:t>primary care</w:t>
      </w:r>
      <w:r>
        <w:t xml:space="preserve"> practitioners</w:t>
      </w:r>
      <w:r w:rsidRPr="00BE247F">
        <w:t xml:space="preserve"> </w:t>
      </w:r>
      <w:r>
        <w:t xml:space="preserve">raised during the Review </w:t>
      </w:r>
      <w:r w:rsidRPr="003F440C">
        <w:t xml:space="preserve">relate to access and equity. </w:t>
      </w:r>
      <w:r>
        <w:t>Some g</w:t>
      </w:r>
      <w:r w:rsidRPr="003F440C">
        <w:t>eneral practitioners report</w:t>
      </w:r>
      <w:r>
        <w:t xml:space="preserve">ed </w:t>
      </w:r>
      <w:r w:rsidRPr="003F440C">
        <w:t xml:space="preserve">that they </w:t>
      </w:r>
      <w:r>
        <w:t xml:space="preserve">face challenges </w:t>
      </w:r>
      <w:r w:rsidRPr="003F440C">
        <w:t xml:space="preserve">funding </w:t>
      </w:r>
      <w:r>
        <w:t xml:space="preserve">home </w:t>
      </w:r>
      <w:r w:rsidRPr="003F440C">
        <w:t>visits</w:t>
      </w:r>
      <w:r>
        <w:t xml:space="preserve"> and after-hours care of </w:t>
      </w:r>
      <w:r w:rsidRPr="003F440C">
        <w:t>palliative patients</w:t>
      </w:r>
      <w:r>
        <w:t>, and that f</w:t>
      </w:r>
      <w:r w:rsidRPr="003F440C">
        <w:t xml:space="preserve">inancial barriers </w:t>
      </w:r>
      <w:r>
        <w:t xml:space="preserve">make it difficult for </w:t>
      </w:r>
      <w:r w:rsidRPr="003F440C">
        <w:t xml:space="preserve">patients </w:t>
      </w:r>
      <w:r>
        <w:t xml:space="preserve">to </w:t>
      </w:r>
      <w:r w:rsidRPr="003F440C">
        <w:t xml:space="preserve">access </w:t>
      </w:r>
      <w:r>
        <w:t>general practitioners regularly or after hours. The Review found that some primary health organisations are strongly committed to building models of care and clinical care pathways for palliative care in their communities.</w:t>
      </w:r>
    </w:p>
    <w:p w:rsidR="00882B15" w:rsidRDefault="00882B15" w:rsidP="00882B15"/>
    <w:p w:rsidR="001B316F" w:rsidRDefault="001B316F" w:rsidP="00882B15">
      <w:pPr>
        <w:pStyle w:val="Heading2"/>
      </w:pPr>
      <w:bookmarkStart w:id="35" w:name="_Toc464970911"/>
      <w:bookmarkStart w:id="36" w:name="_Toc477850267"/>
      <w:r>
        <w:t>What matters to people – what we need to know</w:t>
      </w:r>
      <w:bookmarkEnd w:id="35"/>
      <w:bookmarkEnd w:id="36"/>
    </w:p>
    <w:p w:rsidR="001B316F" w:rsidRDefault="001B316F" w:rsidP="00882B15">
      <w:r>
        <w:t xml:space="preserve">There are notable gaps in information and knowledge on the perspectives and experiences of people with palliative care needs and of their bereaved </w:t>
      </w:r>
      <w:r w:rsidRPr="00A75DC6">
        <w:t>family</w:t>
      </w:r>
      <w:r>
        <w:t xml:space="preserve"> and whānau. A national picture on preferences for both place of care and place of death is emerging but not yet clear. We know little about what influences preferences and how these change in response to rapidly changing care needs and as death approaches. This information is particularly lacking for </w:t>
      </w:r>
      <w:r w:rsidRPr="00F71675">
        <w:t>Pacific</w:t>
      </w:r>
      <w:r>
        <w:t>, Indian and other Asian populations.</w:t>
      </w:r>
    </w:p>
    <w:p w:rsidR="00882B15" w:rsidRDefault="00882B15" w:rsidP="00882B15"/>
    <w:p w:rsidR="001B316F" w:rsidRPr="00B34D40" w:rsidRDefault="001B316F" w:rsidP="00882B15">
      <w:pPr>
        <w:pStyle w:val="Heading1"/>
      </w:pPr>
      <w:bookmarkStart w:id="37" w:name="_Toc464970912"/>
      <w:bookmarkStart w:id="38" w:name="_Toc477850268"/>
      <w:r>
        <w:lastRenderedPageBreak/>
        <w:t>4</w:t>
      </w:r>
      <w:r w:rsidR="00882B15">
        <w:tab/>
      </w:r>
      <w:r>
        <w:t xml:space="preserve">Themes from </w:t>
      </w:r>
      <w:r w:rsidRPr="00B34D40">
        <w:t>stakeholders</w:t>
      </w:r>
      <w:bookmarkEnd w:id="37"/>
      <w:bookmarkEnd w:id="38"/>
    </w:p>
    <w:p w:rsidR="001B316F" w:rsidRDefault="001B316F" w:rsidP="00882B15">
      <w:r>
        <w:t>During the Review, stakeholder engagement</w:t>
      </w:r>
      <w:r w:rsidRPr="00882B15">
        <w:rPr>
          <w:rStyle w:val="FootnoteReference"/>
        </w:rPr>
        <w:footnoteReference w:id="6"/>
      </w:r>
      <w:r>
        <w:t xml:space="preserve"> was undertaken on the status of palliative care in New Zealand and the priorities for palliative care in the future. Targeted consultation on draft Review findings was undertaken in July 2016. For a list of respondents, see Appendix 1.</w:t>
      </w:r>
    </w:p>
    <w:p w:rsidR="00882B15" w:rsidRDefault="00882B15" w:rsidP="00882B15"/>
    <w:p w:rsidR="001B316F" w:rsidRDefault="001B316F" w:rsidP="00882B15">
      <w:r>
        <w:t>Stakeholders consistently raised the following</w:t>
      </w:r>
      <w:r w:rsidRPr="00546B8A">
        <w:t xml:space="preserve"> </w:t>
      </w:r>
      <w:r>
        <w:t xml:space="preserve">themes, which have </w:t>
      </w:r>
      <w:r w:rsidRPr="00546B8A">
        <w:t xml:space="preserve">informed the refreshed strategic direction </w:t>
      </w:r>
      <w:r>
        <w:t>for palliative care.</w:t>
      </w:r>
    </w:p>
    <w:p w:rsidR="001B316F" w:rsidRPr="00A87A6E" w:rsidRDefault="001B316F" w:rsidP="00882B15">
      <w:pPr>
        <w:pStyle w:val="Bullet"/>
      </w:pPr>
      <w:r>
        <w:t>A</w:t>
      </w:r>
      <w:r w:rsidRPr="00A87A6E">
        <w:t>ddress the invisibility of death, dying and palliative care</w:t>
      </w:r>
      <w:r>
        <w:t>. L</w:t>
      </w:r>
      <w:r w:rsidRPr="00A87A6E">
        <w:t>ift</w:t>
      </w:r>
      <w:r>
        <w:t xml:space="preserve"> </w:t>
      </w:r>
      <w:r w:rsidRPr="00A87A6E">
        <w:t>the stigma around dying so that New Zealanders can die well</w:t>
      </w:r>
      <w:r>
        <w:t xml:space="preserve">. Achieving this change </w:t>
      </w:r>
      <w:r w:rsidRPr="00A87A6E">
        <w:t xml:space="preserve">requires </w:t>
      </w:r>
      <w:r>
        <w:t xml:space="preserve">information, </w:t>
      </w:r>
      <w:r w:rsidRPr="00A87A6E">
        <w:t>education and awareness raising.</w:t>
      </w:r>
    </w:p>
    <w:p w:rsidR="001B316F" w:rsidRPr="00A87A6E" w:rsidRDefault="001B316F" w:rsidP="00882B15">
      <w:pPr>
        <w:pStyle w:val="Bullet"/>
      </w:pPr>
      <w:r>
        <w:t>B</w:t>
      </w:r>
      <w:r w:rsidRPr="00A87A6E">
        <w:t>uild the capability of all health workers</w:t>
      </w:r>
      <w:r>
        <w:t>. D</w:t>
      </w:r>
      <w:r w:rsidRPr="00A87A6E">
        <w:t xml:space="preserve">eath and dying </w:t>
      </w:r>
      <w:r>
        <w:t>are</w:t>
      </w:r>
      <w:r w:rsidRPr="00A87A6E">
        <w:t xml:space="preserve"> part of life and living</w:t>
      </w:r>
      <w:r>
        <w:t xml:space="preserve"> – </w:t>
      </w:r>
      <w:r w:rsidRPr="00A87A6E">
        <w:t xml:space="preserve">this concept </w:t>
      </w:r>
      <w:r>
        <w:t xml:space="preserve">does not comprehensively feature in </w:t>
      </w:r>
      <w:r w:rsidRPr="00A87A6E">
        <w:t>training across all</w:t>
      </w:r>
      <w:r>
        <w:t xml:space="preserve"> of</w:t>
      </w:r>
      <w:r w:rsidRPr="00A87A6E">
        <w:t xml:space="preserve"> the </w:t>
      </w:r>
      <w:r>
        <w:t xml:space="preserve">health care </w:t>
      </w:r>
      <w:r w:rsidRPr="00A87A6E">
        <w:t>workforce</w:t>
      </w:r>
      <w:r>
        <w:t>.</w:t>
      </w:r>
    </w:p>
    <w:p w:rsidR="001B316F" w:rsidRPr="00A87A6E" w:rsidRDefault="001B316F" w:rsidP="00882B15">
      <w:pPr>
        <w:pStyle w:val="Bullet"/>
      </w:pPr>
      <w:r>
        <w:t xml:space="preserve">Continue to build </w:t>
      </w:r>
      <w:r w:rsidRPr="00A87A6E">
        <w:t>a strong and well-supported specialist workforce</w:t>
      </w:r>
      <w:r>
        <w:t xml:space="preserve">. This needs </w:t>
      </w:r>
      <w:r w:rsidRPr="00A87A6E">
        <w:t>attention</w:t>
      </w:r>
      <w:r>
        <w:t xml:space="preserve"> now to cope with future demands.</w:t>
      </w:r>
    </w:p>
    <w:p w:rsidR="001B316F" w:rsidRPr="00A87A6E" w:rsidRDefault="001B316F" w:rsidP="00882B15">
      <w:pPr>
        <w:pStyle w:val="Bullet"/>
      </w:pPr>
      <w:r>
        <w:t>E</w:t>
      </w:r>
      <w:r w:rsidRPr="00A87A6E">
        <w:t>nsure equitable</w:t>
      </w:r>
      <w:r>
        <w:t>,</w:t>
      </w:r>
      <w:r w:rsidRPr="00A87A6E">
        <w:t xml:space="preserve"> patient-centred care for all who need it</w:t>
      </w:r>
      <w:r>
        <w:t>. Access to both primary and specialist palliative care is variable and can be unavailable, depending on local service delivery arrangements. P</w:t>
      </w:r>
      <w:r w:rsidRPr="00A87A6E">
        <w:t>articular</w:t>
      </w:r>
      <w:r>
        <w:t xml:space="preserve"> inequities are evident in </w:t>
      </w:r>
      <w:r w:rsidRPr="00A87A6E">
        <w:t>access to 24</w:t>
      </w:r>
      <w:r>
        <w:t>-hour advice and support.</w:t>
      </w:r>
    </w:p>
    <w:p w:rsidR="001B316F" w:rsidRPr="00A87A6E" w:rsidRDefault="001B316F" w:rsidP="00882B15">
      <w:pPr>
        <w:pStyle w:val="Bullet"/>
      </w:pPr>
      <w:r>
        <w:t>B</w:t>
      </w:r>
      <w:r w:rsidRPr="00A87A6E">
        <w:t>etter recognise and value the role and needs o</w:t>
      </w:r>
      <w:r>
        <w:t>f informal, family and whānau carers.</w:t>
      </w:r>
    </w:p>
    <w:p w:rsidR="001B316F" w:rsidRPr="00A87A6E" w:rsidRDefault="001B316F" w:rsidP="00882B15">
      <w:pPr>
        <w:pStyle w:val="Bullet"/>
      </w:pPr>
      <w:r>
        <w:t>Consider the voices of p</w:t>
      </w:r>
      <w:r w:rsidRPr="00A87A6E">
        <w:t>atient</w:t>
      </w:r>
      <w:r>
        <w:t>s</w:t>
      </w:r>
      <w:r w:rsidRPr="00A87A6E">
        <w:t xml:space="preserve"> and </w:t>
      </w:r>
      <w:r>
        <w:t xml:space="preserve">their </w:t>
      </w:r>
      <w:r w:rsidRPr="00A87A6E">
        <w:t>famil</w:t>
      </w:r>
      <w:r>
        <w:t>ies and</w:t>
      </w:r>
      <w:r w:rsidRPr="00A87A6E">
        <w:t xml:space="preserve"> </w:t>
      </w:r>
      <w:r>
        <w:t xml:space="preserve">whānau in improving </w:t>
      </w:r>
      <w:r w:rsidRPr="00A87A6E">
        <w:t>service</w:t>
      </w:r>
      <w:r>
        <w:t>s. P</w:t>
      </w:r>
      <w:r w:rsidRPr="00A87A6E">
        <w:t>atient outcomes, views and perspectives are not consist</w:t>
      </w:r>
      <w:r>
        <w:t>ently captured and responded to.</w:t>
      </w:r>
    </w:p>
    <w:p w:rsidR="001B316F" w:rsidRDefault="001B316F" w:rsidP="00882B15">
      <w:pPr>
        <w:pStyle w:val="Bullet"/>
      </w:pPr>
      <w:r>
        <w:t>I</w:t>
      </w:r>
      <w:r w:rsidRPr="00A87A6E">
        <w:t>mprove cooperation and coordination between providers</w:t>
      </w:r>
      <w:r>
        <w:t>. High-q</w:t>
      </w:r>
      <w:r w:rsidRPr="003F3303">
        <w:t xml:space="preserve">uality care at the end of life </w:t>
      </w:r>
      <w:r>
        <w:t xml:space="preserve">happens </w:t>
      </w:r>
      <w:r w:rsidRPr="003F3303">
        <w:t xml:space="preserve">when strong networks exist between specialist palliative care providers and primary palliative care </w:t>
      </w:r>
      <w:r>
        <w:t xml:space="preserve">teams – including </w:t>
      </w:r>
      <w:r w:rsidRPr="003F3303">
        <w:t>general practitioners, practice nurses, district nurses, support care providers</w:t>
      </w:r>
      <w:r>
        <w:t xml:space="preserve"> and</w:t>
      </w:r>
      <w:r w:rsidRPr="003F3303">
        <w:t xml:space="preserve"> </w:t>
      </w:r>
      <w:r>
        <w:t xml:space="preserve">allied health practitioners – alongside </w:t>
      </w:r>
      <w:r w:rsidRPr="003F3303">
        <w:t>the person being cared for, their fa</w:t>
      </w:r>
      <w:r>
        <w:t>mily and friends, their whānau and their community.</w:t>
      </w:r>
    </w:p>
    <w:p w:rsidR="001B316F" w:rsidRDefault="001B316F" w:rsidP="00882B15">
      <w:pPr>
        <w:pStyle w:val="Bullet"/>
      </w:pPr>
      <w:r>
        <w:t>Continue to build integrated models of care and accountability arrangements that help providers to collaborate.</w:t>
      </w:r>
    </w:p>
    <w:p w:rsidR="001B316F" w:rsidRDefault="001B316F" w:rsidP="00882B15">
      <w:pPr>
        <w:pStyle w:val="Bullet"/>
      </w:pPr>
      <w:r>
        <w:t>F</w:t>
      </w:r>
      <w:r w:rsidRPr="00A87A6E">
        <w:t>ocus on outcomes and make better use of data</w:t>
      </w:r>
      <w:r>
        <w:t>. A</w:t>
      </w:r>
      <w:r w:rsidRPr="00A87A6E">
        <w:t xml:space="preserve"> core set of outcome measures</w:t>
      </w:r>
      <w:r>
        <w:t xml:space="preserve"> needs to be established</w:t>
      </w:r>
      <w:r w:rsidRPr="00A87A6E">
        <w:t xml:space="preserve"> and </w:t>
      </w:r>
      <w:r>
        <w:t>applied across all settings.</w:t>
      </w:r>
    </w:p>
    <w:p w:rsidR="001B316F" w:rsidRDefault="001B316F" w:rsidP="00882B15">
      <w:pPr>
        <w:pStyle w:val="Bullet"/>
      </w:pPr>
      <w:r>
        <w:t>F</w:t>
      </w:r>
      <w:r w:rsidRPr="00A87A6E">
        <w:t>unding arrangements need to be fair</w:t>
      </w:r>
      <w:r>
        <w:t xml:space="preserve"> and</w:t>
      </w:r>
      <w:r w:rsidRPr="00A87A6E">
        <w:t xml:space="preserve"> transparent</w:t>
      </w:r>
      <w:r>
        <w:t>,</w:t>
      </w:r>
      <w:r w:rsidRPr="00A87A6E">
        <w:t xml:space="preserve"> and support equity</w:t>
      </w:r>
      <w:r>
        <w:t xml:space="preserve">. It is difficult </w:t>
      </w:r>
      <w:r w:rsidRPr="00A87A6E">
        <w:t xml:space="preserve">to navigate the </w:t>
      </w:r>
      <w:r>
        <w:t xml:space="preserve">various </w:t>
      </w:r>
      <w:r w:rsidRPr="00A87A6E">
        <w:t>funding mechanisms and incentives</w:t>
      </w:r>
      <w:r>
        <w:t>. The</w:t>
      </w:r>
      <w:r w:rsidRPr="00990967">
        <w:t xml:space="preserve"> ability to </w:t>
      </w:r>
      <w:r>
        <w:t>determine whether service delivery gives</w:t>
      </w:r>
      <w:r w:rsidRPr="00990967">
        <w:t xml:space="preserve"> value for money </w:t>
      </w:r>
      <w:r>
        <w:t xml:space="preserve">is </w:t>
      </w:r>
      <w:r w:rsidRPr="00990967">
        <w:t>limited</w:t>
      </w:r>
      <w:r>
        <w:t xml:space="preserve"> at present.</w:t>
      </w:r>
    </w:p>
    <w:p w:rsidR="001B316F" w:rsidRDefault="001B316F" w:rsidP="00882B15">
      <w:pPr>
        <w:pStyle w:val="Bullet"/>
      </w:pPr>
      <w:r>
        <w:t>Any additional compliance requirements by providers will need to be funded appropriately. In particular, implementing a national quality framework may need funding.</w:t>
      </w:r>
    </w:p>
    <w:p w:rsidR="001B316F" w:rsidRDefault="001B316F" w:rsidP="00882B15">
      <w:pPr>
        <w:pStyle w:val="Bullet"/>
      </w:pPr>
      <w:r>
        <w:t>Actions coming from the Review need to be adequately resourced.</w:t>
      </w:r>
    </w:p>
    <w:p w:rsidR="00882B15" w:rsidRDefault="00882B15" w:rsidP="00882B15"/>
    <w:p w:rsidR="001B316F" w:rsidRDefault="001B316F" w:rsidP="00882B15">
      <w:pPr>
        <w:pStyle w:val="Heading1"/>
      </w:pPr>
      <w:bookmarkStart w:id="39" w:name="_Toc464970913"/>
      <w:bookmarkStart w:id="40" w:name="_Toc477850269"/>
      <w:r>
        <w:lastRenderedPageBreak/>
        <w:t>5</w:t>
      </w:r>
      <w:r w:rsidR="00882B15">
        <w:tab/>
      </w:r>
      <w:r>
        <w:t>P</w:t>
      </w:r>
      <w:r w:rsidRPr="00091803">
        <w:t>riority areas and actions</w:t>
      </w:r>
      <w:bookmarkEnd w:id="39"/>
      <w:bookmarkEnd w:id="40"/>
    </w:p>
    <w:p w:rsidR="001B316F" w:rsidRDefault="001B316F" w:rsidP="00882B15">
      <w:r>
        <w:t xml:space="preserve">As a result of the Review findings and the evident need to address the projected demand on the palliative care services, this Review has identified five priority areas, with associated actions. The actions are aimed at achieving the </w:t>
      </w:r>
      <w:r w:rsidRPr="00990967">
        <w:t xml:space="preserve">overarching goal </w:t>
      </w:r>
      <w:r>
        <w:t>for adult palliative care service delivery in New Zealand. That is, services will provide</w:t>
      </w:r>
      <w:r w:rsidRPr="00990967">
        <w:t xml:space="preserve"> high</w:t>
      </w:r>
      <w:r>
        <w:t>-</w:t>
      </w:r>
      <w:r w:rsidRPr="00990967">
        <w:t>quality care</w:t>
      </w:r>
      <w:r>
        <w:t xml:space="preserve">, </w:t>
      </w:r>
      <w:r w:rsidRPr="00990967">
        <w:t>in all settings</w:t>
      </w:r>
      <w:r>
        <w:t xml:space="preserve"> and geographical locations, </w:t>
      </w:r>
      <w:r w:rsidRPr="00990967">
        <w:t>enabling someone to die in an environment that feels, and is, safe and comfortable.</w:t>
      </w:r>
      <w:r>
        <w:t xml:space="preserve"> High-quality palliative care is, at its heart, people-centred and responsive.</w:t>
      </w:r>
    </w:p>
    <w:p w:rsidR="00882B15" w:rsidRDefault="00882B15" w:rsidP="00882B15"/>
    <w:p w:rsidR="001B316F" w:rsidRDefault="001B316F" w:rsidP="00882B15">
      <w:r>
        <w:t>The actions align with those in the New Zealand Health Strategy and the Healthy Ageing Strategy and can be progressed as a coordinated and coherent package. Driven by the actions described below, the following priority areas underpin a refreshed strategic direction for the future of adult palliative care services.</w:t>
      </w:r>
    </w:p>
    <w:p w:rsidR="00882B15" w:rsidRDefault="00882B15" w:rsidP="00882B15"/>
    <w:p w:rsidR="001B316F" w:rsidRDefault="001B316F" w:rsidP="00882B15">
      <w:pPr>
        <w:pStyle w:val="Heading2"/>
        <w:rPr>
          <w:rFonts w:cs="Arial"/>
        </w:rPr>
      </w:pPr>
      <w:bookmarkStart w:id="41" w:name="_Toc464970914"/>
      <w:bookmarkStart w:id="42" w:name="_Toc477850270"/>
      <w:r>
        <w:t xml:space="preserve">Priority area: </w:t>
      </w:r>
      <w:r w:rsidRPr="006B4CDA">
        <w:t>Increase emphasis on primary palliative care</w:t>
      </w:r>
      <w:bookmarkEnd w:id="41"/>
      <w:bookmarkEnd w:id="42"/>
    </w:p>
    <w:p w:rsidR="001B316F" w:rsidRDefault="001B316F" w:rsidP="00882B15">
      <w:r>
        <w:t xml:space="preserve">There is opportunity to strengthen the emphasis on </w:t>
      </w:r>
      <w:r w:rsidRPr="00192D19">
        <w:t>primary palliative care</w:t>
      </w:r>
      <w:r>
        <w:t xml:space="preserve"> and on the knowledge and skills of the primary palliative care workforce. To achieve this</w:t>
      </w:r>
      <w:r w:rsidRPr="0056623C">
        <w:t xml:space="preserve"> increased emphasis</w:t>
      </w:r>
      <w:r>
        <w:t>,</w:t>
      </w:r>
      <w:r w:rsidRPr="0056623C">
        <w:t xml:space="preserve"> a sufficient</w:t>
      </w:r>
      <w:r>
        <w:t xml:space="preserve"> and sustainable </w:t>
      </w:r>
      <w:r w:rsidRPr="0056623C">
        <w:t>specialist workforce</w:t>
      </w:r>
      <w:r>
        <w:t xml:space="preserve"> is needed </w:t>
      </w:r>
      <w:r w:rsidRPr="0056623C">
        <w:t>to support, advi</w:t>
      </w:r>
      <w:r>
        <w:t>s</w:t>
      </w:r>
      <w:r w:rsidRPr="0056623C">
        <w:t>e and educat</w:t>
      </w:r>
      <w:r>
        <w:t>e</w:t>
      </w:r>
      <w:r w:rsidRPr="0056623C">
        <w:t xml:space="preserve"> those pr</w:t>
      </w:r>
      <w:r>
        <w:t xml:space="preserve">oviding primary palliative care. Alongside this, </w:t>
      </w:r>
      <w:r w:rsidRPr="002B6029">
        <w:t>the interface between specialist and primary palliative care</w:t>
      </w:r>
      <w:r>
        <w:t xml:space="preserve"> should be clear and widely understood.</w:t>
      </w:r>
    </w:p>
    <w:p w:rsidR="00882B15" w:rsidRDefault="00882B15" w:rsidP="00882B15"/>
    <w:p w:rsidR="001B316F" w:rsidRDefault="001B316F" w:rsidP="00882B15">
      <w:r w:rsidRPr="00294CE9">
        <w:t xml:space="preserve">General practice and multidisciplinary teams in primary care settings, and their relationships with specialist palliative care providers, will be key to responding effectively to the projected increase in palliative care </w:t>
      </w:r>
      <w:r w:rsidRPr="008B221E">
        <w:t>need (Keane et al 2015</w:t>
      </w:r>
      <w:r w:rsidRPr="001328A2">
        <w:t>).</w:t>
      </w:r>
    </w:p>
    <w:p w:rsidR="00882B15" w:rsidRDefault="00882B15" w:rsidP="00882B15"/>
    <w:p w:rsidR="001B316F" w:rsidRDefault="001B316F" w:rsidP="00882B15">
      <w:r w:rsidRPr="00107F36">
        <w:t xml:space="preserve">The potential </w:t>
      </w:r>
      <w:r>
        <w:t xml:space="preserve">exists </w:t>
      </w:r>
      <w:r w:rsidRPr="00107F36">
        <w:t xml:space="preserve">to better use the skills and expertise of the wide range of allied health </w:t>
      </w:r>
      <w:r>
        <w:t xml:space="preserve">professionals </w:t>
      </w:r>
      <w:r w:rsidRPr="00107F36">
        <w:t>in the care of palliative patients and to involve them</w:t>
      </w:r>
      <w:r>
        <w:t xml:space="preserve"> earlier. These professionals include physiotherapists, occupational therapists, speech and language therapists, dieticians, social workers and psychologists. Alongside this</w:t>
      </w:r>
      <w:r w:rsidRPr="00107F36">
        <w:t xml:space="preserve"> is </w:t>
      </w:r>
      <w:r>
        <w:t xml:space="preserve">the </w:t>
      </w:r>
      <w:r w:rsidRPr="00107F36">
        <w:t xml:space="preserve">opportunity to more fully use the skill set of the pharmacist workforce in medicines management, particularly in the community setting. </w:t>
      </w:r>
      <w:r>
        <w:t>In addition,</w:t>
      </w:r>
      <w:r w:rsidRPr="00107F36">
        <w:t xml:space="preserve"> the unique skill set of specialist palliative care nurses </w:t>
      </w:r>
      <w:r>
        <w:t xml:space="preserve">could be used further </w:t>
      </w:r>
      <w:r w:rsidRPr="00107F36">
        <w:t>in mentoring, training and education, care coordination and relationship management roles between specialist services and other health</w:t>
      </w:r>
      <w:r>
        <w:t xml:space="preserve"> </w:t>
      </w:r>
      <w:r w:rsidRPr="00107F36">
        <w:t>care providers.</w:t>
      </w:r>
    </w:p>
    <w:p w:rsidR="00882B15" w:rsidRPr="00107F36" w:rsidRDefault="00882B15" w:rsidP="00882B15"/>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356"/>
      </w:tblGrid>
      <w:tr w:rsidR="009E34D0" w:rsidRPr="00801F8A" w:rsidTr="00801F8A">
        <w:trPr>
          <w:cantSplit/>
        </w:trPr>
        <w:tc>
          <w:tcPr>
            <w:tcW w:w="9356" w:type="dxa"/>
            <w:tcBorders>
              <w:top w:val="single" w:sz="4" w:space="0" w:color="auto"/>
              <w:bottom w:val="single" w:sz="4" w:space="0" w:color="auto"/>
            </w:tcBorders>
            <w:shd w:val="clear" w:color="auto" w:fill="auto"/>
          </w:tcPr>
          <w:p w:rsidR="001B316F" w:rsidRPr="00801F8A" w:rsidRDefault="001B316F" w:rsidP="00801F8A">
            <w:pPr>
              <w:pStyle w:val="TableText"/>
              <w:rPr>
                <w:b/>
              </w:rPr>
            </w:pPr>
            <w:r w:rsidRPr="00801F8A">
              <w:rPr>
                <w:b/>
              </w:rPr>
              <w:t>Actions: Increase emphasis on primary palliative care</w:t>
            </w:r>
          </w:p>
        </w:tc>
      </w:tr>
      <w:tr w:rsidR="009E34D0" w:rsidRPr="002B6029" w:rsidTr="00801F8A">
        <w:trPr>
          <w:cantSplit/>
        </w:trPr>
        <w:tc>
          <w:tcPr>
            <w:tcW w:w="9356" w:type="dxa"/>
            <w:tcBorders>
              <w:top w:val="single" w:sz="4" w:space="0" w:color="auto"/>
            </w:tcBorders>
            <w:shd w:val="clear" w:color="auto" w:fill="auto"/>
          </w:tcPr>
          <w:p w:rsidR="001B316F" w:rsidRPr="002B6029" w:rsidRDefault="00882B15" w:rsidP="00801F8A">
            <w:pPr>
              <w:pStyle w:val="TableText"/>
              <w:ind w:left="425" w:hanging="425"/>
            </w:pPr>
            <w:r>
              <w:t>a.</w:t>
            </w:r>
            <w:r>
              <w:tab/>
            </w:r>
            <w:r w:rsidR="001B316F" w:rsidRPr="002B6029">
              <w:t>Revise national referral guidance for specialist palliative care and clarify the role of specialist palliative care</w:t>
            </w:r>
            <w:r w:rsidR="001B316F">
              <w:t xml:space="preserve"> </w:t>
            </w:r>
            <w:r w:rsidR="001B316F" w:rsidRPr="002B6029">
              <w:t xml:space="preserve">to better support </w:t>
            </w:r>
            <w:r w:rsidR="001B316F">
              <w:t xml:space="preserve">the </w:t>
            </w:r>
            <w:r w:rsidR="001B316F" w:rsidRPr="002B6029">
              <w:t xml:space="preserve">sector </w:t>
            </w:r>
            <w:r w:rsidR="001B316F">
              <w:t xml:space="preserve">to </w:t>
            </w:r>
            <w:r w:rsidR="001B316F" w:rsidRPr="002B6029">
              <w:t>understand the interface between specialist and primary palliative care.</w:t>
            </w:r>
          </w:p>
        </w:tc>
      </w:tr>
      <w:tr w:rsidR="009E34D0" w:rsidRPr="002B6029" w:rsidTr="00801F8A">
        <w:trPr>
          <w:cantSplit/>
        </w:trPr>
        <w:tc>
          <w:tcPr>
            <w:tcW w:w="9356" w:type="dxa"/>
            <w:shd w:val="clear" w:color="auto" w:fill="auto"/>
          </w:tcPr>
          <w:p w:rsidR="001B316F" w:rsidRPr="002B6029" w:rsidRDefault="00882B15" w:rsidP="00801F8A">
            <w:pPr>
              <w:pStyle w:val="TableText"/>
              <w:ind w:left="425" w:hanging="425"/>
            </w:pPr>
            <w:r>
              <w:t>b.</w:t>
            </w:r>
            <w:r>
              <w:tab/>
            </w:r>
            <w:r w:rsidR="001B316F">
              <w:t>Support m</w:t>
            </w:r>
            <w:r w:rsidR="001B316F" w:rsidRPr="002B6029">
              <w:t>odif</w:t>
            </w:r>
            <w:r w:rsidR="001B316F">
              <w:t xml:space="preserve">ication of </w:t>
            </w:r>
            <w:r w:rsidR="001B316F" w:rsidRPr="002B6029">
              <w:t xml:space="preserve">undergraduate curricula to </w:t>
            </w:r>
            <w:r w:rsidR="001B316F">
              <w:t>improve</w:t>
            </w:r>
            <w:r w:rsidR="001B316F" w:rsidRPr="002B6029">
              <w:t xml:space="preserve"> understanding of palliative care</w:t>
            </w:r>
            <w:r w:rsidR="001B316F">
              <w:t xml:space="preserve"> </w:t>
            </w:r>
            <w:r w:rsidR="001B316F" w:rsidRPr="002B6029">
              <w:t>across all workforce groups.</w:t>
            </w:r>
          </w:p>
        </w:tc>
      </w:tr>
      <w:tr w:rsidR="009E34D0" w:rsidRPr="002B6029" w:rsidTr="00801F8A">
        <w:trPr>
          <w:cantSplit/>
        </w:trPr>
        <w:tc>
          <w:tcPr>
            <w:tcW w:w="9356" w:type="dxa"/>
            <w:shd w:val="clear" w:color="auto" w:fill="auto"/>
          </w:tcPr>
          <w:p w:rsidR="001B316F" w:rsidRPr="002B6029" w:rsidRDefault="00882B15" w:rsidP="00801F8A">
            <w:pPr>
              <w:pStyle w:val="TableText"/>
              <w:ind w:left="425" w:hanging="425"/>
            </w:pPr>
            <w:r>
              <w:t>c.</w:t>
            </w:r>
            <w:r>
              <w:tab/>
            </w:r>
            <w:r w:rsidR="001B316F">
              <w:t xml:space="preserve">Facilitate conversations with the sector about minimum palliative care </w:t>
            </w:r>
            <w:r w:rsidR="001B316F" w:rsidRPr="002B6029">
              <w:t>competencies</w:t>
            </w:r>
            <w:r w:rsidR="001B316F">
              <w:t xml:space="preserve">, </w:t>
            </w:r>
            <w:r w:rsidR="001B316F" w:rsidRPr="002B6029">
              <w:t>knowledge and skills</w:t>
            </w:r>
            <w:r w:rsidR="001B316F">
              <w:t xml:space="preserve"> </w:t>
            </w:r>
            <w:r w:rsidR="001B316F" w:rsidRPr="002B6029">
              <w:t>across all workforce groups.</w:t>
            </w:r>
          </w:p>
        </w:tc>
      </w:tr>
      <w:tr w:rsidR="009E34D0" w:rsidRPr="002B6029" w:rsidTr="00801F8A">
        <w:trPr>
          <w:cantSplit/>
        </w:trPr>
        <w:tc>
          <w:tcPr>
            <w:tcW w:w="9356" w:type="dxa"/>
            <w:shd w:val="clear" w:color="auto" w:fill="auto"/>
          </w:tcPr>
          <w:p w:rsidR="001B316F" w:rsidRPr="002B6029" w:rsidRDefault="00882B15" w:rsidP="00801F8A">
            <w:pPr>
              <w:pStyle w:val="TableText"/>
              <w:ind w:left="425" w:hanging="425"/>
            </w:pPr>
            <w:r>
              <w:t>d.</w:t>
            </w:r>
            <w:r>
              <w:tab/>
            </w:r>
            <w:r w:rsidR="001B316F">
              <w:t>Make b</w:t>
            </w:r>
            <w:r w:rsidR="001B316F" w:rsidRPr="002B6029">
              <w:t xml:space="preserve">etter use </w:t>
            </w:r>
            <w:r w:rsidR="001B316F">
              <w:t xml:space="preserve">of </w:t>
            </w:r>
            <w:r w:rsidR="001B316F" w:rsidRPr="002B6029">
              <w:t>pharmacists (including clinical pharmacists and pharmacist prescribers), allied health, and advanced nursing roles and specialist palliative care nurses.</w:t>
            </w:r>
          </w:p>
        </w:tc>
      </w:tr>
    </w:tbl>
    <w:p w:rsidR="00882B15" w:rsidRDefault="00882B15" w:rsidP="00882B15">
      <w:bookmarkStart w:id="43" w:name="_Toc464970915"/>
    </w:p>
    <w:p w:rsidR="001B316F" w:rsidRDefault="001B316F" w:rsidP="00882B15">
      <w:pPr>
        <w:pStyle w:val="Heading2"/>
      </w:pPr>
      <w:bookmarkStart w:id="44" w:name="_Toc477850271"/>
      <w:r>
        <w:lastRenderedPageBreak/>
        <w:t>Priority area: Improve quality in all settings</w:t>
      </w:r>
      <w:bookmarkEnd w:id="43"/>
      <w:bookmarkEnd w:id="44"/>
    </w:p>
    <w:p w:rsidR="001B316F" w:rsidRDefault="001B316F" w:rsidP="00882B15">
      <w:r w:rsidRPr="00990967">
        <w:t>While all</w:t>
      </w:r>
      <w:r>
        <w:t xml:space="preserve"> of </w:t>
      </w:r>
      <w:r w:rsidRPr="00990967">
        <w:t xml:space="preserve">the actions </w:t>
      </w:r>
      <w:r>
        <w:t>coming from</w:t>
      </w:r>
      <w:r w:rsidRPr="00990967">
        <w:t xml:space="preserve"> the Review will </w:t>
      </w:r>
      <w:r>
        <w:t xml:space="preserve">help </w:t>
      </w:r>
      <w:r w:rsidRPr="00990967">
        <w:t>to improv</w:t>
      </w:r>
      <w:r>
        <w:t>e</w:t>
      </w:r>
      <w:r w:rsidRPr="00990967">
        <w:t xml:space="preserve"> </w:t>
      </w:r>
      <w:r>
        <w:t xml:space="preserve">various aspects of </w:t>
      </w:r>
      <w:r w:rsidRPr="00990967">
        <w:t>quality, understanding and measuring outcomes is a key element</w:t>
      </w:r>
      <w:r>
        <w:t xml:space="preserve"> in achieving this improvement</w:t>
      </w:r>
      <w:r w:rsidRPr="00990967">
        <w:t>.</w:t>
      </w:r>
    </w:p>
    <w:p w:rsidR="00882B15" w:rsidRDefault="00882B15" w:rsidP="00882B15"/>
    <w:p w:rsidR="001B316F" w:rsidRPr="00990967" w:rsidRDefault="001B316F" w:rsidP="00882B15">
      <w:r>
        <w:t>To progress this priority area the Review</w:t>
      </w:r>
      <w:r w:rsidRPr="00990967">
        <w:t xml:space="preserve"> propose</w:t>
      </w:r>
      <w:r>
        <w:t>s</w:t>
      </w:r>
      <w:r w:rsidRPr="00990967">
        <w:t xml:space="preserve"> </w:t>
      </w:r>
      <w:r>
        <w:t>establishing a</w:t>
      </w:r>
      <w:r w:rsidRPr="00990967">
        <w:t xml:space="preserve"> national agreement on service expectations, including quality standards, and</w:t>
      </w:r>
      <w:r>
        <w:t xml:space="preserve"> </w:t>
      </w:r>
      <w:r w:rsidRPr="00990967">
        <w:t>increas</w:t>
      </w:r>
      <w:r>
        <w:t>ing the</w:t>
      </w:r>
      <w:r w:rsidRPr="00990967">
        <w:t xml:space="preserve"> visibility of palliative care quality indicators in accountability arrangements. </w:t>
      </w:r>
      <w:r>
        <w:t>These goals could be advanced by developing</w:t>
      </w:r>
      <w:r w:rsidRPr="00990967">
        <w:t xml:space="preserve"> the following three building blocks</w:t>
      </w:r>
      <w:r>
        <w:t>.</w:t>
      </w:r>
    </w:p>
    <w:p w:rsidR="001B316F" w:rsidRDefault="001B316F" w:rsidP="00882B15">
      <w:pPr>
        <w:pStyle w:val="Bullet"/>
      </w:pPr>
      <w:r w:rsidRPr="00990967">
        <w:t xml:space="preserve">National </w:t>
      </w:r>
      <w:r>
        <w:t>s</w:t>
      </w:r>
      <w:r w:rsidRPr="00990967">
        <w:t xml:space="preserve">ervice </w:t>
      </w:r>
      <w:r>
        <w:t>e</w:t>
      </w:r>
      <w:r w:rsidRPr="00990967">
        <w:t>xpectations for palliative care will centralise current expectations for publicly funded services,</w:t>
      </w:r>
      <w:r>
        <w:t xml:space="preserve"> and</w:t>
      </w:r>
      <w:r w:rsidRPr="00990967">
        <w:t xml:space="preserve"> support a range of commissioning </w:t>
      </w:r>
      <w:r>
        <w:t xml:space="preserve">and </w:t>
      </w:r>
      <w:r w:rsidRPr="00990967">
        <w:t>contracting models</w:t>
      </w:r>
      <w:r>
        <w:t>. They will also</w:t>
      </w:r>
      <w:r w:rsidRPr="00990967">
        <w:t xml:space="preserve"> provide clear accountability and links to current guidelines and service standards where national consistency or guidance is needed</w:t>
      </w:r>
      <w:r>
        <w:t>;</w:t>
      </w:r>
      <w:r w:rsidRPr="00990967">
        <w:t xml:space="preserve"> for example</w:t>
      </w:r>
      <w:r>
        <w:t>,</w:t>
      </w:r>
      <w:r w:rsidRPr="00990967">
        <w:t xml:space="preserve"> </w:t>
      </w:r>
      <w:r w:rsidRPr="00D515FD">
        <w:rPr>
          <w:i/>
        </w:rPr>
        <w:t xml:space="preserve">Te Ara Whakapiri: Principles and </w:t>
      </w:r>
      <w:r>
        <w:rPr>
          <w:i/>
        </w:rPr>
        <w:t>g</w:t>
      </w:r>
      <w:r w:rsidRPr="00D515FD">
        <w:rPr>
          <w:i/>
        </w:rPr>
        <w:t xml:space="preserve">uidance for the </w:t>
      </w:r>
      <w:r>
        <w:rPr>
          <w:i/>
        </w:rPr>
        <w:t>l</w:t>
      </w:r>
      <w:r w:rsidRPr="00D515FD">
        <w:rPr>
          <w:i/>
        </w:rPr>
        <w:t xml:space="preserve">ast </w:t>
      </w:r>
      <w:r>
        <w:rPr>
          <w:i/>
        </w:rPr>
        <w:t>d</w:t>
      </w:r>
      <w:r w:rsidRPr="00D515FD">
        <w:rPr>
          <w:i/>
        </w:rPr>
        <w:t xml:space="preserve">ays of </w:t>
      </w:r>
      <w:r>
        <w:rPr>
          <w:i/>
        </w:rPr>
        <w:t>l</w:t>
      </w:r>
      <w:r w:rsidRPr="00D515FD">
        <w:rPr>
          <w:i/>
        </w:rPr>
        <w:t>ife</w:t>
      </w:r>
      <w:r w:rsidRPr="00EE0C82">
        <w:rPr>
          <w:vertAlign w:val="superscript"/>
        </w:rPr>
        <w:footnoteReference w:id="7"/>
      </w:r>
      <w:r w:rsidRPr="00EE0C82">
        <w:rPr>
          <w:vertAlign w:val="superscript"/>
        </w:rPr>
        <w:t xml:space="preserve"> </w:t>
      </w:r>
      <w:r w:rsidRPr="001328A2">
        <w:t>(Ministry of Health 2015b).</w:t>
      </w:r>
    </w:p>
    <w:p w:rsidR="001B316F" w:rsidRPr="00546B8A" w:rsidRDefault="001B316F" w:rsidP="00882B15">
      <w:pPr>
        <w:pStyle w:val="Bullet"/>
      </w:pPr>
      <w:r w:rsidRPr="00990967">
        <w:t xml:space="preserve">An outcomes framework to support, and be supported by, the National Service Expectations. </w:t>
      </w:r>
      <w:r w:rsidRPr="00546B8A">
        <w:t xml:space="preserve">The outcomes framework would take a </w:t>
      </w:r>
      <w:r>
        <w:t>r</w:t>
      </w:r>
      <w:r w:rsidRPr="00546B8A">
        <w:t>esults</w:t>
      </w:r>
      <w:r>
        <w:t>-b</w:t>
      </w:r>
      <w:r w:rsidRPr="00546B8A">
        <w:t xml:space="preserve">ased </w:t>
      </w:r>
      <w:r>
        <w:t>a</w:t>
      </w:r>
      <w:r w:rsidRPr="00546B8A">
        <w:t xml:space="preserve">ccountability approach and build on the </w:t>
      </w:r>
      <w:r>
        <w:t xml:space="preserve">existing </w:t>
      </w:r>
      <w:r w:rsidRPr="00546B8A">
        <w:t>outcomes framework</w:t>
      </w:r>
      <w:r>
        <w:t>,</w:t>
      </w:r>
      <w:r w:rsidRPr="00546B8A">
        <w:t xml:space="preserve"> </w:t>
      </w:r>
      <w:r>
        <w:t>‘</w:t>
      </w:r>
      <w:r w:rsidRPr="00546B8A">
        <w:t>Measuring What Matters</w:t>
      </w:r>
      <w:r>
        <w:t>’,</w:t>
      </w:r>
      <w:r w:rsidRPr="00546B8A">
        <w:t xml:space="preserve"> developed by the Palliative Care </w:t>
      </w:r>
      <w:r w:rsidRPr="001328A2">
        <w:t>Council</w:t>
      </w:r>
      <w:r w:rsidR="006258A0">
        <w:t xml:space="preserve"> of New Zealand</w:t>
      </w:r>
      <w:r w:rsidRPr="001328A2">
        <w:t xml:space="preserve"> (Palliative Care Council of New Zealand 2012). It</w:t>
      </w:r>
      <w:r w:rsidRPr="00990967">
        <w:t xml:space="preserve"> will inform what is important to measure and the purpose of the measurement.</w:t>
      </w:r>
    </w:p>
    <w:p w:rsidR="001B316F" w:rsidRDefault="001B316F" w:rsidP="00882B15">
      <w:pPr>
        <w:pStyle w:val="Bullet"/>
      </w:pPr>
      <w:r w:rsidRPr="00990967">
        <w:t xml:space="preserve">A core, national set of outcomes, quality and activity data for palliative care </w:t>
      </w:r>
      <w:r>
        <w:t>is</w:t>
      </w:r>
      <w:r w:rsidRPr="00990967">
        <w:t xml:space="preserve"> a necessary building block to underpin th</w:t>
      </w:r>
      <w:r>
        <w:t>ose described</w:t>
      </w:r>
      <w:r w:rsidRPr="00990967">
        <w:t xml:space="preserve"> above.</w:t>
      </w:r>
    </w:p>
    <w:p w:rsidR="00D14FFF" w:rsidRDefault="00D14FFF" w:rsidP="00D14FFF"/>
    <w:p w:rsidR="001B316F" w:rsidRDefault="001B316F" w:rsidP="00D14FFF">
      <w:r w:rsidRPr="00546B8A">
        <w:t xml:space="preserve">While the first two building blocks above </w:t>
      </w:r>
      <w:r>
        <w:t>are</w:t>
      </w:r>
      <w:r w:rsidRPr="00546B8A">
        <w:t xml:space="preserve"> achievable in the short</w:t>
      </w:r>
      <w:r>
        <w:t xml:space="preserve"> </w:t>
      </w:r>
      <w:r w:rsidRPr="00546B8A">
        <w:t>term, moving to a core, national set of data for palliative care would take some time.</w:t>
      </w:r>
    </w:p>
    <w:p w:rsidR="00D14FFF" w:rsidRDefault="00D14FFF" w:rsidP="00D14FFF"/>
    <w:p w:rsidR="001B316F" w:rsidRDefault="001B316F" w:rsidP="00D14FFF">
      <w:r>
        <w:t>The Ministry of Health’s</w:t>
      </w:r>
      <w:r w:rsidRPr="001624AC">
        <w:t xml:space="preserve"> </w:t>
      </w:r>
      <w:r>
        <w:t>existing National Service Specifications for Specialist Palliative Care Service describe the minimum national service requirements for specialist palliative care. It is noted that district health boards vary in the extent to which they apply these specifications; some report difficulties with implementation. Under the proposed quality framework, the specifications can sit alongside the three building blocks and continue to be voluntary, as they are currently.</w:t>
      </w:r>
    </w:p>
    <w:p w:rsidR="00D14FFF" w:rsidRDefault="00D14FFF" w:rsidP="00D14FFF"/>
    <w:p w:rsidR="001B316F" w:rsidRDefault="001B316F" w:rsidP="00D14FFF">
      <w:r>
        <w:t xml:space="preserve">All full member hospices have adopted the existing Hospice New Zealand Standards for Palliative </w:t>
      </w:r>
      <w:r w:rsidRPr="001328A2">
        <w:t>Care (Hospice New Zealand</w:t>
      </w:r>
      <w:r w:rsidRPr="001F3B05">
        <w:t xml:space="preserve"> 2012</w:t>
      </w:r>
      <w:r w:rsidRPr="002E185F">
        <w:t>)</w:t>
      </w:r>
      <w:r>
        <w:t>. Hospice New Zealand notes that the long-term vision for its standards is that any health care provider caring for people with palliative care needs can use these standards as a self-monitoring performance tool. The</w:t>
      </w:r>
      <w:r w:rsidRPr="005D01A7">
        <w:t xml:space="preserve"> </w:t>
      </w:r>
      <w:r>
        <w:t>proposed building blocks present an opportunity to develop these standards further.</w:t>
      </w:r>
    </w:p>
    <w:p w:rsidR="00D14FFF" w:rsidRDefault="00D14FFF" w:rsidP="00D14FFF"/>
    <w:p w:rsidR="001B316F" w:rsidRDefault="001B316F" w:rsidP="00D14FFF">
      <w:r w:rsidRPr="00F4463C">
        <w:t>The Resource and Capability Framework for Integrated Adult Palliative Care Services in New Zealand</w:t>
      </w:r>
      <w:r>
        <w:t xml:space="preserve"> (Ministry of Health 2013</w:t>
      </w:r>
      <w:r w:rsidRPr="00192610">
        <w:t>)</w:t>
      </w:r>
      <w:r w:rsidRPr="00836720">
        <w:t xml:space="preserve"> </w:t>
      </w:r>
      <w:r>
        <w:t>is another example of national guidelines that could inform</w:t>
      </w:r>
      <w:r w:rsidR="00D14FFF">
        <w:t xml:space="preserve"> national service expectations.</w:t>
      </w:r>
    </w:p>
    <w:p w:rsidR="00D14FFF" w:rsidRDefault="00D14FFF" w:rsidP="00D14FFF"/>
    <w:tbl>
      <w:tblPr>
        <w:tblW w:w="0" w:type="auto"/>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356"/>
      </w:tblGrid>
      <w:tr w:rsidR="009E34D0" w:rsidRPr="00801F8A" w:rsidTr="00801F8A">
        <w:trPr>
          <w:cantSplit/>
        </w:trPr>
        <w:tc>
          <w:tcPr>
            <w:tcW w:w="9356" w:type="dxa"/>
            <w:tcBorders>
              <w:top w:val="single" w:sz="4" w:space="0" w:color="auto"/>
              <w:bottom w:val="single" w:sz="4" w:space="0" w:color="auto"/>
            </w:tcBorders>
            <w:shd w:val="clear" w:color="auto" w:fill="auto"/>
            <w:vAlign w:val="center"/>
          </w:tcPr>
          <w:p w:rsidR="001B316F" w:rsidRPr="00801F8A" w:rsidRDefault="001B316F" w:rsidP="00801F8A">
            <w:pPr>
              <w:pStyle w:val="TableText"/>
              <w:keepNext/>
              <w:rPr>
                <w:b/>
              </w:rPr>
            </w:pPr>
            <w:r w:rsidRPr="00801F8A">
              <w:rPr>
                <w:b/>
              </w:rPr>
              <w:lastRenderedPageBreak/>
              <w:t>Actions: Improve quality in all settings</w:t>
            </w:r>
          </w:p>
        </w:tc>
      </w:tr>
      <w:tr w:rsidR="009E34D0" w:rsidRPr="002B6029" w:rsidTr="00801F8A">
        <w:trPr>
          <w:cantSplit/>
        </w:trPr>
        <w:tc>
          <w:tcPr>
            <w:tcW w:w="9356" w:type="dxa"/>
            <w:tcBorders>
              <w:top w:val="single" w:sz="4" w:space="0" w:color="auto"/>
            </w:tcBorders>
            <w:shd w:val="clear" w:color="auto" w:fill="auto"/>
            <w:vAlign w:val="center"/>
          </w:tcPr>
          <w:p w:rsidR="001B316F" w:rsidRPr="002B6029" w:rsidRDefault="00D14FFF" w:rsidP="00801F8A">
            <w:pPr>
              <w:pStyle w:val="TableText"/>
              <w:keepNext/>
              <w:ind w:left="425" w:hanging="425"/>
            </w:pPr>
            <w:r>
              <w:t>a.</w:t>
            </w:r>
            <w:r>
              <w:tab/>
            </w:r>
            <w:r w:rsidR="001B316F" w:rsidRPr="00A204EA">
              <w:t>Agree national service expectations for palliative and end</w:t>
            </w:r>
            <w:r w:rsidR="001B316F">
              <w:t>-</w:t>
            </w:r>
            <w:r w:rsidR="001B316F" w:rsidRPr="00A204EA">
              <w:t>of</w:t>
            </w:r>
            <w:r w:rsidR="001B316F">
              <w:t>-</w:t>
            </w:r>
            <w:r w:rsidR="001B316F" w:rsidRPr="00A204EA">
              <w:t>life care for use in all settings (for example</w:t>
            </w:r>
            <w:r w:rsidR="001B316F">
              <w:t>,</w:t>
            </w:r>
            <w:r w:rsidR="001B316F" w:rsidRPr="00A204EA">
              <w:t xml:space="preserve"> </w:t>
            </w:r>
            <w:r w:rsidR="001B316F">
              <w:t xml:space="preserve">aged residential care, </w:t>
            </w:r>
            <w:r w:rsidR="001B316F" w:rsidRPr="00A204EA">
              <w:t>primary care, hospital</w:t>
            </w:r>
            <w:r w:rsidR="001B316F">
              <w:t>s</w:t>
            </w:r>
            <w:r w:rsidR="001B316F" w:rsidRPr="00A204EA">
              <w:t xml:space="preserve"> and hospice</w:t>
            </w:r>
            <w:r w:rsidR="001B316F">
              <w:t>s</w:t>
            </w:r>
            <w:r w:rsidR="001B316F" w:rsidRPr="00A204EA">
              <w:t>).</w:t>
            </w:r>
          </w:p>
        </w:tc>
      </w:tr>
      <w:tr w:rsidR="009E34D0" w:rsidRPr="002B6029" w:rsidTr="00801F8A">
        <w:trPr>
          <w:cantSplit/>
        </w:trPr>
        <w:tc>
          <w:tcPr>
            <w:tcW w:w="9356" w:type="dxa"/>
            <w:shd w:val="clear" w:color="auto" w:fill="auto"/>
            <w:vAlign w:val="center"/>
          </w:tcPr>
          <w:p w:rsidR="001B316F" w:rsidRPr="002B6029" w:rsidRDefault="00D14FFF" w:rsidP="00801F8A">
            <w:pPr>
              <w:pStyle w:val="TableText"/>
              <w:keepNext/>
              <w:ind w:left="425" w:hanging="425"/>
            </w:pPr>
            <w:r>
              <w:t>b.</w:t>
            </w:r>
            <w:r>
              <w:tab/>
            </w:r>
            <w:r w:rsidR="001B316F" w:rsidRPr="00A204EA">
              <w:t xml:space="preserve">Establish an outcomes framework to support a range of commissioning models using a </w:t>
            </w:r>
            <w:r w:rsidR="001B316F">
              <w:t>r</w:t>
            </w:r>
            <w:r w:rsidR="001B316F" w:rsidRPr="00A204EA">
              <w:t>esults</w:t>
            </w:r>
            <w:r w:rsidR="001B316F">
              <w:t>-b</w:t>
            </w:r>
            <w:r w:rsidR="001B316F" w:rsidRPr="00A204EA">
              <w:t xml:space="preserve">ased </w:t>
            </w:r>
            <w:r w:rsidR="001B316F">
              <w:t>a</w:t>
            </w:r>
            <w:r w:rsidR="001B316F" w:rsidRPr="00A204EA">
              <w:t>ccountability approach.</w:t>
            </w:r>
          </w:p>
        </w:tc>
      </w:tr>
      <w:tr w:rsidR="009E34D0" w:rsidRPr="002B6029" w:rsidTr="00801F8A">
        <w:trPr>
          <w:cantSplit/>
        </w:trPr>
        <w:tc>
          <w:tcPr>
            <w:tcW w:w="9356" w:type="dxa"/>
            <w:shd w:val="clear" w:color="auto" w:fill="auto"/>
            <w:vAlign w:val="center"/>
          </w:tcPr>
          <w:p w:rsidR="001B316F" w:rsidRPr="00A059A6" w:rsidRDefault="00D14FFF" w:rsidP="00801F8A">
            <w:pPr>
              <w:pStyle w:val="TableText"/>
              <w:ind w:left="425" w:hanging="425"/>
            </w:pPr>
            <w:r>
              <w:t>c.</w:t>
            </w:r>
            <w:r>
              <w:tab/>
            </w:r>
            <w:r w:rsidR="001B316F" w:rsidRPr="00A204EA">
              <w:t>Agree a core, national set of outcome, quality and activity data for palliative care (across all providers).</w:t>
            </w:r>
          </w:p>
        </w:tc>
      </w:tr>
      <w:tr w:rsidR="009E34D0" w:rsidRPr="002B6029" w:rsidTr="00801F8A">
        <w:trPr>
          <w:cantSplit/>
        </w:trPr>
        <w:tc>
          <w:tcPr>
            <w:tcW w:w="9356" w:type="dxa"/>
            <w:shd w:val="clear" w:color="auto" w:fill="auto"/>
            <w:vAlign w:val="center"/>
          </w:tcPr>
          <w:p w:rsidR="001B316F" w:rsidRPr="002B6029" w:rsidRDefault="00D14FFF" w:rsidP="00801F8A">
            <w:pPr>
              <w:pStyle w:val="TableText"/>
              <w:ind w:left="425" w:hanging="425"/>
            </w:pPr>
            <w:r>
              <w:t>d.</w:t>
            </w:r>
            <w:r>
              <w:tab/>
            </w:r>
            <w:r w:rsidR="001B316F" w:rsidRPr="002B6029">
              <w:t>Include palliative care quality indicators in the system outcomes monitoring framework.</w:t>
            </w:r>
          </w:p>
        </w:tc>
      </w:tr>
    </w:tbl>
    <w:p w:rsidR="00D14FFF" w:rsidRDefault="00D14FFF" w:rsidP="00D14FFF">
      <w:bookmarkStart w:id="45" w:name="_Toc464970916"/>
    </w:p>
    <w:p w:rsidR="001B316F" w:rsidRDefault="001B316F" w:rsidP="00D14FFF">
      <w:pPr>
        <w:pStyle w:val="Heading2"/>
      </w:pPr>
      <w:bookmarkStart w:id="46" w:name="_Toc477850272"/>
      <w:r>
        <w:t>Priority area: Grow the capability of informal carers in communities</w:t>
      </w:r>
      <w:bookmarkEnd w:id="45"/>
      <w:bookmarkEnd w:id="46"/>
    </w:p>
    <w:p w:rsidR="001B316F" w:rsidRDefault="001B316F" w:rsidP="00D14FFF">
      <w:r>
        <w:t xml:space="preserve">The system has the scope to better support and recognise the importance of informal carers. </w:t>
      </w:r>
      <w:r w:rsidRPr="00EF781A">
        <w:t>Chan</w:t>
      </w:r>
      <w:r>
        <w:t xml:space="preserve">ges to wider social policies </w:t>
      </w:r>
      <w:r w:rsidRPr="00EF781A">
        <w:t xml:space="preserve">directly </w:t>
      </w:r>
      <w:r>
        <w:t xml:space="preserve">affect </w:t>
      </w:r>
      <w:r w:rsidRPr="00EF781A">
        <w:t xml:space="preserve">the </w:t>
      </w:r>
      <w:r>
        <w:t xml:space="preserve">availability of this group. For example, </w:t>
      </w:r>
      <w:r w:rsidRPr="00EF781A">
        <w:t xml:space="preserve">people </w:t>
      </w:r>
      <w:r>
        <w:t xml:space="preserve">aged in their 60s </w:t>
      </w:r>
      <w:r w:rsidRPr="00EF781A">
        <w:t>are potential caregivers for parents in the</w:t>
      </w:r>
      <w:r>
        <w:t>ir 80s and 90s, and superannuation policies affect their ability to take on this role. Supporting employed carers could be strengthened through flexible working hours, leave provisions or job security provisions that apply while they are caring for a family member.</w:t>
      </w:r>
    </w:p>
    <w:p w:rsidR="00D14FFF" w:rsidRDefault="00D14FFF" w:rsidP="00D14FFF"/>
    <w:tbl>
      <w:tblPr>
        <w:tblW w:w="9356" w:type="dxa"/>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356"/>
      </w:tblGrid>
      <w:tr w:rsidR="009E34D0" w:rsidRPr="00801F8A" w:rsidTr="00801F8A">
        <w:trPr>
          <w:cantSplit/>
        </w:trPr>
        <w:tc>
          <w:tcPr>
            <w:tcW w:w="9356" w:type="dxa"/>
            <w:tcBorders>
              <w:top w:val="single" w:sz="4" w:space="0" w:color="auto"/>
              <w:bottom w:val="single" w:sz="4" w:space="0" w:color="auto"/>
            </w:tcBorders>
            <w:shd w:val="clear" w:color="auto" w:fill="auto"/>
            <w:vAlign w:val="center"/>
          </w:tcPr>
          <w:p w:rsidR="00D14FFF" w:rsidRPr="00801F8A" w:rsidRDefault="00D14FFF" w:rsidP="00801F8A">
            <w:pPr>
              <w:pStyle w:val="TableText"/>
              <w:rPr>
                <w:b/>
              </w:rPr>
            </w:pPr>
            <w:r w:rsidRPr="00801F8A">
              <w:rPr>
                <w:b/>
              </w:rPr>
              <w:t>Actions: Grow the capability of informal carers in communities</w:t>
            </w:r>
          </w:p>
        </w:tc>
      </w:tr>
      <w:tr w:rsidR="009E34D0" w:rsidRPr="002B6029" w:rsidTr="00801F8A">
        <w:trPr>
          <w:cantSplit/>
        </w:trPr>
        <w:tc>
          <w:tcPr>
            <w:tcW w:w="9356" w:type="dxa"/>
            <w:tcBorders>
              <w:top w:val="single" w:sz="4" w:space="0" w:color="auto"/>
            </w:tcBorders>
            <w:shd w:val="clear" w:color="auto" w:fill="auto"/>
            <w:vAlign w:val="center"/>
          </w:tcPr>
          <w:p w:rsidR="00D14FFF" w:rsidRPr="002B6029" w:rsidRDefault="00D14FFF" w:rsidP="00801F8A">
            <w:pPr>
              <w:pStyle w:val="TableText"/>
              <w:ind w:left="425" w:hanging="425"/>
            </w:pPr>
            <w:r>
              <w:t>a.</w:t>
            </w:r>
            <w:r>
              <w:tab/>
            </w:r>
            <w:r w:rsidRPr="00A059A6">
              <w:t xml:space="preserve">Improve support for informal carers, including </w:t>
            </w:r>
            <w:r>
              <w:t xml:space="preserve">the provision of </w:t>
            </w:r>
            <w:r w:rsidRPr="00A059A6">
              <w:t xml:space="preserve">respite, guidance and information, and training, in </w:t>
            </w:r>
            <w:r>
              <w:t>line</w:t>
            </w:r>
            <w:r w:rsidRPr="00A059A6">
              <w:t xml:space="preserve"> with the Government</w:t>
            </w:r>
            <w:r>
              <w:t>’</w:t>
            </w:r>
            <w:r w:rsidRPr="00A059A6">
              <w:t>s Carers Strategy</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b.</w:t>
            </w:r>
            <w:r>
              <w:tab/>
            </w:r>
            <w:r w:rsidRPr="00A059A6">
              <w:t>Advance the potential of new technologies to both support people in their homes and enable easy access to specialised support and advice</w:t>
            </w:r>
            <w:r>
              <w:t xml:space="preserve">; </w:t>
            </w:r>
            <w:r w:rsidRPr="00A059A6">
              <w:t>for example</w:t>
            </w:r>
            <w:r>
              <w:t xml:space="preserve">, </w:t>
            </w:r>
            <w:r w:rsidRPr="00A059A6">
              <w:t>telecare, e-monitoring, and assistive home technology.</w:t>
            </w:r>
          </w:p>
        </w:tc>
      </w:tr>
      <w:tr w:rsidR="00D14FFF" w:rsidRPr="00A059A6" w:rsidTr="00801F8A">
        <w:trPr>
          <w:cantSplit/>
        </w:trPr>
        <w:tc>
          <w:tcPr>
            <w:tcW w:w="9356" w:type="dxa"/>
            <w:shd w:val="clear" w:color="auto" w:fill="auto"/>
            <w:vAlign w:val="center"/>
          </w:tcPr>
          <w:p w:rsidR="00D14FFF" w:rsidRPr="002B6029" w:rsidRDefault="00D14FFF" w:rsidP="00801F8A">
            <w:pPr>
              <w:pStyle w:val="TableText"/>
              <w:ind w:left="425" w:hanging="425"/>
            </w:pPr>
            <w:r>
              <w:t>c.</w:t>
            </w:r>
            <w:r>
              <w:tab/>
            </w:r>
            <w:r w:rsidRPr="00A059A6">
              <w:t xml:space="preserve">Work across </w:t>
            </w:r>
            <w:r>
              <w:t>g</w:t>
            </w:r>
            <w:r w:rsidRPr="00A059A6">
              <w:t>overnment to consider financial and work</w:t>
            </w:r>
            <w:r>
              <w:t>-</w:t>
            </w:r>
            <w:r w:rsidRPr="00A059A6">
              <w:t>related barriers to informal care</w:t>
            </w:r>
            <w:r>
              <w:t xml:space="preserve">; </w:t>
            </w:r>
            <w:r w:rsidRPr="00A059A6">
              <w:t xml:space="preserve">for example, helping people to </w:t>
            </w:r>
            <w:r>
              <w:t>remain</w:t>
            </w:r>
            <w:r w:rsidRPr="00A059A6">
              <w:t xml:space="preserve"> employ</w:t>
            </w:r>
            <w:r>
              <w:t>ed</w:t>
            </w:r>
            <w:r w:rsidRPr="00A059A6">
              <w:t xml:space="preserve"> while caregiving.</w:t>
            </w:r>
          </w:p>
        </w:tc>
      </w:tr>
    </w:tbl>
    <w:p w:rsidR="00D14FFF" w:rsidRPr="0069273D" w:rsidRDefault="00D14FFF" w:rsidP="00D14FFF"/>
    <w:p w:rsidR="001B316F" w:rsidRDefault="001B316F" w:rsidP="00D14FFF">
      <w:pPr>
        <w:pStyle w:val="Heading2"/>
      </w:pPr>
      <w:bookmarkStart w:id="47" w:name="_Toc464970917"/>
      <w:bookmarkStart w:id="48" w:name="_Toc477850273"/>
      <w:r>
        <w:t xml:space="preserve">Priority area: Respond to the voices of people with palliative care needs and their families and </w:t>
      </w:r>
      <w:r w:rsidRPr="00D530BD">
        <w:t>whānau</w:t>
      </w:r>
      <w:bookmarkEnd w:id="47"/>
      <w:bookmarkEnd w:id="48"/>
    </w:p>
    <w:p w:rsidR="001B316F" w:rsidRDefault="001B316F" w:rsidP="00D14FFF">
      <w:r w:rsidRPr="00227B53">
        <w:t xml:space="preserve">Information on the patient experience is an invaluable tool for identifying where care improvement is necessary, and for ensuring palliative care is person-centred. Research suggests it could be helpful to adapt the United Kingdom Views of Informal Carers – Evaluation of Services (VOICES) survey to the New Zealand </w:t>
      </w:r>
      <w:r w:rsidRPr="001328A2">
        <w:t>context (</w:t>
      </w:r>
      <w:r w:rsidRPr="00836720">
        <w:t>Frey et al 2016)</w:t>
      </w:r>
      <w:r w:rsidRPr="001328A2">
        <w:t>. This</w:t>
      </w:r>
      <w:r w:rsidRPr="00227B53">
        <w:t xml:space="preserve"> survey collects bereaved people</w:t>
      </w:r>
      <w:r>
        <w:t>’</w:t>
      </w:r>
      <w:r w:rsidRPr="00227B53">
        <w:t>s views on the quality of care provided in the last three months of life. Auckland District Health Board and the South Island Alliance are piloting an adapted VOICES survey. This presents an opportunity to further explore the value and feasibility of having a national survey of bereaved people</w:t>
      </w:r>
      <w:r>
        <w:t>’</w:t>
      </w:r>
      <w:r w:rsidRPr="00227B53">
        <w:t>s experiences of care and services.</w:t>
      </w:r>
    </w:p>
    <w:p w:rsidR="00D14FFF" w:rsidRDefault="00D14FFF" w:rsidP="00D14FFF"/>
    <w:tbl>
      <w:tblPr>
        <w:tblW w:w="9356" w:type="dxa"/>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356"/>
      </w:tblGrid>
      <w:tr w:rsidR="009E34D0" w:rsidRPr="00801F8A" w:rsidTr="00801F8A">
        <w:trPr>
          <w:cantSplit/>
        </w:trPr>
        <w:tc>
          <w:tcPr>
            <w:tcW w:w="9356" w:type="dxa"/>
            <w:tcBorders>
              <w:top w:val="single" w:sz="4" w:space="0" w:color="auto"/>
              <w:bottom w:val="single" w:sz="4" w:space="0" w:color="auto"/>
            </w:tcBorders>
            <w:shd w:val="clear" w:color="auto" w:fill="auto"/>
            <w:vAlign w:val="center"/>
          </w:tcPr>
          <w:p w:rsidR="00D14FFF" w:rsidRPr="00801F8A" w:rsidRDefault="00D14FFF" w:rsidP="00801F8A">
            <w:pPr>
              <w:pStyle w:val="TableText"/>
              <w:rPr>
                <w:b/>
              </w:rPr>
            </w:pPr>
            <w:r w:rsidRPr="00801F8A">
              <w:rPr>
                <w:b/>
              </w:rPr>
              <w:t>Actions: Respond to the voices of people with palliative care needs and their families and whānau</w:t>
            </w:r>
          </w:p>
        </w:tc>
      </w:tr>
      <w:tr w:rsidR="009E34D0" w:rsidRPr="002B6029" w:rsidTr="00801F8A">
        <w:trPr>
          <w:cantSplit/>
        </w:trPr>
        <w:tc>
          <w:tcPr>
            <w:tcW w:w="9356" w:type="dxa"/>
            <w:tcBorders>
              <w:top w:val="single" w:sz="4" w:space="0" w:color="auto"/>
            </w:tcBorders>
            <w:shd w:val="clear" w:color="auto" w:fill="auto"/>
            <w:vAlign w:val="center"/>
          </w:tcPr>
          <w:p w:rsidR="00D14FFF" w:rsidRPr="002B6029" w:rsidRDefault="00D14FFF" w:rsidP="00801F8A">
            <w:pPr>
              <w:pStyle w:val="TableText"/>
              <w:ind w:left="425" w:hanging="425"/>
            </w:pPr>
            <w:r>
              <w:t>a.</w:t>
            </w:r>
            <w:r>
              <w:tab/>
              <w:t>Progress options for a national survey of patient or family and whānau experiences of end-of-life care.</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b.</w:t>
            </w:r>
            <w:r>
              <w:tab/>
              <w:t>Evaluate the hospice innovation funding proposals to improve the quality of palliative care in aged residential care, primary care and community settings.</w:t>
            </w:r>
          </w:p>
        </w:tc>
      </w:tr>
    </w:tbl>
    <w:p w:rsidR="00D14FFF" w:rsidRDefault="00D14FFF" w:rsidP="00D14FFF"/>
    <w:p w:rsidR="001B316F" w:rsidRDefault="001B316F" w:rsidP="00D14FFF">
      <w:pPr>
        <w:pStyle w:val="Heading2"/>
      </w:pPr>
      <w:bookmarkStart w:id="49" w:name="_Toc464970918"/>
      <w:bookmarkStart w:id="50" w:name="_Toc477850274"/>
      <w:r>
        <w:lastRenderedPageBreak/>
        <w:t>Priority area: Ensure strong strategic connections</w:t>
      </w:r>
      <w:bookmarkEnd w:id="49"/>
      <w:bookmarkEnd w:id="50"/>
    </w:p>
    <w:p w:rsidR="001B316F" w:rsidRDefault="001B316F" w:rsidP="00D14FFF">
      <w:r w:rsidRPr="006F0FE2">
        <w:t>The</w:t>
      </w:r>
      <w:r>
        <w:t xml:space="preserve"> </w:t>
      </w:r>
      <w:r w:rsidRPr="006F0FE2">
        <w:t xml:space="preserve">priority areas </w:t>
      </w:r>
      <w:r>
        <w:t xml:space="preserve">identified </w:t>
      </w:r>
      <w:r w:rsidRPr="006F0FE2">
        <w:t xml:space="preserve">for palliative care </w:t>
      </w:r>
      <w:r>
        <w:t xml:space="preserve">in this Review have </w:t>
      </w:r>
      <w:r w:rsidRPr="006F0FE2">
        <w:t xml:space="preserve">considerable </w:t>
      </w:r>
      <w:r>
        <w:t>synergy</w:t>
      </w:r>
      <w:r w:rsidRPr="006F0FE2">
        <w:t xml:space="preserve"> </w:t>
      </w:r>
      <w:r>
        <w:t>with the following a</w:t>
      </w:r>
      <w:r w:rsidRPr="006F0FE2">
        <w:t xml:space="preserve">ctions identified in the </w:t>
      </w:r>
      <w:r>
        <w:t>R</w:t>
      </w:r>
      <w:r w:rsidRPr="006F0FE2">
        <w:t>oadmap</w:t>
      </w:r>
      <w:r w:rsidR="00D14FFF">
        <w:t xml:space="preserve"> of actions 2016.</w:t>
      </w:r>
    </w:p>
    <w:p w:rsidR="00D14FFF" w:rsidRDefault="00D14FFF" w:rsidP="00D14FFF"/>
    <w:tbl>
      <w:tblPr>
        <w:tblW w:w="9356" w:type="dxa"/>
        <w:tblInd w:w="57" w:type="dxa"/>
        <w:tblBorders>
          <w:top w:val="single" w:sz="4" w:space="0" w:color="auto"/>
          <w:bottom w:val="single" w:sz="4" w:space="0" w:color="auto"/>
          <w:insideH w:val="single" w:sz="4" w:space="0" w:color="A6A6A6"/>
        </w:tblBorders>
        <w:tblLayout w:type="fixed"/>
        <w:tblCellMar>
          <w:left w:w="57" w:type="dxa"/>
          <w:right w:w="57" w:type="dxa"/>
        </w:tblCellMar>
        <w:tblLook w:val="04A0" w:firstRow="1" w:lastRow="0" w:firstColumn="1" w:lastColumn="0" w:noHBand="0" w:noVBand="1"/>
      </w:tblPr>
      <w:tblGrid>
        <w:gridCol w:w="9356"/>
      </w:tblGrid>
      <w:tr w:rsidR="009E34D0" w:rsidRPr="00801F8A" w:rsidTr="00801F8A">
        <w:trPr>
          <w:cantSplit/>
        </w:trPr>
        <w:tc>
          <w:tcPr>
            <w:tcW w:w="9356" w:type="dxa"/>
            <w:tcBorders>
              <w:top w:val="single" w:sz="4" w:space="0" w:color="auto"/>
              <w:bottom w:val="single" w:sz="4" w:space="0" w:color="auto"/>
            </w:tcBorders>
            <w:shd w:val="clear" w:color="auto" w:fill="auto"/>
            <w:vAlign w:val="center"/>
          </w:tcPr>
          <w:p w:rsidR="00D14FFF" w:rsidRPr="007E4613" w:rsidRDefault="00D14FFF" w:rsidP="00801F8A">
            <w:pPr>
              <w:pStyle w:val="TableText"/>
            </w:pPr>
            <w:r w:rsidRPr="00801F8A">
              <w:rPr>
                <w:b/>
              </w:rPr>
              <w:t>Actions: Ensure strong strategic connections</w:t>
            </w:r>
            <w:r w:rsidRPr="00801F8A">
              <w:rPr>
                <w:b/>
              </w:rPr>
              <w:br/>
            </w:r>
            <w:r w:rsidRPr="007E4613">
              <w:t xml:space="preserve">(actions under the New Zealand Health Strategy: Roadmap of actions 2016) </w:t>
            </w:r>
          </w:p>
        </w:tc>
      </w:tr>
      <w:tr w:rsidR="009E34D0" w:rsidRPr="002B6029" w:rsidTr="00801F8A">
        <w:trPr>
          <w:cantSplit/>
        </w:trPr>
        <w:tc>
          <w:tcPr>
            <w:tcW w:w="9356" w:type="dxa"/>
            <w:tcBorders>
              <w:top w:val="single" w:sz="4" w:space="0" w:color="auto"/>
            </w:tcBorders>
            <w:shd w:val="clear" w:color="auto" w:fill="auto"/>
            <w:vAlign w:val="center"/>
          </w:tcPr>
          <w:p w:rsidR="00D14FFF" w:rsidRPr="002B6029" w:rsidRDefault="00D14FFF" w:rsidP="00801F8A">
            <w:pPr>
              <w:pStyle w:val="TableText"/>
              <w:ind w:left="425" w:hanging="425"/>
            </w:pPr>
            <w:r>
              <w:t>a.</w:t>
            </w:r>
            <w:r>
              <w:tab/>
            </w:r>
            <w:r w:rsidRPr="002B6029">
              <w:t>Workforce development for carer, kaiāwhina and support workforce</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b.</w:t>
            </w:r>
            <w:r>
              <w:tab/>
            </w:r>
            <w:r w:rsidRPr="002B6029">
              <w:t>Shared electronic patient health record as well as patient portals</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c.</w:t>
            </w:r>
            <w:r>
              <w:tab/>
            </w:r>
            <w:r w:rsidRPr="002B6029">
              <w:t>Better use of the skills and expertise of the allied health workforce</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d.</w:t>
            </w:r>
            <w:r>
              <w:tab/>
            </w:r>
            <w:r w:rsidRPr="002B6029">
              <w:t>Increasing workforce diversity</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e.</w:t>
            </w:r>
            <w:r>
              <w:tab/>
            </w:r>
            <w:r w:rsidRPr="002B6029">
              <w:t>Review, together with services users, quality dimensions for aged residential care and home support</w:t>
            </w:r>
            <w:r>
              <w:t>.</w:t>
            </w:r>
          </w:p>
        </w:tc>
      </w:tr>
      <w:tr w:rsidR="00D14FFF" w:rsidRPr="002B6029" w:rsidTr="00801F8A">
        <w:trPr>
          <w:cantSplit/>
        </w:trPr>
        <w:tc>
          <w:tcPr>
            <w:tcW w:w="9356" w:type="dxa"/>
            <w:shd w:val="clear" w:color="auto" w:fill="auto"/>
            <w:vAlign w:val="center"/>
          </w:tcPr>
          <w:p w:rsidR="00D14FFF" w:rsidRPr="002B6029" w:rsidRDefault="00D14FFF" w:rsidP="00801F8A">
            <w:pPr>
              <w:pStyle w:val="TableText"/>
              <w:ind w:left="425" w:hanging="425"/>
            </w:pPr>
            <w:r>
              <w:t>f.</w:t>
            </w:r>
            <w:r>
              <w:tab/>
            </w:r>
            <w:r w:rsidRPr="002B6029">
              <w:t>Support clinicians and people in developing advance care plans and advance directives</w:t>
            </w:r>
            <w:r>
              <w:t>.</w:t>
            </w:r>
          </w:p>
        </w:tc>
      </w:tr>
    </w:tbl>
    <w:p w:rsidR="00D14FFF" w:rsidRDefault="00D14FFF" w:rsidP="00D14FFF"/>
    <w:p w:rsidR="001B316F" w:rsidRDefault="001B316F" w:rsidP="000A2FB6">
      <w:pPr>
        <w:pStyle w:val="Heading1"/>
      </w:pPr>
      <w:bookmarkStart w:id="51" w:name="_Toc464970920"/>
      <w:bookmarkStart w:id="52" w:name="_Toc477850275"/>
      <w:r>
        <w:lastRenderedPageBreak/>
        <w:t>References</w:t>
      </w:r>
      <w:bookmarkEnd w:id="51"/>
      <w:bookmarkEnd w:id="52"/>
    </w:p>
    <w:p w:rsidR="001B316F" w:rsidRPr="000A2FB6" w:rsidRDefault="001B316F" w:rsidP="000A2FB6">
      <w:pPr>
        <w:pStyle w:val="References"/>
      </w:pPr>
      <w:r>
        <w:t xml:space="preserve">Frey R, Williams L, Trussardi G, </w:t>
      </w:r>
      <w:r w:rsidR="000A2FB6">
        <w:t xml:space="preserve">et al. </w:t>
      </w:r>
      <w:r>
        <w:t xml:space="preserve">2016. </w:t>
      </w:r>
      <w:r w:rsidRPr="00082762">
        <w:t xml:space="preserve">The </w:t>
      </w:r>
      <w:r w:rsidR="000A2FB6">
        <w:t>v</w:t>
      </w:r>
      <w:r w:rsidRPr="00082762">
        <w:t xml:space="preserve">iews of </w:t>
      </w:r>
      <w:r w:rsidR="000A2FB6">
        <w:t>i</w:t>
      </w:r>
      <w:r w:rsidRPr="00082762">
        <w:t xml:space="preserve">nformal </w:t>
      </w:r>
      <w:r w:rsidR="000A2FB6">
        <w:t>c</w:t>
      </w:r>
      <w:r w:rsidRPr="00082762">
        <w:t>arers</w:t>
      </w:r>
      <w:r w:rsidR="000A2FB6">
        <w:t>’</w:t>
      </w:r>
      <w:r w:rsidRPr="00082762">
        <w:t xml:space="preserve"> </w:t>
      </w:r>
      <w:r w:rsidR="000A2FB6">
        <w:t>e</w:t>
      </w:r>
      <w:r w:rsidRPr="00082762">
        <w:t xml:space="preserve">xperiences of </w:t>
      </w:r>
      <w:r w:rsidR="000A2FB6">
        <w:t>s</w:t>
      </w:r>
      <w:r w:rsidRPr="00082762">
        <w:t xml:space="preserve">ervices (VOICES): </w:t>
      </w:r>
      <w:r w:rsidR="000A2FB6">
        <w:t>t</w:t>
      </w:r>
      <w:r w:rsidRPr="00082762">
        <w:t xml:space="preserve">owards an </w:t>
      </w:r>
      <w:r w:rsidR="000A2FB6" w:rsidRPr="00082762">
        <w:t>a</w:t>
      </w:r>
      <w:r w:rsidRPr="00082762">
        <w:t xml:space="preserve">daptation for the New Zealand </w:t>
      </w:r>
      <w:r w:rsidR="000A2FB6" w:rsidRPr="00082762">
        <w:t>b</w:t>
      </w:r>
      <w:r w:rsidRPr="00082762">
        <w:t xml:space="preserve">icultural </w:t>
      </w:r>
      <w:r w:rsidR="000A2FB6" w:rsidRPr="00082762">
        <w:t>c</w:t>
      </w:r>
      <w:r w:rsidRPr="00082762">
        <w:t xml:space="preserve">ontext. </w:t>
      </w:r>
      <w:r w:rsidRPr="00082762">
        <w:rPr>
          <w:i/>
        </w:rPr>
        <w:t>BMJ Supportive and Palliative Care</w:t>
      </w:r>
      <w:r w:rsidRPr="000A2FB6">
        <w:t>.</w:t>
      </w:r>
    </w:p>
    <w:p w:rsidR="001B316F" w:rsidRDefault="001B316F" w:rsidP="000A2FB6">
      <w:pPr>
        <w:pStyle w:val="References"/>
      </w:pPr>
      <w:r>
        <w:t xml:space="preserve">Hospice New Zealand. 2012. </w:t>
      </w:r>
      <w:r w:rsidRPr="001328A2">
        <w:rPr>
          <w:i/>
        </w:rPr>
        <w:t xml:space="preserve">Hospice New Zealand Standards for Palliative Care. </w:t>
      </w:r>
      <w:r>
        <w:t>Wellington: Hospice New Zealand.</w:t>
      </w:r>
    </w:p>
    <w:p w:rsidR="001B316F" w:rsidRDefault="001B316F" w:rsidP="000A2FB6">
      <w:pPr>
        <w:pStyle w:val="References"/>
      </w:pPr>
      <w:r>
        <w:t xml:space="preserve">Hospice New Zealand. 2015. </w:t>
      </w:r>
      <w:r>
        <w:rPr>
          <w:i/>
        </w:rPr>
        <w:t xml:space="preserve">Hospice New Zealand 2015 Annual Review. </w:t>
      </w:r>
      <w:r>
        <w:t>Wellington: Hospice New Zealand</w:t>
      </w:r>
      <w:r w:rsidR="000A2FB6">
        <w:t>.</w:t>
      </w:r>
    </w:p>
    <w:p w:rsidR="001B316F" w:rsidRDefault="001B316F" w:rsidP="000A2FB6">
      <w:pPr>
        <w:pStyle w:val="References"/>
      </w:pPr>
      <w:r w:rsidRPr="00294CE9">
        <w:t>Keane</w:t>
      </w:r>
      <w:r>
        <w:t xml:space="preserve"> B, Bellamy G, Gott M. </w:t>
      </w:r>
      <w:r w:rsidRPr="00294CE9">
        <w:t>2015</w:t>
      </w:r>
      <w:r>
        <w:t xml:space="preserve">. </w:t>
      </w:r>
      <w:r w:rsidRPr="00082762">
        <w:t>General practice and specialist palliative care teams: an exploration of their working relationship from the perspective of clinical staff working in New Zealand.</w:t>
      </w:r>
      <w:r>
        <w:t xml:space="preserve"> </w:t>
      </w:r>
      <w:r w:rsidRPr="00082762">
        <w:rPr>
          <w:i/>
          <w:lang w:val="en"/>
        </w:rPr>
        <w:t>Health Soc Care Community</w:t>
      </w:r>
      <w:r>
        <w:rPr>
          <w:lang w:val="en"/>
        </w:rPr>
        <w:t xml:space="preserve"> doi:10.1111/hsc.12296.</w:t>
      </w:r>
    </w:p>
    <w:p w:rsidR="001B316F" w:rsidRDefault="001B316F" w:rsidP="000A2FB6">
      <w:pPr>
        <w:pStyle w:val="References"/>
      </w:pPr>
      <w:r>
        <w:t>Ministry of Health. 2013.</w:t>
      </w:r>
      <w:r w:rsidRPr="00192610">
        <w:t xml:space="preserve"> </w:t>
      </w:r>
      <w:r w:rsidRPr="00D67E47">
        <w:rPr>
          <w:i/>
        </w:rPr>
        <w:t>Resource and Capability Framework for Integrated Adult Palliative Care Services</w:t>
      </w:r>
      <w:r>
        <w:rPr>
          <w:i/>
        </w:rPr>
        <w:t xml:space="preserve"> in New Zealand</w:t>
      </w:r>
      <w:r w:rsidRPr="00D67E47">
        <w:rPr>
          <w:i/>
        </w:rPr>
        <w:t xml:space="preserve">. </w:t>
      </w:r>
      <w:r>
        <w:t>Wellington: Ministry of Health.</w:t>
      </w:r>
    </w:p>
    <w:p w:rsidR="001B316F" w:rsidRPr="000A2FB6" w:rsidRDefault="001B316F" w:rsidP="000A2FB6">
      <w:pPr>
        <w:pStyle w:val="References"/>
      </w:pPr>
      <w:r>
        <w:t xml:space="preserve">Ministry of Health. 2015a. </w:t>
      </w:r>
      <w:r w:rsidRPr="00544A76">
        <w:rPr>
          <w:i/>
        </w:rPr>
        <w:t>New Zealand Palliative Care Glossary</w:t>
      </w:r>
      <w:r w:rsidRPr="00082762">
        <w:t>. Wellington: Ministry of Health.</w:t>
      </w:r>
    </w:p>
    <w:p w:rsidR="001B316F" w:rsidRPr="005E7F2A" w:rsidRDefault="001B316F" w:rsidP="000A2FB6">
      <w:pPr>
        <w:pStyle w:val="References"/>
      </w:pPr>
      <w:r w:rsidRPr="004867AE">
        <w:t>Ministry of Health</w:t>
      </w:r>
      <w:r>
        <w:t>.</w:t>
      </w:r>
      <w:r w:rsidRPr="004867AE">
        <w:t xml:space="preserve"> 2015b</w:t>
      </w:r>
      <w:r>
        <w:t>.</w:t>
      </w:r>
      <w:r w:rsidRPr="004867AE">
        <w:rPr>
          <w:i/>
        </w:rPr>
        <w:t xml:space="preserve"> Te Ara Whakapiri: Principles and guidance for the last days of life</w:t>
      </w:r>
      <w:r>
        <w:t>. Wellington: Ministry of Health.</w:t>
      </w:r>
    </w:p>
    <w:p w:rsidR="001B316F" w:rsidRPr="00CC190E" w:rsidRDefault="001B316F" w:rsidP="000A2FB6">
      <w:pPr>
        <w:pStyle w:val="References"/>
      </w:pPr>
      <w:r w:rsidRPr="003A4DF8">
        <w:t>Palliative Care Council</w:t>
      </w:r>
      <w:r w:rsidRPr="001A0805">
        <w:t xml:space="preserve"> </w:t>
      </w:r>
      <w:r>
        <w:t>of New Zealand.</w:t>
      </w:r>
      <w:r w:rsidRPr="003A4DF8">
        <w:t xml:space="preserve"> 2011</w:t>
      </w:r>
      <w:r>
        <w:t xml:space="preserve">. </w:t>
      </w:r>
      <w:r>
        <w:rPr>
          <w:i/>
        </w:rPr>
        <w:t xml:space="preserve">National Health Needs Assessment for Palliative Care Phase 1 Report: Assessment of </w:t>
      </w:r>
      <w:r w:rsidR="000A2FB6">
        <w:rPr>
          <w:i/>
        </w:rPr>
        <w:t>p</w:t>
      </w:r>
      <w:r>
        <w:rPr>
          <w:i/>
        </w:rPr>
        <w:t xml:space="preserve">alliative </w:t>
      </w:r>
      <w:r w:rsidR="000A2FB6">
        <w:rPr>
          <w:i/>
        </w:rPr>
        <w:t>c</w:t>
      </w:r>
      <w:r>
        <w:rPr>
          <w:i/>
        </w:rPr>
        <w:t xml:space="preserve">are </w:t>
      </w:r>
      <w:r w:rsidR="000A2FB6">
        <w:rPr>
          <w:i/>
        </w:rPr>
        <w:t>n</w:t>
      </w:r>
      <w:r>
        <w:rPr>
          <w:i/>
        </w:rPr>
        <w:t xml:space="preserve">eed. </w:t>
      </w:r>
      <w:r>
        <w:t>Wellington: Cancer Control New Zealand.</w:t>
      </w:r>
    </w:p>
    <w:p w:rsidR="001B316F" w:rsidRDefault="001B316F" w:rsidP="000A2FB6">
      <w:pPr>
        <w:pStyle w:val="References"/>
      </w:pPr>
      <w:r w:rsidRPr="00546B8A">
        <w:t>Palliative Care Council of New Zealand</w:t>
      </w:r>
      <w:r>
        <w:t>.</w:t>
      </w:r>
      <w:r w:rsidRPr="00546B8A">
        <w:t xml:space="preserve"> 2012</w:t>
      </w:r>
      <w:r>
        <w:t xml:space="preserve">. </w:t>
      </w:r>
      <w:r>
        <w:rPr>
          <w:i/>
        </w:rPr>
        <w:t xml:space="preserve">Measuring What Matters: Palliative </w:t>
      </w:r>
      <w:r w:rsidR="000A2FB6">
        <w:rPr>
          <w:i/>
        </w:rPr>
        <w:t>c</w:t>
      </w:r>
      <w:r>
        <w:rPr>
          <w:i/>
        </w:rPr>
        <w:t xml:space="preserve">are. </w:t>
      </w:r>
      <w:r>
        <w:t>Wellington: Cancer Control New Zealand.</w:t>
      </w:r>
    </w:p>
    <w:p w:rsidR="001B316F" w:rsidRDefault="001B316F" w:rsidP="000A2FB6">
      <w:pPr>
        <w:pStyle w:val="References"/>
      </w:pPr>
      <w:r>
        <w:t xml:space="preserve">Palliative Care Council of New Zealand. 2015. </w:t>
      </w:r>
      <w:r w:rsidRPr="00B2341D">
        <w:rPr>
          <w:i/>
        </w:rPr>
        <w:t>Draft Results of a Survey of Family/</w:t>
      </w:r>
      <w:r>
        <w:rPr>
          <w:i/>
        </w:rPr>
        <w:t>W</w:t>
      </w:r>
      <w:r w:rsidRPr="00B2341D">
        <w:rPr>
          <w:i/>
        </w:rPr>
        <w:t>hānau Caring for People in Their Last Days of Life: Working Paper No.9</w:t>
      </w:r>
      <w:r>
        <w:rPr>
          <w:i/>
        </w:rPr>
        <w:t xml:space="preserve">. </w:t>
      </w:r>
      <w:r>
        <w:t>Wellington: Cancer Control New Zealand</w:t>
      </w:r>
      <w:r w:rsidR="000A2FB6">
        <w:t>.</w:t>
      </w:r>
    </w:p>
    <w:p w:rsidR="001B316F" w:rsidRDefault="001B316F" w:rsidP="000A2FB6">
      <w:pPr>
        <w:pStyle w:val="References"/>
      </w:pPr>
      <w:r w:rsidRPr="00D87B7A">
        <w:t>Quill</w:t>
      </w:r>
      <w:r>
        <w:t xml:space="preserve"> T</w:t>
      </w:r>
      <w:r w:rsidR="000A2FB6">
        <w:t>,</w:t>
      </w:r>
      <w:r>
        <w:t xml:space="preserve"> </w:t>
      </w:r>
      <w:r w:rsidRPr="00D87B7A">
        <w:t>Abernethy</w:t>
      </w:r>
      <w:r>
        <w:t xml:space="preserve"> A.</w:t>
      </w:r>
      <w:r w:rsidRPr="00D87B7A">
        <w:t xml:space="preserve"> 2013</w:t>
      </w:r>
      <w:r>
        <w:t xml:space="preserve">. </w:t>
      </w:r>
      <w:r w:rsidRPr="00082762">
        <w:t xml:space="preserve">Generalist plus </w:t>
      </w:r>
      <w:r w:rsidR="000A2FB6">
        <w:t>s</w:t>
      </w:r>
      <w:r w:rsidRPr="00082762">
        <w:t xml:space="preserve">pecialist </w:t>
      </w:r>
      <w:r w:rsidR="000A2FB6">
        <w:t>p</w:t>
      </w:r>
      <w:r w:rsidRPr="00082762">
        <w:t xml:space="preserve">alliative </w:t>
      </w:r>
      <w:r w:rsidR="000A2FB6">
        <w:t>c</w:t>
      </w:r>
      <w:r w:rsidRPr="00082762">
        <w:t xml:space="preserve">are – </w:t>
      </w:r>
      <w:r w:rsidR="000A2FB6">
        <w:t>c</w:t>
      </w:r>
      <w:r w:rsidRPr="00082762">
        <w:t xml:space="preserve">reating a </w:t>
      </w:r>
      <w:r w:rsidR="000A2FB6">
        <w:t>m</w:t>
      </w:r>
      <w:r w:rsidRPr="00082762">
        <w:t xml:space="preserve">ore </w:t>
      </w:r>
      <w:r w:rsidR="000A2FB6">
        <w:t>s</w:t>
      </w:r>
      <w:r w:rsidRPr="00082762">
        <w:t xml:space="preserve">ustainable </w:t>
      </w:r>
      <w:r w:rsidR="000A2FB6">
        <w:t>m</w:t>
      </w:r>
      <w:r w:rsidRPr="00082762">
        <w:t>odel</w:t>
      </w:r>
      <w:r w:rsidR="000A2FB6">
        <w:t>.</w:t>
      </w:r>
      <w:r w:rsidRPr="000A2FB6">
        <w:t xml:space="preserve"> </w:t>
      </w:r>
      <w:r w:rsidRPr="00082762">
        <w:rPr>
          <w:i/>
        </w:rPr>
        <w:t>N Engl J Med</w:t>
      </w:r>
      <w:r>
        <w:t xml:space="preserve"> 368: 1173</w:t>
      </w:r>
      <w:r w:rsidR="000A2FB6">
        <w:t>–</w:t>
      </w:r>
      <w:r>
        <w:t>5.</w:t>
      </w:r>
    </w:p>
    <w:p w:rsidR="001B316F" w:rsidRDefault="001B316F" w:rsidP="000A2FB6"/>
    <w:p w:rsidR="001B316F" w:rsidRPr="00E96910" w:rsidRDefault="001B316F" w:rsidP="000A2FB6">
      <w:pPr>
        <w:pStyle w:val="Heading1"/>
        <w:ind w:left="0" w:firstLine="0"/>
      </w:pPr>
      <w:bookmarkStart w:id="53" w:name="_Toc464970921"/>
      <w:bookmarkStart w:id="54" w:name="_Toc477850276"/>
      <w:r w:rsidRPr="00E96910">
        <w:lastRenderedPageBreak/>
        <w:t xml:space="preserve">Appendix 1: </w:t>
      </w:r>
      <w:r>
        <w:t>R</w:t>
      </w:r>
      <w:r w:rsidRPr="00E96910">
        <w:t>espondents to targeted consultation on draft Review findings</w:t>
      </w:r>
      <w:r>
        <w:t>,</w:t>
      </w:r>
      <w:r w:rsidRPr="00E96910">
        <w:t xml:space="preserve"> July 2016</w:t>
      </w:r>
      <w:bookmarkEnd w:id="53"/>
      <w:bookmarkEnd w:id="54"/>
    </w:p>
    <w:p w:rsidR="001B316F" w:rsidRDefault="001B316F" w:rsidP="000A2FB6">
      <w:pPr>
        <w:spacing w:before="60"/>
      </w:pPr>
      <w:r w:rsidRPr="00142810">
        <w:t>Lakes District Health Board</w:t>
      </w:r>
    </w:p>
    <w:p w:rsidR="001B316F" w:rsidRDefault="001B316F" w:rsidP="000A2FB6">
      <w:pPr>
        <w:spacing w:before="60"/>
      </w:pPr>
      <w:r w:rsidRPr="00142810">
        <w:t>Waikato District Health Board</w:t>
      </w:r>
    </w:p>
    <w:p w:rsidR="001B316F" w:rsidRPr="00142810" w:rsidRDefault="001B316F" w:rsidP="000A2FB6">
      <w:pPr>
        <w:spacing w:before="60"/>
      </w:pPr>
      <w:r w:rsidRPr="00142810">
        <w:t>Northland District Health Board</w:t>
      </w:r>
    </w:p>
    <w:p w:rsidR="001B316F" w:rsidRPr="00142810" w:rsidRDefault="001B316F" w:rsidP="000A2FB6">
      <w:pPr>
        <w:spacing w:before="60"/>
      </w:pPr>
      <w:r w:rsidRPr="00142810">
        <w:t>Taranaki District Health Board</w:t>
      </w:r>
    </w:p>
    <w:p w:rsidR="001B316F" w:rsidRPr="00142810" w:rsidRDefault="001B316F" w:rsidP="000A2FB6">
      <w:pPr>
        <w:spacing w:before="60"/>
      </w:pPr>
      <w:r w:rsidRPr="00142810">
        <w:t>Counties Manukau District Health Board</w:t>
      </w:r>
    </w:p>
    <w:p w:rsidR="001B316F" w:rsidRDefault="001B316F" w:rsidP="000A2FB6">
      <w:pPr>
        <w:spacing w:before="60"/>
      </w:pPr>
      <w:r w:rsidRPr="00142810">
        <w:t>Waikato Hospital Palliative Care Service</w:t>
      </w:r>
    </w:p>
    <w:p w:rsidR="001B316F" w:rsidRDefault="001B316F" w:rsidP="000A2FB6">
      <w:pPr>
        <w:spacing w:before="60"/>
      </w:pPr>
      <w:r w:rsidRPr="00142810">
        <w:t>Christchurch Hospital, Canterbury Integrated Palliative Care Services</w:t>
      </w:r>
    </w:p>
    <w:p w:rsidR="001B316F" w:rsidRDefault="001B316F" w:rsidP="000A2FB6">
      <w:pPr>
        <w:spacing w:before="60"/>
      </w:pPr>
      <w:r w:rsidRPr="00142810">
        <w:t>Hospital Palliative Care N</w:t>
      </w:r>
      <w:r>
        <w:t xml:space="preserve">ew </w:t>
      </w:r>
      <w:r w:rsidRPr="00142810">
        <w:t>Z</w:t>
      </w:r>
      <w:r>
        <w:t>ealand</w:t>
      </w:r>
    </w:p>
    <w:p w:rsidR="001B316F" w:rsidRDefault="001B316F" w:rsidP="000A2FB6">
      <w:pPr>
        <w:spacing w:before="60"/>
      </w:pPr>
      <w:r w:rsidRPr="00142810">
        <w:t>Midland Palliative Care Work Group, Midland, Waikato and Lakes</w:t>
      </w:r>
    </w:p>
    <w:p w:rsidR="001B316F" w:rsidRDefault="001B316F" w:rsidP="000A2FB6">
      <w:pPr>
        <w:spacing w:before="60"/>
      </w:pPr>
      <w:r w:rsidRPr="00142810">
        <w:t>Home and Community Health Association</w:t>
      </w:r>
    </w:p>
    <w:p w:rsidR="001B316F" w:rsidRDefault="001B316F" w:rsidP="000A2FB6">
      <w:pPr>
        <w:spacing w:before="60"/>
      </w:pPr>
      <w:r w:rsidRPr="00142810">
        <w:t>Care Association New Zealand</w:t>
      </w:r>
    </w:p>
    <w:p w:rsidR="001B316F" w:rsidRDefault="001B316F" w:rsidP="000A2FB6">
      <w:pPr>
        <w:spacing w:before="60"/>
      </w:pPr>
      <w:r w:rsidRPr="00142810">
        <w:t>University of Auckland</w:t>
      </w:r>
    </w:p>
    <w:p w:rsidR="001B316F" w:rsidRPr="00142810" w:rsidRDefault="001B316F" w:rsidP="000A2FB6">
      <w:pPr>
        <w:spacing w:before="60"/>
      </w:pPr>
      <w:r w:rsidRPr="00142810">
        <w:t>New Zealand Aged Care Association</w:t>
      </w:r>
    </w:p>
    <w:p w:rsidR="001B316F" w:rsidRDefault="001B316F" w:rsidP="000A2FB6">
      <w:pPr>
        <w:spacing w:before="60"/>
      </w:pPr>
      <w:r w:rsidRPr="00142810">
        <w:t>Hospice New Zealand</w:t>
      </w:r>
    </w:p>
    <w:p w:rsidR="001B316F" w:rsidRPr="00142810" w:rsidRDefault="001B316F" w:rsidP="000A2FB6">
      <w:pPr>
        <w:spacing w:before="60"/>
      </w:pPr>
      <w:r w:rsidRPr="00142810">
        <w:t>Totara Hospice</w:t>
      </w:r>
    </w:p>
    <w:p w:rsidR="001B316F" w:rsidRPr="00142810" w:rsidRDefault="001B316F" w:rsidP="000A2FB6">
      <w:pPr>
        <w:spacing w:before="60"/>
      </w:pPr>
      <w:r w:rsidRPr="00142810">
        <w:t>Mercy Hospice Auckland</w:t>
      </w:r>
    </w:p>
    <w:p w:rsidR="001B316F" w:rsidRPr="00142810" w:rsidRDefault="001B316F" w:rsidP="000A2FB6">
      <w:pPr>
        <w:spacing w:before="60"/>
      </w:pPr>
      <w:r w:rsidRPr="00142810">
        <w:t>Te Awakairangi Health Network</w:t>
      </w:r>
    </w:p>
    <w:p w:rsidR="001B316F" w:rsidRPr="00142810" w:rsidRDefault="001B316F" w:rsidP="000A2FB6">
      <w:pPr>
        <w:spacing w:before="60"/>
      </w:pPr>
      <w:r w:rsidRPr="00142810">
        <w:t>TAS</w:t>
      </w:r>
    </w:p>
    <w:p w:rsidR="001B316F" w:rsidRDefault="001B316F" w:rsidP="000A2FB6">
      <w:pPr>
        <w:spacing w:before="60"/>
      </w:pPr>
      <w:r w:rsidRPr="00142810">
        <w:t>Compass Health</w:t>
      </w:r>
      <w:r>
        <w:t xml:space="preserve"> Primary Health Organisation</w:t>
      </w:r>
    </w:p>
    <w:p w:rsidR="001B316F" w:rsidRDefault="001B316F" w:rsidP="000A2FB6">
      <w:pPr>
        <w:spacing w:before="60"/>
      </w:pPr>
      <w:r w:rsidRPr="00142810">
        <w:t>G</w:t>
      </w:r>
      <w:r>
        <w:t xml:space="preserve">eneral </w:t>
      </w:r>
      <w:r w:rsidRPr="00142810">
        <w:t>P</w:t>
      </w:r>
      <w:r>
        <w:t>ractice New Zealand</w:t>
      </w:r>
    </w:p>
    <w:p w:rsidR="00032C0A" w:rsidRPr="00032C0A" w:rsidRDefault="00032C0A" w:rsidP="001B316F"/>
    <w:sectPr w:rsidR="00032C0A" w:rsidRPr="00032C0A"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45" w:rsidRDefault="00350445">
      <w:pPr>
        <w:spacing w:line="240" w:lineRule="auto"/>
      </w:pPr>
      <w:r>
        <w:separator/>
      </w:r>
    </w:p>
    <w:p w:rsidR="00350445" w:rsidRDefault="00350445"/>
  </w:endnote>
  <w:endnote w:type="continuationSeparator" w:id="0">
    <w:p w:rsidR="00350445" w:rsidRDefault="00350445">
      <w:pPr>
        <w:spacing w:line="240" w:lineRule="auto"/>
      </w:pPr>
      <w:r>
        <w:continuationSeparator/>
      </w:r>
    </w:p>
    <w:p w:rsidR="00350445" w:rsidRDefault="0035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581136" w:rsidRDefault="009216CC" w:rsidP="00F9366A">
    <w:pPr>
      <w:pStyle w:val="Footer"/>
      <w:pBdr>
        <w:bottom w:val="single" w:sz="4" w:space="1" w:color="auto"/>
      </w:pBdr>
      <w:tabs>
        <w:tab w:val="right" w:pos="8504"/>
      </w:tabs>
      <w:ind w:left="-1559"/>
      <w:rPr>
        <w:b/>
      </w:rPr>
    </w:pPr>
    <w:r w:rsidRPr="00581136">
      <w:rPr>
        <w:b/>
      </w:rPr>
      <w:t>Released 201</w:t>
    </w:r>
    <w:r w:rsidR="00782E74">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D0F53">
      <w:rPr>
        <w:rStyle w:val="PageNumber"/>
        <w:noProof/>
      </w:rPr>
      <w:t>16</w:t>
    </w:r>
    <w:r w:rsidRPr="00FC46E7">
      <w:rPr>
        <w:rStyle w:val="PageNumber"/>
      </w:rPr>
      <w:fldChar w:fldCharType="end"/>
    </w:r>
    <w:r>
      <w:tab/>
    </w:r>
    <w:r w:rsidR="001B316F">
      <w:t>Review of Adult Palliative Care Services in New Zealand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2" w:rsidRDefault="005621F2" w:rsidP="00533B90">
    <w:pPr>
      <w:pStyle w:val="RectoFooter"/>
    </w:pPr>
    <w:r>
      <w:tab/>
    </w:r>
    <w:r w:rsidR="001B316F">
      <w:t>Review of Adult Palliative Care Services in New Zealand</w:t>
    </w:r>
    <w:r>
      <w:tab/>
    </w:r>
    <w:r>
      <w:rPr>
        <w:rStyle w:val="PageNumber"/>
      </w:rPr>
      <w:fldChar w:fldCharType="begin"/>
    </w:r>
    <w:r>
      <w:rPr>
        <w:rStyle w:val="PageNumber"/>
      </w:rPr>
      <w:instrText xml:space="preserve"> PAGE </w:instrText>
    </w:r>
    <w:r>
      <w:rPr>
        <w:rStyle w:val="PageNumber"/>
      </w:rPr>
      <w:fldChar w:fldCharType="separate"/>
    </w:r>
    <w:r w:rsidR="001D0F53">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5621F2" w:rsidP="009E3C8C">
    <w:pPr>
      <w:pStyle w:val="RectoFooter"/>
    </w:pPr>
    <w:r>
      <w:tab/>
    </w:r>
    <w:r w:rsidR="001B316F">
      <w:t>Review of Adult Palliative Care Services in New Zealand</w:t>
    </w:r>
    <w:r>
      <w:tab/>
    </w:r>
    <w:r>
      <w:rPr>
        <w:rStyle w:val="PageNumber"/>
      </w:rPr>
      <w:fldChar w:fldCharType="begin"/>
    </w:r>
    <w:r>
      <w:rPr>
        <w:rStyle w:val="PageNumber"/>
      </w:rPr>
      <w:instrText xml:space="preserve"> PAGE </w:instrText>
    </w:r>
    <w:r>
      <w:rPr>
        <w:rStyle w:val="PageNumber"/>
      </w:rPr>
      <w:fldChar w:fldCharType="separate"/>
    </w:r>
    <w:r w:rsidR="001D0F53">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45" w:rsidRPr="00A26E6B" w:rsidRDefault="00350445" w:rsidP="00A26E6B"/>
  </w:footnote>
  <w:footnote w:type="continuationSeparator" w:id="0">
    <w:p w:rsidR="00350445" w:rsidRDefault="00350445">
      <w:pPr>
        <w:spacing w:line="240" w:lineRule="auto"/>
      </w:pPr>
      <w:r>
        <w:continuationSeparator/>
      </w:r>
    </w:p>
    <w:p w:rsidR="00350445" w:rsidRDefault="00350445"/>
  </w:footnote>
  <w:footnote w:id="1">
    <w:p w:rsidR="001B316F" w:rsidRDefault="001B316F" w:rsidP="001B316F">
      <w:pPr>
        <w:pStyle w:val="FootnoteText"/>
      </w:pPr>
      <w:r w:rsidRPr="001B316F">
        <w:rPr>
          <w:rStyle w:val="FootnoteReference"/>
        </w:rPr>
        <w:footnoteRef/>
      </w:r>
      <w:r>
        <w:tab/>
        <w:t xml:space="preserve">The Palliative Care Advisory Panel was established in November 2015 to continue </w:t>
      </w:r>
      <w:r w:rsidRPr="001B316F">
        <w:t xml:space="preserve">the work programme of the Palliative Care Council </w:t>
      </w:r>
      <w:r w:rsidR="006258A0">
        <w:t xml:space="preserve">of New Zealand </w:t>
      </w:r>
      <w:r w:rsidRPr="001B316F">
        <w:t>and advise the Ministry of Health on issues such as equity of access and quality of care. The 11-member panel, chaired by Professor Merryn Gott, has expertise from a wide range of sectors, including the aged care, consumer, primary care, district health board, hospice and research sectors.</w:t>
      </w:r>
    </w:p>
  </w:footnote>
  <w:footnote w:id="2">
    <w:p w:rsidR="001B316F" w:rsidRDefault="001B316F" w:rsidP="008A6BD9">
      <w:pPr>
        <w:pStyle w:val="FootnoteText"/>
      </w:pPr>
      <w:r w:rsidRPr="008A6BD9">
        <w:rPr>
          <w:rStyle w:val="FootnoteReference"/>
        </w:rPr>
        <w:footnoteRef/>
      </w:r>
      <w:r w:rsidR="008A6BD9">
        <w:tab/>
      </w:r>
      <w:r w:rsidRPr="00D43A8A">
        <w:t xml:space="preserve">The </w:t>
      </w:r>
      <w:r>
        <w:t>S</w:t>
      </w:r>
      <w:r w:rsidRPr="00D43A8A">
        <w:t xml:space="preserve">ervice </w:t>
      </w:r>
      <w:r>
        <w:t>C</w:t>
      </w:r>
      <w:r w:rsidRPr="00D43A8A">
        <w:t xml:space="preserve">overage </w:t>
      </w:r>
      <w:r>
        <w:t xml:space="preserve">Schedule </w:t>
      </w:r>
      <w:r w:rsidRPr="00D43A8A">
        <w:t>allow</w:t>
      </w:r>
      <w:r>
        <w:t>s</w:t>
      </w:r>
      <w:r w:rsidRPr="00D43A8A">
        <w:t xml:space="preserve"> the Minister of Health to explicitly agree to the level of service coverage for which the Ministry of Health and district health boards</w:t>
      </w:r>
      <w:r>
        <w:t xml:space="preserve"> </w:t>
      </w:r>
      <w:r w:rsidRPr="00D43A8A">
        <w:t>are held accountable.</w:t>
      </w:r>
    </w:p>
  </w:footnote>
  <w:footnote w:id="3">
    <w:p w:rsidR="001B316F" w:rsidRDefault="001B316F" w:rsidP="008A6BD9">
      <w:pPr>
        <w:pStyle w:val="FootnoteText"/>
      </w:pPr>
      <w:r w:rsidRPr="008A6BD9">
        <w:rPr>
          <w:rStyle w:val="FootnoteReference"/>
        </w:rPr>
        <w:footnoteRef/>
      </w:r>
      <w:r w:rsidR="008A6BD9">
        <w:tab/>
      </w:r>
      <w:r w:rsidRPr="003A4DF8">
        <w:t xml:space="preserve">The first estimates of need for palliative care </w:t>
      </w:r>
      <w:r>
        <w:t>in</w:t>
      </w:r>
      <w:r w:rsidRPr="003A4DF8">
        <w:t xml:space="preserve"> New Zealand were published in 2011 with projections to 2016 and </w:t>
      </w:r>
      <w:r w:rsidRPr="004D70D8">
        <w:t xml:space="preserve">2026 (Palliative Care Council </w:t>
      </w:r>
      <w:r w:rsidR="006258A0">
        <w:t xml:space="preserve">of New Zealand </w:t>
      </w:r>
      <w:r w:rsidRPr="004D70D8">
        <w:t>2011). Revised</w:t>
      </w:r>
      <w:r w:rsidRPr="003A4DF8">
        <w:t xml:space="preserve"> and updated projections of future need for palliative care services were commissioned from Professor Heather McLeod</w:t>
      </w:r>
      <w:r>
        <w:t xml:space="preserve"> in 2016 </w:t>
      </w:r>
      <w:r w:rsidRPr="003A4DF8">
        <w:t xml:space="preserve">and are </w:t>
      </w:r>
      <w:r>
        <w:t xml:space="preserve">summarised </w:t>
      </w:r>
      <w:r w:rsidRPr="003A4DF8">
        <w:t>here.</w:t>
      </w:r>
    </w:p>
  </w:footnote>
  <w:footnote w:id="4">
    <w:p w:rsidR="001B316F" w:rsidRDefault="001B316F" w:rsidP="008A6BD9">
      <w:pPr>
        <w:pStyle w:val="FootnoteText"/>
      </w:pPr>
      <w:r w:rsidRPr="008A6BD9">
        <w:rPr>
          <w:rStyle w:val="FootnoteReference"/>
        </w:rPr>
        <w:footnoteRef/>
      </w:r>
      <w:r w:rsidR="008A6BD9">
        <w:tab/>
      </w:r>
      <w:r w:rsidRPr="00E8610A">
        <w:t>Although future levels of patient need for palliative care are hard to predict, there is some consensus that most people</w:t>
      </w:r>
      <w:r>
        <w:t>’</w:t>
      </w:r>
      <w:r w:rsidRPr="00E8610A">
        <w:t>s palliative care needs can be met in primary care and hospital settings, without the need for specialist palliative care (Quill and Abernethy 2013).</w:t>
      </w:r>
    </w:p>
  </w:footnote>
  <w:footnote w:id="5">
    <w:p w:rsidR="001B316F" w:rsidRDefault="001B316F" w:rsidP="00882B15">
      <w:pPr>
        <w:pStyle w:val="FootnoteText"/>
      </w:pPr>
      <w:r w:rsidRPr="00882B15">
        <w:rPr>
          <w:rStyle w:val="FootnoteReference"/>
        </w:rPr>
        <w:footnoteRef/>
      </w:r>
      <w:r w:rsidR="00882B15">
        <w:tab/>
      </w:r>
      <w:r w:rsidRPr="0025034D">
        <w:t>Health Workforce New Zealand</w:t>
      </w:r>
      <w:r>
        <w:t>’</w:t>
      </w:r>
      <w:r w:rsidRPr="0025034D">
        <w:t>s Workforce Forecasting Model of the medical and nursing workforce uses historic annual practi</w:t>
      </w:r>
      <w:r>
        <w:t>s</w:t>
      </w:r>
      <w:r w:rsidRPr="0025034D">
        <w:t>ing certificate data from the Medical Council of New Zealand and Nursing Council of New Zealand to estimate how the age, head count and full</w:t>
      </w:r>
      <w:r>
        <w:t>-</w:t>
      </w:r>
      <w:r w:rsidRPr="0025034D">
        <w:t xml:space="preserve">time equivalents (FTEs) of the medical and nursing workforce will change over the next </w:t>
      </w:r>
      <w:r>
        <w:t>10</w:t>
      </w:r>
      <w:r w:rsidRPr="0025034D">
        <w:t xml:space="preserve"> years.</w:t>
      </w:r>
    </w:p>
  </w:footnote>
  <w:footnote w:id="6">
    <w:p w:rsidR="001B316F" w:rsidRDefault="001B316F" w:rsidP="00882B15">
      <w:pPr>
        <w:pStyle w:val="FootnoteText"/>
      </w:pPr>
      <w:r w:rsidRPr="00882B15">
        <w:rPr>
          <w:rStyle w:val="FootnoteReference"/>
        </w:rPr>
        <w:footnoteRef/>
      </w:r>
      <w:r w:rsidR="00882B15">
        <w:tab/>
      </w:r>
      <w:r>
        <w:t>S</w:t>
      </w:r>
      <w:r w:rsidRPr="00583C5A">
        <w:t>takeholder engagement</w:t>
      </w:r>
      <w:r>
        <w:t xml:space="preserve"> on the Review </w:t>
      </w:r>
      <w:r w:rsidRPr="00583C5A">
        <w:t>included site visits in four regions and input from district health boards,</w:t>
      </w:r>
      <w:r>
        <w:t xml:space="preserve"> </w:t>
      </w:r>
      <w:r w:rsidRPr="00583C5A">
        <w:t xml:space="preserve">regional/district palliative network leads, Hospital Palliative Care New Zealand, General Practice New Zealand, primary care providers, primary health organisations, Hospice New Zealand, </w:t>
      </w:r>
      <w:r>
        <w:t>h</w:t>
      </w:r>
      <w:r w:rsidRPr="00583C5A">
        <w:t xml:space="preserve">ospice </w:t>
      </w:r>
      <w:r>
        <w:t>c</w:t>
      </w:r>
      <w:r w:rsidRPr="00583C5A">
        <w:t xml:space="preserve">hief </w:t>
      </w:r>
      <w:r>
        <w:t>e</w:t>
      </w:r>
      <w:r w:rsidRPr="00583C5A">
        <w:t xml:space="preserve">xecutives and </w:t>
      </w:r>
      <w:r>
        <w:t>b</w:t>
      </w:r>
      <w:r w:rsidRPr="00583C5A">
        <w:t xml:space="preserve">oard </w:t>
      </w:r>
      <w:r>
        <w:t>c</w:t>
      </w:r>
      <w:r w:rsidRPr="00583C5A">
        <w:t xml:space="preserve">hairs, the Aged Residential Care Steering Group, New Zealand Aged Care Association, home care workers, the Home and Community Health Association, the Care Association of New Zealand, palliative care nurses, </w:t>
      </w:r>
      <w:r>
        <w:t>d</w:t>
      </w:r>
      <w:r w:rsidRPr="00583C5A">
        <w:t>irectors of Allied Health, Grey Power, and c</w:t>
      </w:r>
      <w:r>
        <w:t>onsumer representative groups. T</w:t>
      </w:r>
      <w:r w:rsidRPr="00583C5A">
        <w:t>he Palliative Care Advisory Panel</w:t>
      </w:r>
      <w:r w:rsidR="00882B15">
        <w:t xml:space="preserve"> was consulted.</w:t>
      </w:r>
    </w:p>
  </w:footnote>
  <w:footnote w:id="7">
    <w:p w:rsidR="001B316F" w:rsidRDefault="001B316F" w:rsidP="00D14FFF">
      <w:pPr>
        <w:pStyle w:val="FootnoteText"/>
      </w:pPr>
      <w:r w:rsidRPr="00D14FFF">
        <w:rPr>
          <w:rStyle w:val="FootnoteReference"/>
        </w:rPr>
        <w:footnoteRef/>
      </w:r>
      <w:r w:rsidR="00D14FFF">
        <w:tab/>
      </w:r>
      <w:r w:rsidRPr="004867AE">
        <w:rPr>
          <w:i/>
        </w:rPr>
        <w:t xml:space="preserve">Te Ara Whakapiri: Principles and </w:t>
      </w:r>
      <w:r>
        <w:rPr>
          <w:i/>
        </w:rPr>
        <w:t>g</w:t>
      </w:r>
      <w:r w:rsidRPr="004867AE">
        <w:rPr>
          <w:i/>
        </w:rPr>
        <w:t xml:space="preserve">uidance for the </w:t>
      </w:r>
      <w:r>
        <w:rPr>
          <w:i/>
        </w:rPr>
        <w:t>l</w:t>
      </w:r>
      <w:r w:rsidRPr="004867AE">
        <w:rPr>
          <w:i/>
        </w:rPr>
        <w:t xml:space="preserve">ast </w:t>
      </w:r>
      <w:r>
        <w:rPr>
          <w:i/>
        </w:rPr>
        <w:t>d</w:t>
      </w:r>
      <w:r w:rsidRPr="004867AE">
        <w:rPr>
          <w:i/>
        </w:rPr>
        <w:t xml:space="preserve">ays of </w:t>
      </w:r>
      <w:r>
        <w:rPr>
          <w:i/>
        </w:rPr>
        <w:t>l</w:t>
      </w:r>
      <w:r w:rsidRPr="004867AE">
        <w:rPr>
          <w:i/>
        </w:rPr>
        <w:t>ife</w:t>
      </w:r>
      <w:r w:rsidRPr="004867AE">
        <w:t xml:space="preserve"> (Ministry of Health 2015b) replaces the Liverpool Care Pathway as guidance for care in the last days of life across all service settings, including the home, residential care facilities, hospitals and hospices. The Palliative Care Advisory Panel </w:t>
      </w:r>
      <w:r w:rsidR="003772CC">
        <w:t>oversaw</w:t>
      </w:r>
      <w:r w:rsidRPr="004867AE">
        <w:t xml:space="preserve"> the implementation of Te Ara Whakapiri during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F8" w:rsidRDefault="007D5DC7" w:rsidP="009216CC">
    <w:pPr>
      <w:pStyle w:val="Header"/>
      <w:ind w:left="-1559"/>
    </w:pPr>
    <w:r>
      <w:rPr>
        <w:noProof/>
        <w:lang w:eastAsia="en-NZ"/>
      </w:rPr>
      <w:drawing>
        <wp:inline distT="0" distB="0" distL="0" distR="0">
          <wp:extent cx="6467475" cy="532130"/>
          <wp:effectExtent l="0" t="0" r="9525" b="127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D23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C3F02"/>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EC67F2A"/>
    <w:multiLevelType w:val="hybridMultilevel"/>
    <w:tmpl w:val="8EB05CE4"/>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774C48"/>
    <w:multiLevelType w:val="hybridMultilevel"/>
    <w:tmpl w:val="80DA87EA"/>
    <w:lvl w:ilvl="0" w:tplc="14090019">
      <w:start w:val="1"/>
      <w:numFmt w:val="lowerLetter"/>
      <w:lvlText w:val="%1."/>
      <w:lvlJc w:val="left"/>
      <w:pPr>
        <w:ind w:left="748" w:hanging="360"/>
      </w:pPr>
    </w:lvl>
    <w:lvl w:ilvl="1" w:tplc="14090019" w:tentative="1">
      <w:start w:val="1"/>
      <w:numFmt w:val="lowerLetter"/>
      <w:lvlText w:val="%2."/>
      <w:lvlJc w:val="left"/>
      <w:pPr>
        <w:ind w:left="1468" w:hanging="360"/>
      </w:pPr>
    </w:lvl>
    <w:lvl w:ilvl="2" w:tplc="1409001B" w:tentative="1">
      <w:start w:val="1"/>
      <w:numFmt w:val="lowerRoman"/>
      <w:lvlText w:val="%3."/>
      <w:lvlJc w:val="right"/>
      <w:pPr>
        <w:ind w:left="2188" w:hanging="180"/>
      </w:pPr>
    </w:lvl>
    <w:lvl w:ilvl="3" w:tplc="1409000F" w:tentative="1">
      <w:start w:val="1"/>
      <w:numFmt w:val="decimal"/>
      <w:lvlText w:val="%4."/>
      <w:lvlJc w:val="left"/>
      <w:pPr>
        <w:ind w:left="2908" w:hanging="360"/>
      </w:pPr>
    </w:lvl>
    <w:lvl w:ilvl="4" w:tplc="14090019" w:tentative="1">
      <w:start w:val="1"/>
      <w:numFmt w:val="lowerLetter"/>
      <w:lvlText w:val="%5."/>
      <w:lvlJc w:val="left"/>
      <w:pPr>
        <w:ind w:left="3628" w:hanging="360"/>
      </w:pPr>
    </w:lvl>
    <w:lvl w:ilvl="5" w:tplc="1409001B" w:tentative="1">
      <w:start w:val="1"/>
      <w:numFmt w:val="lowerRoman"/>
      <w:lvlText w:val="%6."/>
      <w:lvlJc w:val="right"/>
      <w:pPr>
        <w:ind w:left="4348" w:hanging="180"/>
      </w:pPr>
    </w:lvl>
    <w:lvl w:ilvl="6" w:tplc="1409000F" w:tentative="1">
      <w:start w:val="1"/>
      <w:numFmt w:val="decimal"/>
      <w:lvlText w:val="%7."/>
      <w:lvlJc w:val="left"/>
      <w:pPr>
        <w:ind w:left="5068" w:hanging="360"/>
      </w:pPr>
    </w:lvl>
    <w:lvl w:ilvl="7" w:tplc="14090019" w:tentative="1">
      <w:start w:val="1"/>
      <w:numFmt w:val="lowerLetter"/>
      <w:lvlText w:val="%8."/>
      <w:lvlJc w:val="left"/>
      <w:pPr>
        <w:ind w:left="5788" w:hanging="360"/>
      </w:pPr>
    </w:lvl>
    <w:lvl w:ilvl="8" w:tplc="1409001B" w:tentative="1">
      <w:start w:val="1"/>
      <w:numFmt w:val="lowerRoman"/>
      <w:lvlText w:val="%9."/>
      <w:lvlJc w:val="right"/>
      <w:pPr>
        <w:ind w:left="6508" w:hanging="180"/>
      </w:pPr>
    </w:lvl>
  </w:abstractNum>
  <w:abstractNum w:abstractNumId="4">
    <w:nsid w:val="31B64BDF"/>
    <w:multiLevelType w:val="hybridMultilevel"/>
    <w:tmpl w:val="927E823A"/>
    <w:lvl w:ilvl="0" w:tplc="7E9E1BF0">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0D0B17"/>
    <w:multiLevelType w:val="hybridMultilevel"/>
    <w:tmpl w:val="80DA87EA"/>
    <w:lvl w:ilvl="0" w:tplc="14090019">
      <w:start w:val="1"/>
      <w:numFmt w:val="lowerLetter"/>
      <w:lvlText w:val="%1."/>
      <w:lvlJc w:val="left"/>
      <w:pPr>
        <w:ind w:left="748" w:hanging="360"/>
      </w:pPr>
    </w:lvl>
    <w:lvl w:ilvl="1" w:tplc="14090019" w:tentative="1">
      <w:start w:val="1"/>
      <w:numFmt w:val="lowerLetter"/>
      <w:lvlText w:val="%2."/>
      <w:lvlJc w:val="left"/>
      <w:pPr>
        <w:ind w:left="1468" w:hanging="360"/>
      </w:pPr>
    </w:lvl>
    <w:lvl w:ilvl="2" w:tplc="1409001B" w:tentative="1">
      <w:start w:val="1"/>
      <w:numFmt w:val="lowerRoman"/>
      <w:lvlText w:val="%3."/>
      <w:lvlJc w:val="right"/>
      <w:pPr>
        <w:ind w:left="2188" w:hanging="180"/>
      </w:pPr>
    </w:lvl>
    <w:lvl w:ilvl="3" w:tplc="1409000F" w:tentative="1">
      <w:start w:val="1"/>
      <w:numFmt w:val="decimal"/>
      <w:lvlText w:val="%4."/>
      <w:lvlJc w:val="left"/>
      <w:pPr>
        <w:ind w:left="2908" w:hanging="360"/>
      </w:pPr>
    </w:lvl>
    <w:lvl w:ilvl="4" w:tplc="14090019" w:tentative="1">
      <w:start w:val="1"/>
      <w:numFmt w:val="lowerLetter"/>
      <w:lvlText w:val="%5."/>
      <w:lvlJc w:val="left"/>
      <w:pPr>
        <w:ind w:left="3628" w:hanging="360"/>
      </w:pPr>
    </w:lvl>
    <w:lvl w:ilvl="5" w:tplc="1409001B" w:tentative="1">
      <w:start w:val="1"/>
      <w:numFmt w:val="lowerRoman"/>
      <w:lvlText w:val="%6."/>
      <w:lvlJc w:val="right"/>
      <w:pPr>
        <w:ind w:left="4348" w:hanging="180"/>
      </w:pPr>
    </w:lvl>
    <w:lvl w:ilvl="6" w:tplc="1409000F" w:tentative="1">
      <w:start w:val="1"/>
      <w:numFmt w:val="decimal"/>
      <w:lvlText w:val="%7."/>
      <w:lvlJc w:val="left"/>
      <w:pPr>
        <w:ind w:left="5068" w:hanging="360"/>
      </w:pPr>
    </w:lvl>
    <w:lvl w:ilvl="7" w:tplc="14090019" w:tentative="1">
      <w:start w:val="1"/>
      <w:numFmt w:val="lowerLetter"/>
      <w:lvlText w:val="%8."/>
      <w:lvlJc w:val="left"/>
      <w:pPr>
        <w:ind w:left="5788" w:hanging="360"/>
      </w:pPr>
    </w:lvl>
    <w:lvl w:ilvl="8" w:tplc="1409001B" w:tentative="1">
      <w:start w:val="1"/>
      <w:numFmt w:val="lowerRoman"/>
      <w:lvlText w:val="%9."/>
      <w:lvlJc w:val="right"/>
      <w:pPr>
        <w:ind w:left="6508" w:hanging="180"/>
      </w:p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FB86833"/>
    <w:multiLevelType w:val="hybridMultilevel"/>
    <w:tmpl w:val="80DA87EA"/>
    <w:lvl w:ilvl="0" w:tplc="14090019">
      <w:start w:val="1"/>
      <w:numFmt w:val="lowerLetter"/>
      <w:lvlText w:val="%1."/>
      <w:lvlJc w:val="left"/>
      <w:pPr>
        <w:ind w:left="748" w:hanging="360"/>
      </w:pPr>
    </w:lvl>
    <w:lvl w:ilvl="1" w:tplc="14090019" w:tentative="1">
      <w:start w:val="1"/>
      <w:numFmt w:val="lowerLetter"/>
      <w:lvlText w:val="%2."/>
      <w:lvlJc w:val="left"/>
      <w:pPr>
        <w:ind w:left="1468" w:hanging="360"/>
      </w:pPr>
    </w:lvl>
    <w:lvl w:ilvl="2" w:tplc="1409001B" w:tentative="1">
      <w:start w:val="1"/>
      <w:numFmt w:val="lowerRoman"/>
      <w:lvlText w:val="%3."/>
      <w:lvlJc w:val="right"/>
      <w:pPr>
        <w:ind w:left="2188" w:hanging="180"/>
      </w:pPr>
    </w:lvl>
    <w:lvl w:ilvl="3" w:tplc="1409000F" w:tentative="1">
      <w:start w:val="1"/>
      <w:numFmt w:val="decimal"/>
      <w:lvlText w:val="%4."/>
      <w:lvlJc w:val="left"/>
      <w:pPr>
        <w:ind w:left="2908" w:hanging="360"/>
      </w:pPr>
    </w:lvl>
    <w:lvl w:ilvl="4" w:tplc="14090019" w:tentative="1">
      <w:start w:val="1"/>
      <w:numFmt w:val="lowerLetter"/>
      <w:lvlText w:val="%5."/>
      <w:lvlJc w:val="left"/>
      <w:pPr>
        <w:ind w:left="3628" w:hanging="360"/>
      </w:pPr>
    </w:lvl>
    <w:lvl w:ilvl="5" w:tplc="1409001B" w:tentative="1">
      <w:start w:val="1"/>
      <w:numFmt w:val="lowerRoman"/>
      <w:lvlText w:val="%6."/>
      <w:lvlJc w:val="right"/>
      <w:pPr>
        <w:ind w:left="4348" w:hanging="180"/>
      </w:pPr>
    </w:lvl>
    <w:lvl w:ilvl="6" w:tplc="1409000F" w:tentative="1">
      <w:start w:val="1"/>
      <w:numFmt w:val="decimal"/>
      <w:lvlText w:val="%7."/>
      <w:lvlJc w:val="left"/>
      <w:pPr>
        <w:ind w:left="5068" w:hanging="360"/>
      </w:pPr>
    </w:lvl>
    <w:lvl w:ilvl="7" w:tplc="14090019" w:tentative="1">
      <w:start w:val="1"/>
      <w:numFmt w:val="lowerLetter"/>
      <w:lvlText w:val="%8."/>
      <w:lvlJc w:val="left"/>
      <w:pPr>
        <w:ind w:left="5788" w:hanging="360"/>
      </w:pPr>
    </w:lvl>
    <w:lvl w:ilvl="8" w:tplc="1409001B" w:tentative="1">
      <w:start w:val="1"/>
      <w:numFmt w:val="lowerRoman"/>
      <w:lvlText w:val="%9."/>
      <w:lvlJc w:val="right"/>
      <w:pPr>
        <w:ind w:left="6508" w:hanging="180"/>
      </w:pPr>
    </w:lvl>
  </w:abstractNum>
  <w:abstractNum w:abstractNumId="9">
    <w:nsid w:val="662C711E"/>
    <w:multiLevelType w:val="hybridMultilevel"/>
    <w:tmpl w:val="80DA87EA"/>
    <w:lvl w:ilvl="0" w:tplc="14090019">
      <w:start w:val="1"/>
      <w:numFmt w:val="lowerLetter"/>
      <w:lvlText w:val="%1."/>
      <w:lvlJc w:val="left"/>
      <w:pPr>
        <w:ind w:left="748" w:hanging="360"/>
      </w:pPr>
    </w:lvl>
    <w:lvl w:ilvl="1" w:tplc="14090019" w:tentative="1">
      <w:start w:val="1"/>
      <w:numFmt w:val="lowerLetter"/>
      <w:lvlText w:val="%2."/>
      <w:lvlJc w:val="left"/>
      <w:pPr>
        <w:ind w:left="1468" w:hanging="360"/>
      </w:pPr>
    </w:lvl>
    <w:lvl w:ilvl="2" w:tplc="1409001B" w:tentative="1">
      <w:start w:val="1"/>
      <w:numFmt w:val="lowerRoman"/>
      <w:lvlText w:val="%3."/>
      <w:lvlJc w:val="right"/>
      <w:pPr>
        <w:ind w:left="2188" w:hanging="180"/>
      </w:pPr>
    </w:lvl>
    <w:lvl w:ilvl="3" w:tplc="1409000F" w:tentative="1">
      <w:start w:val="1"/>
      <w:numFmt w:val="decimal"/>
      <w:lvlText w:val="%4."/>
      <w:lvlJc w:val="left"/>
      <w:pPr>
        <w:ind w:left="2908" w:hanging="360"/>
      </w:pPr>
    </w:lvl>
    <w:lvl w:ilvl="4" w:tplc="14090019" w:tentative="1">
      <w:start w:val="1"/>
      <w:numFmt w:val="lowerLetter"/>
      <w:lvlText w:val="%5."/>
      <w:lvlJc w:val="left"/>
      <w:pPr>
        <w:ind w:left="3628" w:hanging="360"/>
      </w:pPr>
    </w:lvl>
    <w:lvl w:ilvl="5" w:tplc="1409001B" w:tentative="1">
      <w:start w:val="1"/>
      <w:numFmt w:val="lowerRoman"/>
      <w:lvlText w:val="%6."/>
      <w:lvlJc w:val="right"/>
      <w:pPr>
        <w:ind w:left="4348" w:hanging="180"/>
      </w:pPr>
    </w:lvl>
    <w:lvl w:ilvl="6" w:tplc="1409000F" w:tentative="1">
      <w:start w:val="1"/>
      <w:numFmt w:val="decimal"/>
      <w:lvlText w:val="%7."/>
      <w:lvlJc w:val="left"/>
      <w:pPr>
        <w:ind w:left="5068" w:hanging="360"/>
      </w:pPr>
    </w:lvl>
    <w:lvl w:ilvl="7" w:tplc="14090019" w:tentative="1">
      <w:start w:val="1"/>
      <w:numFmt w:val="lowerLetter"/>
      <w:lvlText w:val="%8."/>
      <w:lvlJc w:val="left"/>
      <w:pPr>
        <w:ind w:left="5788" w:hanging="360"/>
      </w:pPr>
    </w:lvl>
    <w:lvl w:ilvl="8" w:tplc="1409001B" w:tentative="1">
      <w:start w:val="1"/>
      <w:numFmt w:val="lowerRoman"/>
      <w:lvlText w:val="%9."/>
      <w:lvlJc w:val="right"/>
      <w:pPr>
        <w:ind w:left="6508" w:hanging="180"/>
      </w:p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6D732423"/>
    <w:multiLevelType w:val="hybridMultilevel"/>
    <w:tmpl w:val="80DA87EA"/>
    <w:lvl w:ilvl="0" w:tplc="14090019">
      <w:start w:val="1"/>
      <w:numFmt w:val="lowerLetter"/>
      <w:lvlText w:val="%1."/>
      <w:lvlJc w:val="left"/>
      <w:pPr>
        <w:ind w:left="748" w:hanging="360"/>
      </w:pPr>
    </w:lvl>
    <w:lvl w:ilvl="1" w:tplc="14090019" w:tentative="1">
      <w:start w:val="1"/>
      <w:numFmt w:val="lowerLetter"/>
      <w:lvlText w:val="%2."/>
      <w:lvlJc w:val="left"/>
      <w:pPr>
        <w:ind w:left="1468" w:hanging="360"/>
      </w:pPr>
    </w:lvl>
    <w:lvl w:ilvl="2" w:tplc="1409001B" w:tentative="1">
      <w:start w:val="1"/>
      <w:numFmt w:val="lowerRoman"/>
      <w:lvlText w:val="%3."/>
      <w:lvlJc w:val="right"/>
      <w:pPr>
        <w:ind w:left="2188" w:hanging="180"/>
      </w:pPr>
    </w:lvl>
    <w:lvl w:ilvl="3" w:tplc="1409000F" w:tentative="1">
      <w:start w:val="1"/>
      <w:numFmt w:val="decimal"/>
      <w:lvlText w:val="%4."/>
      <w:lvlJc w:val="left"/>
      <w:pPr>
        <w:ind w:left="2908" w:hanging="360"/>
      </w:pPr>
    </w:lvl>
    <w:lvl w:ilvl="4" w:tplc="14090019" w:tentative="1">
      <w:start w:val="1"/>
      <w:numFmt w:val="lowerLetter"/>
      <w:lvlText w:val="%5."/>
      <w:lvlJc w:val="left"/>
      <w:pPr>
        <w:ind w:left="3628" w:hanging="360"/>
      </w:pPr>
    </w:lvl>
    <w:lvl w:ilvl="5" w:tplc="1409001B" w:tentative="1">
      <w:start w:val="1"/>
      <w:numFmt w:val="lowerRoman"/>
      <w:lvlText w:val="%6."/>
      <w:lvlJc w:val="right"/>
      <w:pPr>
        <w:ind w:left="4348" w:hanging="180"/>
      </w:pPr>
    </w:lvl>
    <w:lvl w:ilvl="6" w:tplc="1409000F" w:tentative="1">
      <w:start w:val="1"/>
      <w:numFmt w:val="decimal"/>
      <w:lvlText w:val="%7."/>
      <w:lvlJc w:val="left"/>
      <w:pPr>
        <w:ind w:left="5068" w:hanging="360"/>
      </w:pPr>
    </w:lvl>
    <w:lvl w:ilvl="7" w:tplc="14090019" w:tentative="1">
      <w:start w:val="1"/>
      <w:numFmt w:val="lowerLetter"/>
      <w:lvlText w:val="%8."/>
      <w:lvlJc w:val="left"/>
      <w:pPr>
        <w:ind w:left="5788" w:hanging="360"/>
      </w:pPr>
    </w:lvl>
    <w:lvl w:ilvl="8" w:tplc="1409001B" w:tentative="1">
      <w:start w:val="1"/>
      <w:numFmt w:val="lowerRoman"/>
      <w:lvlText w:val="%9."/>
      <w:lvlJc w:val="right"/>
      <w:pPr>
        <w:ind w:left="6508" w:hanging="180"/>
      </w:pPr>
    </w:lvl>
  </w:abstractNum>
  <w:abstractNum w:abstractNumId="12">
    <w:nsid w:val="6D8F5B3B"/>
    <w:multiLevelType w:val="hybridMultilevel"/>
    <w:tmpl w:val="CCE2B862"/>
    <w:lvl w:ilvl="0" w:tplc="150A6BD0">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10"/>
  </w:num>
  <w:num w:numId="3">
    <w:abstractNumId w:val="5"/>
  </w:num>
  <w:num w:numId="4">
    <w:abstractNumId w:val="7"/>
  </w:num>
  <w:num w:numId="5">
    <w:abstractNumId w:val="1"/>
  </w:num>
  <w:num w:numId="6">
    <w:abstractNumId w:val="0"/>
  </w:num>
  <w:num w:numId="7">
    <w:abstractNumId w:val="4"/>
  </w:num>
  <w:num w:numId="8">
    <w:abstractNumId w:val="12"/>
  </w:num>
  <w:num w:numId="9">
    <w:abstractNumId w:val="2"/>
  </w:num>
  <w:num w:numId="10">
    <w:abstractNumId w:val="8"/>
  </w:num>
  <w:num w:numId="11">
    <w:abstractNumId w:val="6"/>
  </w:num>
  <w:num w:numId="12">
    <w:abstractNumId w:val="11"/>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762"/>
    <w:rsid w:val="00082CD6"/>
    <w:rsid w:val="00085AFE"/>
    <w:rsid w:val="000A2FB6"/>
    <w:rsid w:val="000B0730"/>
    <w:rsid w:val="000E5697"/>
    <w:rsid w:val="000F2AE2"/>
    <w:rsid w:val="00102063"/>
    <w:rsid w:val="0010541C"/>
    <w:rsid w:val="00106F93"/>
    <w:rsid w:val="00111D50"/>
    <w:rsid w:val="00113B8E"/>
    <w:rsid w:val="001342C7"/>
    <w:rsid w:val="0013585C"/>
    <w:rsid w:val="00142954"/>
    <w:rsid w:val="00144352"/>
    <w:rsid w:val="001460E0"/>
    <w:rsid w:val="00147F71"/>
    <w:rsid w:val="00150A6E"/>
    <w:rsid w:val="0016468A"/>
    <w:rsid w:val="001A21B4"/>
    <w:rsid w:val="001A5CF5"/>
    <w:rsid w:val="001B316F"/>
    <w:rsid w:val="001B39D2"/>
    <w:rsid w:val="001B4BF8"/>
    <w:rsid w:val="001C4326"/>
    <w:rsid w:val="001D0F53"/>
    <w:rsid w:val="001D3541"/>
    <w:rsid w:val="001F45A7"/>
    <w:rsid w:val="001F6DF0"/>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04D0"/>
    <w:rsid w:val="0030382F"/>
    <w:rsid w:val="0030408D"/>
    <w:rsid w:val="003060E4"/>
    <w:rsid w:val="00307519"/>
    <w:rsid w:val="003077FA"/>
    <w:rsid w:val="003160E7"/>
    <w:rsid w:val="0031739E"/>
    <w:rsid w:val="003325AB"/>
    <w:rsid w:val="003332D1"/>
    <w:rsid w:val="0033412B"/>
    <w:rsid w:val="00341CA1"/>
    <w:rsid w:val="00343365"/>
    <w:rsid w:val="00350445"/>
    <w:rsid w:val="00353501"/>
    <w:rsid w:val="003606F8"/>
    <w:rsid w:val="003648EF"/>
    <w:rsid w:val="003672A4"/>
    <w:rsid w:val="003673E6"/>
    <w:rsid w:val="00371E01"/>
    <w:rsid w:val="00377264"/>
    <w:rsid w:val="003772CC"/>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6703"/>
    <w:rsid w:val="00487C04"/>
    <w:rsid w:val="004907E1"/>
    <w:rsid w:val="004A035B"/>
    <w:rsid w:val="004A38D7"/>
    <w:rsid w:val="004A778C"/>
    <w:rsid w:val="004B224A"/>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C119E"/>
    <w:rsid w:val="005E226E"/>
    <w:rsid w:val="005E2636"/>
    <w:rsid w:val="006015D7"/>
    <w:rsid w:val="00601B21"/>
    <w:rsid w:val="006041F0"/>
    <w:rsid w:val="006258A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07B18"/>
    <w:rsid w:val="0071741C"/>
    <w:rsid w:val="00742B90"/>
    <w:rsid w:val="0074434D"/>
    <w:rsid w:val="00771B1E"/>
    <w:rsid w:val="00773C95"/>
    <w:rsid w:val="0078171E"/>
    <w:rsid w:val="00782E74"/>
    <w:rsid w:val="00795B34"/>
    <w:rsid w:val="007B1770"/>
    <w:rsid w:val="007B4D3E"/>
    <w:rsid w:val="007B7C70"/>
    <w:rsid w:val="007D2151"/>
    <w:rsid w:val="007D42CC"/>
    <w:rsid w:val="007D5DC7"/>
    <w:rsid w:val="007D5DE4"/>
    <w:rsid w:val="007E0777"/>
    <w:rsid w:val="007E1341"/>
    <w:rsid w:val="007E1B41"/>
    <w:rsid w:val="007E30B9"/>
    <w:rsid w:val="007E74F1"/>
    <w:rsid w:val="007F0F0C"/>
    <w:rsid w:val="007F1288"/>
    <w:rsid w:val="007F666A"/>
    <w:rsid w:val="00800A8A"/>
    <w:rsid w:val="0080155C"/>
    <w:rsid w:val="00801F8A"/>
    <w:rsid w:val="008052E1"/>
    <w:rsid w:val="00822F2C"/>
    <w:rsid w:val="008305E8"/>
    <w:rsid w:val="00860826"/>
    <w:rsid w:val="00860E21"/>
    <w:rsid w:val="00863117"/>
    <w:rsid w:val="0086388B"/>
    <w:rsid w:val="008642E5"/>
    <w:rsid w:val="00872D93"/>
    <w:rsid w:val="00880470"/>
    <w:rsid w:val="00880D94"/>
    <w:rsid w:val="00882B15"/>
    <w:rsid w:val="008924DE"/>
    <w:rsid w:val="008A3755"/>
    <w:rsid w:val="008A6BD9"/>
    <w:rsid w:val="008B264F"/>
    <w:rsid w:val="008B5A20"/>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4D0"/>
    <w:rsid w:val="009E36ED"/>
    <w:rsid w:val="009E3C8C"/>
    <w:rsid w:val="009E6B77"/>
    <w:rsid w:val="009F460A"/>
    <w:rsid w:val="00A043FB"/>
    <w:rsid w:val="00A0729C"/>
    <w:rsid w:val="00A07779"/>
    <w:rsid w:val="00A20B2E"/>
    <w:rsid w:val="00A25069"/>
    <w:rsid w:val="00A264DA"/>
    <w:rsid w:val="00A26E6B"/>
    <w:rsid w:val="00A3068F"/>
    <w:rsid w:val="00A3145B"/>
    <w:rsid w:val="00A339D0"/>
    <w:rsid w:val="00A41002"/>
    <w:rsid w:val="00A4201A"/>
    <w:rsid w:val="00A553CE"/>
    <w:rsid w:val="00A5677A"/>
    <w:rsid w:val="00A57156"/>
    <w:rsid w:val="00A6490D"/>
    <w:rsid w:val="00A80363"/>
    <w:rsid w:val="00A9169D"/>
    <w:rsid w:val="00AA240C"/>
    <w:rsid w:val="00AC101C"/>
    <w:rsid w:val="00AD4CF1"/>
    <w:rsid w:val="00AD55EB"/>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45AA2"/>
    <w:rsid w:val="00C55BEF"/>
    <w:rsid w:val="00C66296"/>
    <w:rsid w:val="00C77282"/>
    <w:rsid w:val="00C84DE5"/>
    <w:rsid w:val="00C86248"/>
    <w:rsid w:val="00CA4C33"/>
    <w:rsid w:val="00CA6F4A"/>
    <w:rsid w:val="00CD2119"/>
    <w:rsid w:val="00CD237A"/>
    <w:rsid w:val="00CD36AC"/>
    <w:rsid w:val="00CE13A3"/>
    <w:rsid w:val="00CF1747"/>
    <w:rsid w:val="00D14FFF"/>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16D96"/>
    <w:rsid w:val="00E23271"/>
    <w:rsid w:val="00E24F80"/>
    <w:rsid w:val="00E259F3"/>
    <w:rsid w:val="00E33238"/>
    <w:rsid w:val="00E34B32"/>
    <w:rsid w:val="00E4486C"/>
    <w:rsid w:val="00E460B6"/>
    <w:rsid w:val="00E511D5"/>
    <w:rsid w:val="00E60249"/>
    <w:rsid w:val="00E65269"/>
    <w:rsid w:val="00E76D66"/>
    <w:rsid w:val="00E83131"/>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091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F4F11-9E0E-4686-939B-A8987B46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1B316F"/>
    <w:pPr>
      <w:pageBreakBefore/>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A2FB6"/>
    <w:pPr>
      <w:tabs>
        <w:tab w:val="right" w:pos="9356"/>
      </w:tabs>
      <w:spacing w:before="300"/>
      <w:ind w:left="567" w:right="567" w:hanging="567"/>
    </w:pPr>
    <w:rPr>
      <w:b/>
    </w:rPr>
  </w:style>
  <w:style w:type="paragraph" w:styleId="TOC2">
    <w:name w:val="toc 2"/>
    <w:basedOn w:val="Normal"/>
    <w:next w:val="Normal"/>
    <w:uiPriority w:val="39"/>
    <w:rsid w:val="000A2FB6"/>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qFormat/>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1B316F"/>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1B316F"/>
    <w:rPr>
      <w:rFonts w:ascii="Georgia" w:hAnsi="Georgia"/>
      <w:b/>
      <w:sz w:val="22"/>
      <w:lang w:eastAsia="en-GB"/>
    </w:rPr>
  </w:style>
  <w:style w:type="character" w:customStyle="1" w:styleId="Heading5Char">
    <w:name w:val="Heading 5 Char"/>
    <w:link w:val="Heading5"/>
    <w:uiPriority w:val="9"/>
    <w:rsid w:val="001B316F"/>
    <w:rPr>
      <w:rFonts w:ascii="Georgia" w:hAnsi="Georgia"/>
      <w:sz w:val="22"/>
      <w:u w:val="single"/>
      <w:lang w:eastAsia="en-GB"/>
    </w:rPr>
  </w:style>
  <w:style w:type="character" w:customStyle="1" w:styleId="BulletChar">
    <w:name w:val="Bullet Char"/>
    <w:link w:val="Bullet"/>
    <w:locked/>
    <w:rsid w:val="001B316F"/>
    <w:rPr>
      <w:rFonts w:ascii="Georgia" w:hAnsi="Georgia"/>
      <w:sz w:val="22"/>
      <w:lang w:eastAsia="en-GB"/>
    </w:rPr>
  </w:style>
  <w:style w:type="paragraph" w:styleId="BalloonText">
    <w:name w:val="Balloon Text"/>
    <w:basedOn w:val="Normal"/>
    <w:link w:val="BalloonTextChar"/>
    <w:uiPriority w:val="99"/>
    <w:semiHidden/>
    <w:unhideWhenUsed/>
    <w:rsid w:val="000827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6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36F4-1D6A-4420-8CFF-0F04DC49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1</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Adult Palliative Care Services in New Zealand</dc:title>
  <dc:creator>Ministry of Health</dc:creator>
  <cp:lastModifiedBy>Jane Adam</cp:lastModifiedBy>
  <cp:revision>5</cp:revision>
  <cp:lastPrinted>2017-03-22T21:11:00Z</cp:lastPrinted>
  <dcterms:created xsi:type="dcterms:W3CDTF">2017-03-22T21:02:00Z</dcterms:created>
  <dcterms:modified xsi:type="dcterms:W3CDTF">2017-03-22T21:12:00Z</dcterms:modified>
</cp:coreProperties>
</file>