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F9CE" w14:textId="77777777" w:rsidR="00817A32" w:rsidRDefault="00817A32" w:rsidP="00817A32">
      <w:pPr>
        <w:jc w:val="right"/>
      </w:pPr>
      <w:r w:rsidRPr="00063471">
        <w:rPr>
          <w:noProof/>
        </w:rPr>
        <w:drawing>
          <wp:anchor distT="0" distB="0" distL="114300" distR="114300" simplePos="0" relativeHeight="251658240" behindDoc="1" locked="0" layoutInCell="1" allowOverlap="1" wp14:anchorId="0598753B" wp14:editId="44D614C0">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E6EC0E" wp14:editId="2CFABAEA">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1D46FF39" w14:textId="0ACF48FF" w:rsidR="00982AA5" w:rsidRDefault="0087795F" w:rsidP="00982AA5">
      <w:pPr>
        <w:spacing w:after="0"/>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28"/>
      </w:tblGrid>
      <w:tr w:rsidR="00982AA5" w14:paraId="49050A43" w14:textId="77777777" w:rsidTr="00982AA5">
        <w:trPr>
          <w:trHeight w:val="6009"/>
        </w:trPr>
        <w:tc>
          <w:tcPr>
            <w:tcW w:w="9628" w:type="dxa"/>
            <w:vAlign w:val="bottom"/>
          </w:tcPr>
          <w:p w14:paraId="47B9E7B4" w14:textId="300AA1AF" w:rsidR="00982AA5" w:rsidRDefault="00C817C7" w:rsidP="00982AA5">
            <w:pPr>
              <w:pStyle w:val="Title"/>
            </w:pPr>
            <w:r>
              <w:t>New Zealand Health Facility Design Guidance Note</w:t>
            </w:r>
          </w:p>
          <w:p w14:paraId="41FAAE7F" w14:textId="734C90A3" w:rsidR="00982AA5" w:rsidRPr="00982AA5" w:rsidRDefault="00C817C7" w:rsidP="00982AA5">
            <w:pPr>
              <w:pStyle w:val="Subtitle"/>
            </w:pPr>
            <w:r>
              <w:t>DGN V2.0: NZ Health Facility Design</w:t>
            </w:r>
          </w:p>
        </w:tc>
      </w:tr>
      <w:tr w:rsidR="00982AA5" w14:paraId="5EB8402C" w14:textId="77777777" w:rsidTr="00982AA5">
        <w:trPr>
          <w:trHeight w:val="2154"/>
        </w:trPr>
        <w:tc>
          <w:tcPr>
            <w:tcW w:w="9628" w:type="dxa"/>
          </w:tcPr>
          <w:p w14:paraId="61679B28" w14:textId="04B4AFD4" w:rsidR="00982AA5" w:rsidRDefault="00982AA5" w:rsidP="00982AA5">
            <w:pPr>
              <w:pStyle w:val="Provider"/>
            </w:pPr>
            <w:r>
              <w:t xml:space="preserve">Released </w:t>
            </w:r>
            <w:r w:rsidR="005E13FC">
              <w:t>September</w:t>
            </w:r>
            <w:r w:rsidR="00C817C7">
              <w:t xml:space="preserve"> </w:t>
            </w:r>
            <w:r w:rsidRPr="00982AA5">
              <w:t>2022</w:t>
            </w:r>
          </w:p>
        </w:tc>
      </w:tr>
    </w:tbl>
    <w:p w14:paraId="5D82AE60" w14:textId="77777777" w:rsidR="00817A32" w:rsidRDefault="00817A32" w:rsidP="0087795F">
      <w:r>
        <w:br w:type="page"/>
      </w:r>
    </w:p>
    <w:p w14:paraId="79688345" w14:textId="52459F08" w:rsidR="004C2E5B" w:rsidRDefault="004C2E5B" w:rsidP="004C2E5B">
      <w:r>
        <w:lastRenderedPageBreak/>
        <w:t xml:space="preserve">Citation: </w:t>
      </w:r>
      <w:r w:rsidR="005E13FC">
        <w:t>Te Whatu Ora – Health New Zealand</w:t>
      </w:r>
      <w:r>
        <w:t xml:space="preserve">. 2022. </w:t>
      </w:r>
      <w:r w:rsidR="00C817C7">
        <w:rPr>
          <w:i/>
          <w:iCs/>
        </w:rPr>
        <w:t>New Zealand Health Facility Design Guidance Note</w:t>
      </w:r>
      <w:r>
        <w:t xml:space="preserve">. Wellington: </w:t>
      </w:r>
      <w:r w:rsidR="005E13FC">
        <w:t>Te Whatu Ora</w:t>
      </w:r>
      <w:r>
        <w:t>.</w:t>
      </w:r>
    </w:p>
    <w:p w14:paraId="3980EB92" w14:textId="140299CA" w:rsidR="004C2E5B" w:rsidRDefault="004C2E5B" w:rsidP="004C2E5B">
      <w:r>
        <w:t xml:space="preserve">Published in </w:t>
      </w:r>
      <w:r w:rsidR="005E13FC">
        <w:t>September</w:t>
      </w:r>
      <w:r>
        <w:t xml:space="preserve"> 2022 by </w:t>
      </w:r>
      <w:r w:rsidR="005E13FC">
        <w:t>Te Whatu Ora</w:t>
      </w:r>
      <w:r>
        <w:br/>
        <w:t>PO Box 5013, Wellington 6140, New Zealand</w:t>
      </w:r>
    </w:p>
    <w:p w14:paraId="21DA2379" w14:textId="16C53B2E" w:rsidR="004C2E5B" w:rsidRDefault="004C2E5B" w:rsidP="004C2E5B">
      <w:r>
        <w:t xml:space="preserve">ISBN </w:t>
      </w:r>
      <w:r w:rsidR="008157F4" w:rsidRPr="008157F4">
        <w:t>978-1-99-117124-5</w:t>
      </w:r>
      <w:r>
        <w:t xml:space="preserve"> (online)</w:t>
      </w:r>
      <w:r>
        <w:br/>
      </w:r>
    </w:p>
    <w:p w14:paraId="488F8DDB" w14:textId="77777777" w:rsidR="00B75F7F" w:rsidRDefault="00B75F7F" w:rsidP="004C2E5B">
      <w:r w:rsidRPr="00EF30CD">
        <w:rPr>
          <w:noProof/>
          <w:lang w:eastAsia="en-NZ"/>
        </w:rPr>
        <w:drawing>
          <wp:inline distT="0" distB="0" distL="0" distR="0" wp14:anchorId="68C4EEAB" wp14:editId="7EAB6ACD">
            <wp:extent cx="1413017" cy="31473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4641ED8A" w14:textId="4B5DADF1" w:rsidR="00B75F7F" w:rsidRDefault="00B75F7F" w:rsidP="00C033FA">
      <w:r w:rsidRPr="00B75F7F">
        <w:t xml:space="preserve">This document is available at </w:t>
      </w:r>
      <w:hyperlink r:id="rId14" w:history="1">
        <w:r w:rsidR="008157F4">
          <w:rPr>
            <w:rStyle w:val="Hyperlink"/>
          </w:rPr>
          <w:t>tewhatuora</w:t>
        </w:r>
        <w:r w:rsidRPr="00B75F7F">
          <w:rPr>
            <w:rStyle w:val="Hyperlink"/>
          </w:rPr>
          <w:t>.govt.nz</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4A569A54" w14:textId="77777777" w:rsidTr="00B75F7F">
        <w:tc>
          <w:tcPr>
            <w:tcW w:w="1696" w:type="dxa"/>
            <w:vAlign w:val="center"/>
          </w:tcPr>
          <w:p w14:paraId="6A429EF2" w14:textId="77777777" w:rsidR="00B75F7F" w:rsidRDefault="00B75F7F" w:rsidP="00B75F7F">
            <w:r w:rsidRPr="00EF30CD">
              <w:rPr>
                <w:rFonts w:cs="Segoe UI"/>
                <w:b/>
                <w:noProof/>
                <w:sz w:val="15"/>
                <w:szCs w:val="15"/>
                <w:lang w:eastAsia="en-NZ"/>
              </w:rPr>
              <w:drawing>
                <wp:inline distT="0" distB="0" distL="0" distR="0" wp14:anchorId="6BE5C371" wp14:editId="6887C61A">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18D8A5A0" w14:textId="77777777" w:rsidR="00B75F7F" w:rsidRDefault="00B75F7F" w:rsidP="00B75F7F">
            <w:r w:rsidRPr="00B75F7F">
              <w:t xml:space="preserve">This work is licensed under the Creative Commons Attribution 4.0 International licence. In essence, you are free to: share </w:t>
            </w:r>
            <w:proofErr w:type="spellStart"/>
            <w:r w:rsidRPr="00B75F7F">
              <w:t>ie</w:t>
            </w:r>
            <w:proofErr w:type="spellEnd"/>
            <w:r w:rsidRPr="00B75F7F">
              <w:t xml:space="preserve">, copy and redistribute the material in any medium or format; adapt </w:t>
            </w:r>
            <w:proofErr w:type="spellStart"/>
            <w:r w:rsidRPr="00B75F7F">
              <w:t>ie</w:t>
            </w:r>
            <w:proofErr w:type="spellEnd"/>
            <w:r w:rsidRPr="00B75F7F">
              <w:t>, remix, transform and build upon the material. You must give appropriate credit, provide a link to the licence and indicate if changes were made.</w:t>
            </w:r>
          </w:p>
        </w:tc>
      </w:tr>
    </w:tbl>
    <w:p w14:paraId="776B72FC" w14:textId="77777777" w:rsidR="00630DE1" w:rsidRPr="00B75F7F" w:rsidRDefault="00630DE1" w:rsidP="00B75F7F">
      <w:r>
        <w:br w:type="page"/>
      </w:r>
    </w:p>
    <w:p w14:paraId="70273204" w14:textId="5E550828" w:rsidR="004C2E5B" w:rsidRPr="00655D84" w:rsidRDefault="00655D84" w:rsidP="00655D84">
      <w:pPr>
        <w:pStyle w:val="TOCHeading"/>
        <w:rPr>
          <w:sz w:val="52"/>
          <w:szCs w:val="24"/>
        </w:rPr>
      </w:pPr>
      <w:r w:rsidRPr="00655D84">
        <w:rPr>
          <w:sz w:val="52"/>
          <w:szCs w:val="24"/>
        </w:rPr>
        <w:lastRenderedPageBreak/>
        <w:t>Explanatory note</w:t>
      </w:r>
    </w:p>
    <w:p w14:paraId="6325ACE5" w14:textId="051DC409" w:rsidR="00655D84" w:rsidRDefault="00655D84" w:rsidP="00655D84">
      <w:pPr>
        <w:spacing w:before="0" w:after="160" w:line="259" w:lineRule="auto"/>
      </w:pPr>
      <w:r>
        <w:t xml:space="preserve">This document provides design guidance for all New Zealand health facility design projects. </w:t>
      </w:r>
    </w:p>
    <w:p w14:paraId="761AE1E4" w14:textId="32486C17" w:rsidR="00655D84" w:rsidRDefault="00655D84" w:rsidP="00655D84">
      <w:pPr>
        <w:spacing w:before="0" w:after="160" w:line="259" w:lineRule="auto"/>
      </w:pPr>
      <w:r>
        <w:t xml:space="preserve">For any queries or communication about this document, please contact </w:t>
      </w:r>
      <w:hyperlink r:id="rId16" w:history="1">
        <w:r w:rsidRPr="00586C0B">
          <w:rPr>
            <w:rStyle w:val="Hyperlink"/>
          </w:rPr>
          <w:t>facility.design@health.govt.nz</w:t>
        </w:r>
      </w:hyperlink>
    </w:p>
    <w:p w14:paraId="5A386BE1" w14:textId="66A3408C" w:rsidR="00655D84" w:rsidRPr="00655D84" w:rsidRDefault="00655D84" w:rsidP="00655D84">
      <w:pPr>
        <w:pStyle w:val="TOCHeading"/>
        <w:rPr>
          <w:sz w:val="52"/>
          <w:szCs w:val="24"/>
        </w:rPr>
      </w:pPr>
      <w:r w:rsidRPr="00655D84">
        <w:rPr>
          <w:sz w:val="52"/>
          <w:szCs w:val="24"/>
        </w:rPr>
        <w:t>Document control</w:t>
      </w:r>
    </w:p>
    <w:tbl>
      <w:tblPr>
        <w:tblStyle w:val="TeWhatuOra"/>
        <w:tblW w:w="0" w:type="auto"/>
        <w:tblLook w:val="0480" w:firstRow="0" w:lastRow="0" w:firstColumn="1" w:lastColumn="0" w:noHBand="0" w:noVBand="1"/>
      </w:tblPr>
      <w:tblGrid>
        <w:gridCol w:w="2547"/>
        <w:gridCol w:w="7081"/>
      </w:tblGrid>
      <w:tr w:rsidR="00655D84" w14:paraId="0219D106" w14:textId="77777777" w:rsidTr="00655D84">
        <w:tc>
          <w:tcPr>
            <w:cnfStyle w:val="001000000000" w:firstRow="0" w:lastRow="0" w:firstColumn="1" w:lastColumn="0" w:oddVBand="0" w:evenVBand="0" w:oddHBand="0" w:evenHBand="0" w:firstRowFirstColumn="0" w:firstRowLastColumn="0" w:lastRowFirstColumn="0" w:lastRowLastColumn="0"/>
            <w:tcW w:w="2547" w:type="dxa"/>
          </w:tcPr>
          <w:p w14:paraId="0F5F49C0" w14:textId="779AA8BF" w:rsidR="00655D84" w:rsidRDefault="00655D84" w:rsidP="00655D84">
            <w:r>
              <w:t>Document name</w:t>
            </w:r>
          </w:p>
        </w:tc>
        <w:tc>
          <w:tcPr>
            <w:tcW w:w="7081" w:type="dxa"/>
          </w:tcPr>
          <w:p w14:paraId="559CF96E" w14:textId="1392D721" w:rsidR="00655D84" w:rsidRDefault="00655D84" w:rsidP="00655D84">
            <w:pPr>
              <w:cnfStyle w:val="000000000000" w:firstRow="0" w:lastRow="0" w:firstColumn="0" w:lastColumn="0" w:oddVBand="0" w:evenVBand="0" w:oddHBand="0" w:evenHBand="0" w:firstRowFirstColumn="0" w:firstRowLastColumn="0" w:lastRowFirstColumn="0" w:lastRowLastColumn="0"/>
            </w:pPr>
            <w:r>
              <w:t>New Zealand Health Facility Design Guidance Note</w:t>
            </w:r>
          </w:p>
        </w:tc>
      </w:tr>
      <w:tr w:rsidR="00655D84" w14:paraId="5BD3716F" w14:textId="77777777" w:rsidTr="00655D84">
        <w:tc>
          <w:tcPr>
            <w:cnfStyle w:val="001000000000" w:firstRow="0" w:lastRow="0" w:firstColumn="1" w:lastColumn="0" w:oddVBand="0" w:evenVBand="0" w:oddHBand="0" w:evenHBand="0" w:firstRowFirstColumn="0" w:firstRowLastColumn="0" w:lastRowFirstColumn="0" w:lastRowLastColumn="0"/>
            <w:tcW w:w="2547" w:type="dxa"/>
          </w:tcPr>
          <w:p w14:paraId="33748169" w14:textId="107C93AE" w:rsidR="00655D84" w:rsidRDefault="00655D84" w:rsidP="00655D84">
            <w:r>
              <w:t>Document owner</w:t>
            </w:r>
          </w:p>
        </w:tc>
        <w:tc>
          <w:tcPr>
            <w:tcW w:w="7081" w:type="dxa"/>
          </w:tcPr>
          <w:p w14:paraId="179575C3" w14:textId="17675315" w:rsidR="00655D84" w:rsidRDefault="006536C2" w:rsidP="00655D84">
            <w:pPr>
              <w:cnfStyle w:val="000000000000" w:firstRow="0" w:lastRow="0" w:firstColumn="0" w:lastColumn="0" w:oddVBand="0" w:evenVBand="0" w:oddHBand="0" w:evenHBand="0" w:firstRowFirstColumn="0" w:firstRowLastColumn="0" w:lastRowFirstColumn="0" w:lastRowLastColumn="0"/>
            </w:pPr>
            <w:r>
              <w:t xml:space="preserve">Te Whatu Ora - </w:t>
            </w:r>
            <w:r w:rsidR="00655D84">
              <w:t>Health New Zealand</w:t>
            </w:r>
          </w:p>
        </w:tc>
      </w:tr>
      <w:tr w:rsidR="00655D84" w14:paraId="69DDE155" w14:textId="77777777" w:rsidTr="00655D84">
        <w:tc>
          <w:tcPr>
            <w:cnfStyle w:val="001000000000" w:firstRow="0" w:lastRow="0" w:firstColumn="1" w:lastColumn="0" w:oddVBand="0" w:evenVBand="0" w:oddHBand="0" w:evenHBand="0" w:firstRowFirstColumn="0" w:firstRowLastColumn="0" w:lastRowFirstColumn="0" w:lastRowLastColumn="0"/>
            <w:tcW w:w="2547" w:type="dxa"/>
          </w:tcPr>
          <w:p w14:paraId="59B3A6FC" w14:textId="33EA566A" w:rsidR="00655D84" w:rsidRDefault="00655D84" w:rsidP="00655D84">
            <w:r>
              <w:t>Issue date</w:t>
            </w:r>
          </w:p>
        </w:tc>
        <w:tc>
          <w:tcPr>
            <w:tcW w:w="7081" w:type="dxa"/>
          </w:tcPr>
          <w:p w14:paraId="5C19EE75" w14:textId="4D57AA37" w:rsidR="00655D84" w:rsidRDefault="006536C2" w:rsidP="00655D84">
            <w:pPr>
              <w:cnfStyle w:val="000000000000" w:firstRow="0" w:lastRow="0" w:firstColumn="0" w:lastColumn="0" w:oddVBand="0" w:evenVBand="0" w:oddHBand="0" w:evenHBand="0" w:firstRowFirstColumn="0" w:firstRowLastColumn="0" w:lastRowFirstColumn="0" w:lastRowLastColumn="0"/>
            </w:pPr>
            <w:r>
              <w:t>September 2022</w:t>
            </w:r>
          </w:p>
        </w:tc>
      </w:tr>
    </w:tbl>
    <w:p w14:paraId="1FF0159A" w14:textId="477F49A0" w:rsidR="00655D84" w:rsidRPr="00655D84" w:rsidRDefault="00655D84" w:rsidP="00655D84">
      <w:pPr>
        <w:pStyle w:val="TOCHeading"/>
        <w:rPr>
          <w:sz w:val="52"/>
          <w:szCs w:val="24"/>
        </w:rPr>
      </w:pPr>
      <w:r w:rsidRPr="00655D84">
        <w:rPr>
          <w:sz w:val="52"/>
          <w:szCs w:val="24"/>
        </w:rPr>
        <w:t>Document history</w:t>
      </w:r>
    </w:p>
    <w:tbl>
      <w:tblPr>
        <w:tblStyle w:val="TeWhatuOra"/>
        <w:tblW w:w="0" w:type="auto"/>
        <w:tblLook w:val="0420" w:firstRow="1" w:lastRow="0" w:firstColumn="0" w:lastColumn="0" w:noHBand="0" w:noVBand="1"/>
      </w:tblPr>
      <w:tblGrid>
        <w:gridCol w:w="1980"/>
        <w:gridCol w:w="1417"/>
        <w:gridCol w:w="2268"/>
        <w:gridCol w:w="3963"/>
      </w:tblGrid>
      <w:tr w:rsidR="00655D84" w14:paraId="7DCA49EA" w14:textId="77777777" w:rsidTr="00655D84">
        <w:trPr>
          <w:cnfStyle w:val="100000000000" w:firstRow="1" w:lastRow="0" w:firstColumn="0" w:lastColumn="0" w:oddVBand="0" w:evenVBand="0" w:oddHBand="0" w:evenHBand="0" w:firstRowFirstColumn="0" w:firstRowLastColumn="0" w:lastRowFirstColumn="0" w:lastRowLastColumn="0"/>
        </w:trPr>
        <w:tc>
          <w:tcPr>
            <w:tcW w:w="1980" w:type="dxa"/>
          </w:tcPr>
          <w:p w14:paraId="4CDCE53A" w14:textId="0A23DD43" w:rsidR="00655D84" w:rsidRDefault="00655D84" w:rsidP="00655D84">
            <w:r>
              <w:t>Issue Date</w:t>
            </w:r>
          </w:p>
        </w:tc>
        <w:tc>
          <w:tcPr>
            <w:tcW w:w="1417" w:type="dxa"/>
          </w:tcPr>
          <w:p w14:paraId="5152AE1F" w14:textId="4B7C2715" w:rsidR="00655D84" w:rsidRDefault="00655D84" w:rsidP="00655D84">
            <w:r>
              <w:t>Version</w:t>
            </w:r>
          </w:p>
        </w:tc>
        <w:tc>
          <w:tcPr>
            <w:tcW w:w="2268" w:type="dxa"/>
          </w:tcPr>
          <w:p w14:paraId="6BEEC31C" w14:textId="6B1A0236" w:rsidR="00655D84" w:rsidRDefault="00655D84" w:rsidP="00655D84">
            <w:r>
              <w:t>Revision Class</w:t>
            </w:r>
          </w:p>
        </w:tc>
        <w:tc>
          <w:tcPr>
            <w:tcW w:w="3963" w:type="dxa"/>
          </w:tcPr>
          <w:p w14:paraId="41BFFFEF" w14:textId="23CF1D11" w:rsidR="00655D84" w:rsidRDefault="00655D84" w:rsidP="00655D84">
            <w:r>
              <w:t>Comments</w:t>
            </w:r>
          </w:p>
        </w:tc>
      </w:tr>
      <w:tr w:rsidR="00655D84" w14:paraId="7A042A06" w14:textId="77777777" w:rsidTr="00655D84">
        <w:tc>
          <w:tcPr>
            <w:tcW w:w="1980" w:type="dxa"/>
          </w:tcPr>
          <w:p w14:paraId="55ACA1D2" w14:textId="1EAA148B" w:rsidR="00655D84" w:rsidRDefault="00655D84" w:rsidP="00655D84">
            <w:r>
              <w:t>August 2021</w:t>
            </w:r>
          </w:p>
        </w:tc>
        <w:tc>
          <w:tcPr>
            <w:tcW w:w="1417" w:type="dxa"/>
          </w:tcPr>
          <w:p w14:paraId="5AC8DEF0" w14:textId="308A06E0" w:rsidR="00655D84" w:rsidRDefault="00655D84" w:rsidP="00655D84">
            <w:r>
              <w:t>V1.1 (Pilot)</w:t>
            </w:r>
          </w:p>
        </w:tc>
        <w:tc>
          <w:tcPr>
            <w:tcW w:w="2268" w:type="dxa"/>
          </w:tcPr>
          <w:p w14:paraId="671D7B5F" w14:textId="64247BE1" w:rsidR="00655D84" w:rsidRDefault="00655D84" w:rsidP="00655D84">
            <w:r>
              <w:t>Document initiated</w:t>
            </w:r>
          </w:p>
        </w:tc>
        <w:tc>
          <w:tcPr>
            <w:tcW w:w="3963" w:type="dxa"/>
          </w:tcPr>
          <w:p w14:paraId="7112D1B6" w14:textId="00905C47" w:rsidR="00655D84" w:rsidRDefault="00655D84" w:rsidP="00655D84">
            <w:r>
              <w:t>Adult Acute Mental Health Inpatient Unit (Pilot)</w:t>
            </w:r>
          </w:p>
        </w:tc>
      </w:tr>
      <w:tr w:rsidR="00655D84" w14:paraId="3241A211" w14:textId="77777777" w:rsidTr="00655D84">
        <w:tc>
          <w:tcPr>
            <w:tcW w:w="1980" w:type="dxa"/>
          </w:tcPr>
          <w:p w14:paraId="54828AE5" w14:textId="3F724359" w:rsidR="00655D84" w:rsidRDefault="00655D84" w:rsidP="00655D84">
            <w:r>
              <w:t>September 2021</w:t>
            </w:r>
          </w:p>
        </w:tc>
        <w:tc>
          <w:tcPr>
            <w:tcW w:w="1417" w:type="dxa"/>
          </w:tcPr>
          <w:p w14:paraId="2F175AD2" w14:textId="26693B7B" w:rsidR="00655D84" w:rsidRDefault="00655D84" w:rsidP="00655D84">
            <w:r>
              <w:t>V1.2 (Pilot)</w:t>
            </w:r>
          </w:p>
        </w:tc>
        <w:tc>
          <w:tcPr>
            <w:tcW w:w="2268" w:type="dxa"/>
          </w:tcPr>
          <w:p w14:paraId="2E03E5C9" w14:textId="599C53F6" w:rsidR="00655D84" w:rsidRDefault="00655D84" w:rsidP="00655D84">
            <w:r>
              <w:t>Minor revision</w:t>
            </w:r>
          </w:p>
        </w:tc>
        <w:tc>
          <w:tcPr>
            <w:tcW w:w="3963" w:type="dxa"/>
          </w:tcPr>
          <w:p w14:paraId="66930C09" w14:textId="71CF9900" w:rsidR="00655D84" w:rsidRDefault="00655D84" w:rsidP="00655D84">
            <w:r>
              <w:t>Updated following revision</w:t>
            </w:r>
          </w:p>
        </w:tc>
      </w:tr>
      <w:tr w:rsidR="00655D84" w14:paraId="77410120" w14:textId="77777777" w:rsidTr="00655D84">
        <w:tc>
          <w:tcPr>
            <w:tcW w:w="1980" w:type="dxa"/>
          </w:tcPr>
          <w:p w14:paraId="1AF33620" w14:textId="47518792" w:rsidR="00655D84" w:rsidRDefault="00655D84" w:rsidP="00655D84">
            <w:r>
              <w:t>31 May 2022</w:t>
            </w:r>
          </w:p>
        </w:tc>
        <w:tc>
          <w:tcPr>
            <w:tcW w:w="1417" w:type="dxa"/>
          </w:tcPr>
          <w:p w14:paraId="7F703C31" w14:textId="7C1B8A44" w:rsidR="00655D84" w:rsidRDefault="00655D84" w:rsidP="00655D84">
            <w:r>
              <w:t>V2.0</w:t>
            </w:r>
          </w:p>
        </w:tc>
        <w:tc>
          <w:tcPr>
            <w:tcW w:w="2268" w:type="dxa"/>
          </w:tcPr>
          <w:p w14:paraId="27E7B0CB" w14:textId="77777777" w:rsidR="00655D84" w:rsidRDefault="00655D84" w:rsidP="00655D84">
            <w:r>
              <w:t xml:space="preserve">Major revision </w:t>
            </w:r>
          </w:p>
          <w:p w14:paraId="0FC22A73" w14:textId="0BC735D8" w:rsidR="00655D84" w:rsidRDefault="00655D84" w:rsidP="00655D84">
            <w:r>
              <w:t>New Format</w:t>
            </w:r>
          </w:p>
        </w:tc>
        <w:tc>
          <w:tcPr>
            <w:tcW w:w="3963" w:type="dxa"/>
          </w:tcPr>
          <w:p w14:paraId="05E5A27E" w14:textId="77777777" w:rsidR="00655D84" w:rsidRDefault="00655D84" w:rsidP="00655D84">
            <w:r>
              <w:t>The DGN was restructured after the 2021 Pilot phase:</w:t>
            </w:r>
          </w:p>
          <w:p w14:paraId="62654BA4" w14:textId="77777777" w:rsidR="00655D84" w:rsidRDefault="00655D84" w:rsidP="00655D84">
            <w:r>
              <w:t>Section 1: Overarching</w:t>
            </w:r>
          </w:p>
          <w:p w14:paraId="76FD01A7" w14:textId="77777777" w:rsidR="00655D84" w:rsidRDefault="00655D84" w:rsidP="00655D84">
            <w:r>
              <w:t>Section 2: NZ Requirements for all Health Planning Units:</w:t>
            </w:r>
          </w:p>
          <w:p w14:paraId="26E340FD" w14:textId="66E398FF" w:rsidR="00655D84" w:rsidRDefault="00655D84" w:rsidP="00655D84">
            <w:pPr>
              <w:pStyle w:val="ListBullet"/>
            </w:pPr>
            <w:r>
              <w:t>Adult Acute Mental Health Inpatient Unit (updated)</w:t>
            </w:r>
          </w:p>
        </w:tc>
      </w:tr>
    </w:tbl>
    <w:p w14:paraId="793854D7" w14:textId="1469CC6C" w:rsidR="00655D84" w:rsidRPr="00655D84" w:rsidRDefault="00655D84" w:rsidP="00655D84">
      <w:pPr>
        <w:pStyle w:val="TOCHeading"/>
        <w:rPr>
          <w:sz w:val="52"/>
          <w:szCs w:val="24"/>
        </w:rPr>
      </w:pPr>
      <w:r w:rsidRPr="00655D84">
        <w:rPr>
          <w:sz w:val="52"/>
          <w:szCs w:val="24"/>
        </w:rPr>
        <w:t>Acknowledgements</w:t>
      </w:r>
    </w:p>
    <w:p w14:paraId="39D40036" w14:textId="6226C3B4" w:rsidR="00655D84" w:rsidRPr="00655D84" w:rsidRDefault="008A5138" w:rsidP="00655D84">
      <w:r w:rsidRPr="008A5138">
        <w:t xml:space="preserve">The Facility Design team would like to thank everyone who contributed to creating this Design Guidance Note.  </w:t>
      </w:r>
    </w:p>
    <w:p w14:paraId="33DB93A7" w14:textId="436A25C9" w:rsidR="00655D84" w:rsidRDefault="00655D84" w:rsidP="00655D84">
      <w:pPr>
        <w:spacing w:before="0" w:after="160" w:line="259" w:lineRule="auto"/>
      </w:pPr>
      <w:r>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13EFDBC8" w14:textId="77777777" w:rsidR="00630DE1" w:rsidRDefault="00630DE1" w:rsidP="00630DE1">
          <w:pPr>
            <w:pStyle w:val="TOCHeading"/>
          </w:pPr>
          <w:r w:rsidRPr="00630DE1">
            <w:t>Contents</w:t>
          </w:r>
        </w:p>
        <w:p w14:paraId="4463F459" w14:textId="13A7BA6B" w:rsidR="00104CCA" w:rsidRDefault="00EE6438">
          <w:pPr>
            <w:pStyle w:val="TOC1"/>
            <w:tabs>
              <w:tab w:val="left" w:pos="480"/>
            </w:tabs>
            <w:rPr>
              <w:rFonts w:eastAsiaTheme="minorEastAsia"/>
              <w:b w:val="0"/>
              <w:noProof/>
              <w:sz w:val="22"/>
              <w:lang w:eastAsia="en-NZ"/>
            </w:rPr>
          </w:pPr>
          <w:r>
            <w:rPr>
              <w:b w:val="0"/>
            </w:rPr>
            <w:fldChar w:fldCharType="begin"/>
          </w:r>
          <w:r>
            <w:rPr>
              <w:b w:val="0"/>
            </w:rPr>
            <w:instrText xml:space="preserve"> TOC \o "1-3" \h \z \u </w:instrText>
          </w:r>
          <w:r>
            <w:rPr>
              <w:b w:val="0"/>
            </w:rPr>
            <w:fldChar w:fldCharType="separate"/>
          </w:r>
          <w:hyperlink w:anchor="_Toc114065143" w:history="1">
            <w:r w:rsidR="00104CCA" w:rsidRPr="00445ADD">
              <w:rPr>
                <w:rStyle w:val="Hyperlink"/>
                <w:noProof/>
              </w:rPr>
              <w:t>1</w:t>
            </w:r>
            <w:r w:rsidR="00104CCA">
              <w:rPr>
                <w:rFonts w:eastAsiaTheme="minorEastAsia"/>
                <w:b w:val="0"/>
                <w:noProof/>
                <w:sz w:val="22"/>
                <w:lang w:eastAsia="en-NZ"/>
              </w:rPr>
              <w:tab/>
            </w:r>
            <w:r w:rsidR="00104CCA" w:rsidRPr="00445ADD">
              <w:rPr>
                <w:rStyle w:val="Hyperlink"/>
                <w:noProof/>
              </w:rPr>
              <w:t>Overarching Aotearoa New Zealand design guidance</w:t>
            </w:r>
            <w:r w:rsidR="00104CCA">
              <w:rPr>
                <w:noProof/>
                <w:webHidden/>
              </w:rPr>
              <w:tab/>
            </w:r>
            <w:r w:rsidR="00104CCA">
              <w:rPr>
                <w:noProof/>
                <w:webHidden/>
              </w:rPr>
              <w:fldChar w:fldCharType="begin"/>
            </w:r>
            <w:r w:rsidR="00104CCA">
              <w:rPr>
                <w:noProof/>
                <w:webHidden/>
              </w:rPr>
              <w:instrText xml:space="preserve"> PAGEREF _Toc114065143 \h </w:instrText>
            </w:r>
            <w:r w:rsidR="00104CCA">
              <w:rPr>
                <w:noProof/>
                <w:webHidden/>
              </w:rPr>
            </w:r>
            <w:r w:rsidR="00104CCA">
              <w:rPr>
                <w:noProof/>
                <w:webHidden/>
              </w:rPr>
              <w:fldChar w:fldCharType="separate"/>
            </w:r>
            <w:r w:rsidR="00CF36A0">
              <w:rPr>
                <w:noProof/>
                <w:webHidden/>
              </w:rPr>
              <w:t>7</w:t>
            </w:r>
            <w:r w:rsidR="00104CCA">
              <w:rPr>
                <w:noProof/>
                <w:webHidden/>
              </w:rPr>
              <w:fldChar w:fldCharType="end"/>
            </w:r>
          </w:hyperlink>
        </w:p>
        <w:p w14:paraId="49A1C290" w14:textId="191B2CEE" w:rsidR="00104CCA" w:rsidRDefault="00770EBC">
          <w:pPr>
            <w:pStyle w:val="TOC2"/>
            <w:tabs>
              <w:tab w:val="left" w:pos="880"/>
              <w:tab w:val="right" w:pos="9628"/>
            </w:tabs>
            <w:rPr>
              <w:rFonts w:eastAsiaTheme="minorEastAsia"/>
              <w:noProof/>
              <w:sz w:val="22"/>
              <w:lang w:eastAsia="en-NZ"/>
            </w:rPr>
          </w:pPr>
          <w:hyperlink w:anchor="_Toc114065144" w:history="1">
            <w:r w:rsidR="00104CCA" w:rsidRPr="00445ADD">
              <w:rPr>
                <w:rStyle w:val="Hyperlink"/>
                <w:noProof/>
              </w:rPr>
              <w:t>1.1</w:t>
            </w:r>
            <w:r w:rsidR="00104CCA">
              <w:rPr>
                <w:rFonts w:eastAsiaTheme="minorEastAsia"/>
                <w:noProof/>
                <w:sz w:val="22"/>
                <w:lang w:eastAsia="en-NZ"/>
              </w:rPr>
              <w:tab/>
            </w:r>
            <w:r w:rsidR="00104CCA" w:rsidRPr="00445ADD">
              <w:rPr>
                <w:rStyle w:val="Hyperlink"/>
                <w:noProof/>
              </w:rPr>
              <w:t>Australasian Health Facility Guidelines</w:t>
            </w:r>
            <w:r w:rsidR="00104CCA">
              <w:rPr>
                <w:noProof/>
                <w:webHidden/>
              </w:rPr>
              <w:tab/>
            </w:r>
            <w:r w:rsidR="00104CCA">
              <w:rPr>
                <w:noProof/>
                <w:webHidden/>
              </w:rPr>
              <w:fldChar w:fldCharType="begin"/>
            </w:r>
            <w:r w:rsidR="00104CCA">
              <w:rPr>
                <w:noProof/>
                <w:webHidden/>
              </w:rPr>
              <w:instrText xml:space="preserve"> PAGEREF _Toc114065144 \h </w:instrText>
            </w:r>
            <w:r w:rsidR="00104CCA">
              <w:rPr>
                <w:noProof/>
                <w:webHidden/>
              </w:rPr>
            </w:r>
            <w:r w:rsidR="00104CCA">
              <w:rPr>
                <w:noProof/>
                <w:webHidden/>
              </w:rPr>
              <w:fldChar w:fldCharType="separate"/>
            </w:r>
            <w:r w:rsidR="00CF36A0">
              <w:rPr>
                <w:noProof/>
                <w:webHidden/>
              </w:rPr>
              <w:t>7</w:t>
            </w:r>
            <w:r w:rsidR="00104CCA">
              <w:rPr>
                <w:noProof/>
                <w:webHidden/>
              </w:rPr>
              <w:fldChar w:fldCharType="end"/>
            </w:r>
          </w:hyperlink>
        </w:p>
        <w:p w14:paraId="5DB1EC0C" w14:textId="46A0D87C" w:rsidR="00104CCA" w:rsidRDefault="00770EBC">
          <w:pPr>
            <w:pStyle w:val="TOC2"/>
            <w:tabs>
              <w:tab w:val="left" w:pos="880"/>
              <w:tab w:val="right" w:pos="9628"/>
            </w:tabs>
            <w:rPr>
              <w:rFonts w:eastAsiaTheme="minorEastAsia"/>
              <w:noProof/>
              <w:sz w:val="22"/>
              <w:lang w:eastAsia="en-NZ"/>
            </w:rPr>
          </w:pPr>
          <w:hyperlink w:anchor="_Toc114065145" w:history="1">
            <w:r w:rsidR="00104CCA" w:rsidRPr="00445ADD">
              <w:rPr>
                <w:rStyle w:val="Hyperlink"/>
                <w:noProof/>
              </w:rPr>
              <w:t>1.2</w:t>
            </w:r>
            <w:r w:rsidR="00104CCA">
              <w:rPr>
                <w:rFonts w:eastAsiaTheme="minorEastAsia"/>
                <w:noProof/>
                <w:sz w:val="22"/>
                <w:lang w:eastAsia="en-NZ"/>
              </w:rPr>
              <w:tab/>
            </w:r>
            <w:r w:rsidR="00104CCA" w:rsidRPr="00445ADD">
              <w:rPr>
                <w:rStyle w:val="Hyperlink"/>
                <w:noProof/>
              </w:rPr>
              <w:t>Legislation</w:t>
            </w:r>
            <w:r w:rsidR="00104CCA">
              <w:rPr>
                <w:noProof/>
                <w:webHidden/>
              </w:rPr>
              <w:tab/>
            </w:r>
            <w:r w:rsidR="00104CCA">
              <w:rPr>
                <w:noProof/>
                <w:webHidden/>
              </w:rPr>
              <w:fldChar w:fldCharType="begin"/>
            </w:r>
            <w:r w:rsidR="00104CCA">
              <w:rPr>
                <w:noProof/>
                <w:webHidden/>
              </w:rPr>
              <w:instrText xml:space="preserve"> PAGEREF _Toc114065145 \h </w:instrText>
            </w:r>
            <w:r w:rsidR="00104CCA">
              <w:rPr>
                <w:noProof/>
                <w:webHidden/>
              </w:rPr>
            </w:r>
            <w:r w:rsidR="00104CCA">
              <w:rPr>
                <w:noProof/>
                <w:webHidden/>
              </w:rPr>
              <w:fldChar w:fldCharType="separate"/>
            </w:r>
            <w:r w:rsidR="00CF36A0">
              <w:rPr>
                <w:noProof/>
                <w:webHidden/>
              </w:rPr>
              <w:t>7</w:t>
            </w:r>
            <w:r w:rsidR="00104CCA">
              <w:rPr>
                <w:noProof/>
                <w:webHidden/>
              </w:rPr>
              <w:fldChar w:fldCharType="end"/>
            </w:r>
          </w:hyperlink>
        </w:p>
        <w:p w14:paraId="0DB96B1E" w14:textId="7B5C07E2" w:rsidR="00104CCA" w:rsidRDefault="00770EBC">
          <w:pPr>
            <w:pStyle w:val="TOC2"/>
            <w:tabs>
              <w:tab w:val="left" w:pos="880"/>
              <w:tab w:val="right" w:pos="9628"/>
            </w:tabs>
            <w:rPr>
              <w:rFonts w:eastAsiaTheme="minorEastAsia"/>
              <w:noProof/>
              <w:sz w:val="22"/>
              <w:lang w:eastAsia="en-NZ"/>
            </w:rPr>
          </w:pPr>
          <w:hyperlink w:anchor="_Toc114065146" w:history="1">
            <w:r w:rsidR="00104CCA" w:rsidRPr="00445ADD">
              <w:rPr>
                <w:rStyle w:val="Hyperlink"/>
                <w:noProof/>
              </w:rPr>
              <w:t>1.3</w:t>
            </w:r>
            <w:r w:rsidR="00104CCA">
              <w:rPr>
                <w:rFonts w:eastAsiaTheme="minorEastAsia"/>
                <w:noProof/>
                <w:sz w:val="22"/>
                <w:lang w:eastAsia="en-NZ"/>
              </w:rPr>
              <w:tab/>
            </w:r>
            <w:r w:rsidR="00104CCA" w:rsidRPr="00445ADD">
              <w:rPr>
                <w:rStyle w:val="Hyperlink"/>
                <w:noProof/>
              </w:rPr>
              <w:t>Design principles</w:t>
            </w:r>
            <w:r w:rsidR="00104CCA">
              <w:rPr>
                <w:noProof/>
                <w:webHidden/>
              </w:rPr>
              <w:tab/>
            </w:r>
            <w:r w:rsidR="00104CCA">
              <w:rPr>
                <w:noProof/>
                <w:webHidden/>
              </w:rPr>
              <w:fldChar w:fldCharType="begin"/>
            </w:r>
            <w:r w:rsidR="00104CCA">
              <w:rPr>
                <w:noProof/>
                <w:webHidden/>
              </w:rPr>
              <w:instrText xml:space="preserve"> PAGEREF _Toc114065146 \h </w:instrText>
            </w:r>
            <w:r w:rsidR="00104CCA">
              <w:rPr>
                <w:noProof/>
                <w:webHidden/>
              </w:rPr>
            </w:r>
            <w:r w:rsidR="00104CCA">
              <w:rPr>
                <w:noProof/>
                <w:webHidden/>
              </w:rPr>
              <w:fldChar w:fldCharType="separate"/>
            </w:r>
            <w:r w:rsidR="00CF36A0">
              <w:rPr>
                <w:noProof/>
                <w:webHidden/>
              </w:rPr>
              <w:t>7</w:t>
            </w:r>
            <w:r w:rsidR="00104CCA">
              <w:rPr>
                <w:noProof/>
                <w:webHidden/>
              </w:rPr>
              <w:fldChar w:fldCharType="end"/>
            </w:r>
          </w:hyperlink>
        </w:p>
        <w:p w14:paraId="1D4F20D0" w14:textId="76180027" w:rsidR="00104CCA" w:rsidRDefault="00770EBC">
          <w:pPr>
            <w:pStyle w:val="TOC3"/>
            <w:tabs>
              <w:tab w:val="left" w:pos="1320"/>
              <w:tab w:val="right" w:pos="9628"/>
            </w:tabs>
            <w:rPr>
              <w:rFonts w:eastAsiaTheme="minorEastAsia"/>
              <w:noProof/>
              <w:sz w:val="22"/>
              <w:lang w:eastAsia="en-NZ"/>
            </w:rPr>
          </w:pPr>
          <w:hyperlink w:anchor="_Toc114065147" w:history="1">
            <w:r w:rsidR="00104CCA" w:rsidRPr="00445ADD">
              <w:rPr>
                <w:rStyle w:val="Hyperlink"/>
                <w:noProof/>
              </w:rPr>
              <w:t>1.3.1</w:t>
            </w:r>
            <w:r w:rsidR="00104CCA">
              <w:rPr>
                <w:rFonts w:eastAsiaTheme="minorEastAsia"/>
                <w:noProof/>
                <w:sz w:val="22"/>
                <w:lang w:eastAsia="en-NZ"/>
              </w:rPr>
              <w:tab/>
            </w:r>
            <w:r w:rsidR="00104CCA" w:rsidRPr="00445ADD">
              <w:rPr>
                <w:rStyle w:val="Hyperlink"/>
                <w:noProof/>
              </w:rPr>
              <w:t>Kaupapa Māori</w:t>
            </w:r>
            <w:r w:rsidR="00104CCA">
              <w:rPr>
                <w:noProof/>
                <w:webHidden/>
              </w:rPr>
              <w:tab/>
            </w:r>
            <w:r w:rsidR="00104CCA">
              <w:rPr>
                <w:noProof/>
                <w:webHidden/>
              </w:rPr>
              <w:fldChar w:fldCharType="begin"/>
            </w:r>
            <w:r w:rsidR="00104CCA">
              <w:rPr>
                <w:noProof/>
                <w:webHidden/>
              </w:rPr>
              <w:instrText xml:space="preserve"> PAGEREF _Toc114065147 \h </w:instrText>
            </w:r>
            <w:r w:rsidR="00104CCA">
              <w:rPr>
                <w:noProof/>
                <w:webHidden/>
              </w:rPr>
            </w:r>
            <w:r w:rsidR="00104CCA">
              <w:rPr>
                <w:noProof/>
                <w:webHidden/>
              </w:rPr>
              <w:fldChar w:fldCharType="separate"/>
            </w:r>
            <w:r w:rsidR="00CF36A0">
              <w:rPr>
                <w:noProof/>
                <w:webHidden/>
              </w:rPr>
              <w:t>8</w:t>
            </w:r>
            <w:r w:rsidR="00104CCA">
              <w:rPr>
                <w:noProof/>
                <w:webHidden/>
              </w:rPr>
              <w:fldChar w:fldCharType="end"/>
            </w:r>
          </w:hyperlink>
        </w:p>
        <w:p w14:paraId="7FAA86E7" w14:textId="29CDD506" w:rsidR="00104CCA" w:rsidRDefault="00770EBC">
          <w:pPr>
            <w:pStyle w:val="TOC3"/>
            <w:tabs>
              <w:tab w:val="left" w:pos="1320"/>
              <w:tab w:val="right" w:pos="9628"/>
            </w:tabs>
            <w:rPr>
              <w:rFonts w:eastAsiaTheme="minorEastAsia"/>
              <w:noProof/>
              <w:sz w:val="22"/>
              <w:lang w:eastAsia="en-NZ"/>
            </w:rPr>
          </w:pPr>
          <w:hyperlink w:anchor="_Toc114065148" w:history="1">
            <w:r w:rsidR="00104CCA" w:rsidRPr="00445ADD">
              <w:rPr>
                <w:rStyle w:val="Hyperlink"/>
                <w:noProof/>
              </w:rPr>
              <w:t>1.3.2</w:t>
            </w:r>
            <w:r w:rsidR="00104CCA">
              <w:rPr>
                <w:rFonts w:eastAsiaTheme="minorEastAsia"/>
                <w:noProof/>
                <w:sz w:val="22"/>
                <w:lang w:eastAsia="en-NZ"/>
              </w:rPr>
              <w:tab/>
            </w:r>
            <w:r w:rsidR="00104CCA" w:rsidRPr="00445ADD">
              <w:rPr>
                <w:rStyle w:val="Hyperlink"/>
                <w:noProof/>
              </w:rPr>
              <w:t>Environmental sustainability</w:t>
            </w:r>
            <w:r w:rsidR="00104CCA">
              <w:rPr>
                <w:noProof/>
                <w:webHidden/>
              </w:rPr>
              <w:tab/>
            </w:r>
            <w:r w:rsidR="00104CCA">
              <w:rPr>
                <w:noProof/>
                <w:webHidden/>
              </w:rPr>
              <w:fldChar w:fldCharType="begin"/>
            </w:r>
            <w:r w:rsidR="00104CCA">
              <w:rPr>
                <w:noProof/>
                <w:webHidden/>
              </w:rPr>
              <w:instrText xml:space="preserve"> PAGEREF _Toc114065148 \h </w:instrText>
            </w:r>
            <w:r w:rsidR="00104CCA">
              <w:rPr>
                <w:noProof/>
                <w:webHidden/>
              </w:rPr>
            </w:r>
            <w:r w:rsidR="00104CCA">
              <w:rPr>
                <w:noProof/>
                <w:webHidden/>
              </w:rPr>
              <w:fldChar w:fldCharType="separate"/>
            </w:r>
            <w:r w:rsidR="00CF36A0">
              <w:rPr>
                <w:noProof/>
                <w:webHidden/>
              </w:rPr>
              <w:t>8</w:t>
            </w:r>
            <w:r w:rsidR="00104CCA">
              <w:rPr>
                <w:noProof/>
                <w:webHidden/>
              </w:rPr>
              <w:fldChar w:fldCharType="end"/>
            </w:r>
          </w:hyperlink>
        </w:p>
        <w:p w14:paraId="4C0646BA" w14:textId="286A680A" w:rsidR="00104CCA" w:rsidRDefault="00770EBC">
          <w:pPr>
            <w:pStyle w:val="TOC3"/>
            <w:tabs>
              <w:tab w:val="left" w:pos="1320"/>
              <w:tab w:val="right" w:pos="9628"/>
            </w:tabs>
            <w:rPr>
              <w:rFonts w:eastAsiaTheme="minorEastAsia"/>
              <w:noProof/>
              <w:sz w:val="22"/>
              <w:lang w:eastAsia="en-NZ"/>
            </w:rPr>
          </w:pPr>
          <w:hyperlink w:anchor="_Toc114065149" w:history="1">
            <w:r w:rsidR="00104CCA" w:rsidRPr="00445ADD">
              <w:rPr>
                <w:rStyle w:val="Hyperlink"/>
                <w:noProof/>
              </w:rPr>
              <w:t>1.3.3</w:t>
            </w:r>
            <w:r w:rsidR="00104CCA">
              <w:rPr>
                <w:rFonts w:eastAsiaTheme="minorEastAsia"/>
                <w:noProof/>
                <w:sz w:val="22"/>
                <w:lang w:eastAsia="en-NZ"/>
              </w:rPr>
              <w:tab/>
            </w:r>
            <w:r w:rsidR="00104CCA" w:rsidRPr="00445ADD">
              <w:rPr>
                <w:rStyle w:val="Hyperlink"/>
                <w:noProof/>
              </w:rPr>
              <w:t>Universal Design</w:t>
            </w:r>
            <w:r w:rsidR="00104CCA">
              <w:rPr>
                <w:noProof/>
                <w:webHidden/>
              </w:rPr>
              <w:tab/>
            </w:r>
            <w:r w:rsidR="00104CCA">
              <w:rPr>
                <w:noProof/>
                <w:webHidden/>
              </w:rPr>
              <w:fldChar w:fldCharType="begin"/>
            </w:r>
            <w:r w:rsidR="00104CCA">
              <w:rPr>
                <w:noProof/>
                <w:webHidden/>
              </w:rPr>
              <w:instrText xml:space="preserve"> PAGEREF _Toc114065149 \h </w:instrText>
            </w:r>
            <w:r w:rsidR="00104CCA">
              <w:rPr>
                <w:noProof/>
                <w:webHidden/>
              </w:rPr>
            </w:r>
            <w:r w:rsidR="00104CCA">
              <w:rPr>
                <w:noProof/>
                <w:webHidden/>
              </w:rPr>
              <w:fldChar w:fldCharType="separate"/>
            </w:r>
            <w:r w:rsidR="00CF36A0">
              <w:rPr>
                <w:noProof/>
                <w:webHidden/>
              </w:rPr>
              <w:t>8</w:t>
            </w:r>
            <w:r w:rsidR="00104CCA">
              <w:rPr>
                <w:noProof/>
                <w:webHidden/>
              </w:rPr>
              <w:fldChar w:fldCharType="end"/>
            </w:r>
          </w:hyperlink>
        </w:p>
        <w:p w14:paraId="27D41C52" w14:textId="71AB5E77" w:rsidR="00104CCA" w:rsidRDefault="00770EBC">
          <w:pPr>
            <w:pStyle w:val="TOC3"/>
            <w:tabs>
              <w:tab w:val="left" w:pos="1320"/>
              <w:tab w:val="right" w:pos="9628"/>
            </w:tabs>
            <w:rPr>
              <w:rFonts w:eastAsiaTheme="minorEastAsia"/>
              <w:noProof/>
              <w:sz w:val="22"/>
              <w:lang w:eastAsia="en-NZ"/>
            </w:rPr>
          </w:pPr>
          <w:hyperlink w:anchor="_Toc114065150" w:history="1">
            <w:r w:rsidR="00104CCA" w:rsidRPr="00445ADD">
              <w:rPr>
                <w:rStyle w:val="Hyperlink"/>
                <w:noProof/>
              </w:rPr>
              <w:t>1.3.4</w:t>
            </w:r>
            <w:r w:rsidR="00104CCA">
              <w:rPr>
                <w:rFonts w:eastAsiaTheme="minorEastAsia"/>
                <w:noProof/>
                <w:sz w:val="22"/>
                <w:lang w:eastAsia="en-NZ"/>
              </w:rPr>
              <w:tab/>
            </w:r>
            <w:r w:rsidR="00104CCA" w:rsidRPr="00445ADD">
              <w:rPr>
                <w:rStyle w:val="Hyperlink"/>
                <w:noProof/>
              </w:rPr>
              <w:t>Co-design</w:t>
            </w:r>
            <w:r w:rsidR="00104CCA">
              <w:rPr>
                <w:noProof/>
                <w:webHidden/>
              </w:rPr>
              <w:tab/>
            </w:r>
            <w:r w:rsidR="00104CCA">
              <w:rPr>
                <w:noProof/>
                <w:webHidden/>
              </w:rPr>
              <w:fldChar w:fldCharType="begin"/>
            </w:r>
            <w:r w:rsidR="00104CCA">
              <w:rPr>
                <w:noProof/>
                <w:webHidden/>
              </w:rPr>
              <w:instrText xml:space="preserve"> PAGEREF _Toc114065150 \h </w:instrText>
            </w:r>
            <w:r w:rsidR="00104CCA">
              <w:rPr>
                <w:noProof/>
                <w:webHidden/>
              </w:rPr>
            </w:r>
            <w:r w:rsidR="00104CCA">
              <w:rPr>
                <w:noProof/>
                <w:webHidden/>
              </w:rPr>
              <w:fldChar w:fldCharType="separate"/>
            </w:r>
            <w:r w:rsidR="00CF36A0">
              <w:rPr>
                <w:noProof/>
                <w:webHidden/>
              </w:rPr>
              <w:t>9</w:t>
            </w:r>
            <w:r w:rsidR="00104CCA">
              <w:rPr>
                <w:noProof/>
                <w:webHidden/>
              </w:rPr>
              <w:fldChar w:fldCharType="end"/>
            </w:r>
          </w:hyperlink>
        </w:p>
        <w:p w14:paraId="0F4F4BF6" w14:textId="6BE7E56A" w:rsidR="00104CCA" w:rsidRDefault="00770EBC">
          <w:pPr>
            <w:pStyle w:val="TOC3"/>
            <w:tabs>
              <w:tab w:val="left" w:pos="1320"/>
              <w:tab w:val="right" w:pos="9628"/>
            </w:tabs>
            <w:rPr>
              <w:rFonts w:eastAsiaTheme="minorEastAsia"/>
              <w:noProof/>
              <w:sz w:val="22"/>
              <w:lang w:eastAsia="en-NZ"/>
            </w:rPr>
          </w:pPr>
          <w:hyperlink w:anchor="_Toc114065151" w:history="1">
            <w:r w:rsidR="00104CCA" w:rsidRPr="00445ADD">
              <w:rPr>
                <w:rStyle w:val="Hyperlink"/>
                <w:noProof/>
              </w:rPr>
              <w:t>1.3.5</w:t>
            </w:r>
            <w:r w:rsidR="00104CCA">
              <w:rPr>
                <w:rFonts w:eastAsiaTheme="minorEastAsia"/>
                <w:noProof/>
                <w:sz w:val="22"/>
                <w:lang w:eastAsia="en-NZ"/>
              </w:rPr>
              <w:tab/>
            </w:r>
            <w:r w:rsidR="00104CCA" w:rsidRPr="00445ADD">
              <w:rPr>
                <w:rStyle w:val="Hyperlink"/>
                <w:noProof/>
              </w:rPr>
              <w:t>Futureproofing</w:t>
            </w:r>
            <w:r w:rsidR="00104CCA">
              <w:rPr>
                <w:noProof/>
                <w:webHidden/>
              </w:rPr>
              <w:tab/>
            </w:r>
            <w:r w:rsidR="00104CCA">
              <w:rPr>
                <w:noProof/>
                <w:webHidden/>
              </w:rPr>
              <w:fldChar w:fldCharType="begin"/>
            </w:r>
            <w:r w:rsidR="00104CCA">
              <w:rPr>
                <w:noProof/>
                <w:webHidden/>
              </w:rPr>
              <w:instrText xml:space="preserve"> PAGEREF _Toc114065151 \h </w:instrText>
            </w:r>
            <w:r w:rsidR="00104CCA">
              <w:rPr>
                <w:noProof/>
                <w:webHidden/>
              </w:rPr>
            </w:r>
            <w:r w:rsidR="00104CCA">
              <w:rPr>
                <w:noProof/>
                <w:webHidden/>
              </w:rPr>
              <w:fldChar w:fldCharType="separate"/>
            </w:r>
            <w:r w:rsidR="00CF36A0">
              <w:rPr>
                <w:noProof/>
                <w:webHidden/>
              </w:rPr>
              <w:t>9</w:t>
            </w:r>
            <w:r w:rsidR="00104CCA">
              <w:rPr>
                <w:noProof/>
                <w:webHidden/>
              </w:rPr>
              <w:fldChar w:fldCharType="end"/>
            </w:r>
          </w:hyperlink>
        </w:p>
        <w:p w14:paraId="7021CB7F" w14:textId="054AAAF8" w:rsidR="00104CCA" w:rsidRDefault="00770EBC">
          <w:pPr>
            <w:pStyle w:val="TOC3"/>
            <w:tabs>
              <w:tab w:val="left" w:pos="1320"/>
              <w:tab w:val="right" w:pos="9628"/>
            </w:tabs>
            <w:rPr>
              <w:rFonts w:eastAsiaTheme="minorEastAsia"/>
              <w:noProof/>
              <w:sz w:val="22"/>
              <w:lang w:eastAsia="en-NZ"/>
            </w:rPr>
          </w:pPr>
          <w:hyperlink w:anchor="_Toc114065152" w:history="1">
            <w:r w:rsidR="00104CCA" w:rsidRPr="00445ADD">
              <w:rPr>
                <w:rStyle w:val="Hyperlink"/>
                <w:noProof/>
              </w:rPr>
              <w:t>1.3.6</w:t>
            </w:r>
            <w:r w:rsidR="00104CCA">
              <w:rPr>
                <w:rFonts w:eastAsiaTheme="minorEastAsia"/>
                <w:noProof/>
                <w:sz w:val="22"/>
                <w:lang w:eastAsia="en-NZ"/>
              </w:rPr>
              <w:tab/>
            </w:r>
            <w:r w:rsidR="00104CCA" w:rsidRPr="00445ADD">
              <w:rPr>
                <w:rStyle w:val="Hyperlink"/>
                <w:noProof/>
              </w:rPr>
              <w:t>Site master planning</w:t>
            </w:r>
            <w:r w:rsidR="00104CCA">
              <w:rPr>
                <w:noProof/>
                <w:webHidden/>
              </w:rPr>
              <w:tab/>
            </w:r>
            <w:r w:rsidR="00104CCA">
              <w:rPr>
                <w:noProof/>
                <w:webHidden/>
              </w:rPr>
              <w:fldChar w:fldCharType="begin"/>
            </w:r>
            <w:r w:rsidR="00104CCA">
              <w:rPr>
                <w:noProof/>
                <w:webHidden/>
              </w:rPr>
              <w:instrText xml:space="preserve"> PAGEREF _Toc114065152 \h </w:instrText>
            </w:r>
            <w:r w:rsidR="00104CCA">
              <w:rPr>
                <w:noProof/>
                <w:webHidden/>
              </w:rPr>
            </w:r>
            <w:r w:rsidR="00104CCA">
              <w:rPr>
                <w:noProof/>
                <w:webHidden/>
              </w:rPr>
              <w:fldChar w:fldCharType="separate"/>
            </w:r>
            <w:r w:rsidR="00CF36A0">
              <w:rPr>
                <w:noProof/>
                <w:webHidden/>
              </w:rPr>
              <w:t>9</w:t>
            </w:r>
            <w:r w:rsidR="00104CCA">
              <w:rPr>
                <w:noProof/>
                <w:webHidden/>
              </w:rPr>
              <w:fldChar w:fldCharType="end"/>
            </w:r>
          </w:hyperlink>
        </w:p>
        <w:p w14:paraId="5B88AAA4" w14:textId="02267F15" w:rsidR="00104CCA" w:rsidRDefault="00770EBC">
          <w:pPr>
            <w:pStyle w:val="TOC3"/>
            <w:tabs>
              <w:tab w:val="left" w:pos="1320"/>
              <w:tab w:val="right" w:pos="9628"/>
            </w:tabs>
            <w:rPr>
              <w:rFonts w:eastAsiaTheme="minorEastAsia"/>
              <w:noProof/>
              <w:sz w:val="22"/>
              <w:lang w:eastAsia="en-NZ"/>
            </w:rPr>
          </w:pPr>
          <w:hyperlink w:anchor="_Toc114065153" w:history="1">
            <w:r w:rsidR="00104CCA" w:rsidRPr="00445ADD">
              <w:rPr>
                <w:rStyle w:val="Hyperlink"/>
                <w:noProof/>
              </w:rPr>
              <w:t>1.3.7</w:t>
            </w:r>
            <w:r w:rsidR="00104CCA">
              <w:rPr>
                <w:rFonts w:eastAsiaTheme="minorEastAsia"/>
                <w:noProof/>
                <w:sz w:val="22"/>
                <w:lang w:eastAsia="en-NZ"/>
              </w:rPr>
              <w:tab/>
            </w:r>
            <w:r w:rsidR="00104CCA" w:rsidRPr="00445ADD">
              <w:rPr>
                <w:rStyle w:val="Hyperlink"/>
                <w:noProof/>
              </w:rPr>
              <w:t>Resilience and post-disaster planning</w:t>
            </w:r>
            <w:r w:rsidR="00104CCA">
              <w:rPr>
                <w:noProof/>
                <w:webHidden/>
              </w:rPr>
              <w:tab/>
            </w:r>
            <w:r w:rsidR="00104CCA">
              <w:rPr>
                <w:noProof/>
                <w:webHidden/>
              </w:rPr>
              <w:fldChar w:fldCharType="begin"/>
            </w:r>
            <w:r w:rsidR="00104CCA">
              <w:rPr>
                <w:noProof/>
                <w:webHidden/>
              </w:rPr>
              <w:instrText xml:space="preserve"> PAGEREF _Toc114065153 \h </w:instrText>
            </w:r>
            <w:r w:rsidR="00104CCA">
              <w:rPr>
                <w:noProof/>
                <w:webHidden/>
              </w:rPr>
            </w:r>
            <w:r w:rsidR="00104CCA">
              <w:rPr>
                <w:noProof/>
                <w:webHidden/>
              </w:rPr>
              <w:fldChar w:fldCharType="separate"/>
            </w:r>
            <w:r w:rsidR="00CF36A0">
              <w:rPr>
                <w:noProof/>
                <w:webHidden/>
              </w:rPr>
              <w:t>10</w:t>
            </w:r>
            <w:r w:rsidR="00104CCA">
              <w:rPr>
                <w:noProof/>
                <w:webHidden/>
              </w:rPr>
              <w:fldChar w:fldCharType="end"/>
            </w:r>
          </w:hyperlink>
        </w:p>
        <w:p w14:paraId="250737D0" w14:textId="281C3CF1" w:rsidR="00104CCA" w:rsidRDefault="00770EBC">
          <w:pPr>
            <w:pStyle w:val="TOC3"/>
            <w:tabs>
              <w:tab w:val="left" w:pos="1320"/>
              <w:tab w:val="right" w:pos="9628"/>
            </w:tabs>
            <w:rPr>
              <w:rFonts w:eastAsiaTheme="minorEastAsia"/>
              <w:noProof/>
              <w:sz w:val="22"/>
              <w:lang w:eastAsia="en-NZ"/>
            </w:rPr>
          </w:pPr>
          <w:hyperlink w:anchor="_Toc114065154" w:history="1">
            <w:r w:rsidR="00104CCA" w:rsidRPr="00445ADD">
              <w:rPr>
                <w:rStyle w:val="Hyperlink"/>
                <w:noProof/>
              </w:rPr>
              <w:t>1.3.8</w:t>
            </w:r>
            <w:r w:rsidR="00104CCA">
              <w:rPr>
                <w:rFonts w:eastAsiaTheme="minorEastAsia"/>
                <w:noProof/>
                <w:sz w:val="22"/>
                <w:lang w:eastAsia="en-NZ"/>
              </w:rPr>
              <w:tab/>
            </w:r>
            <w:r w:rsidR="00104CCA" w:rsidRPr="00445ADD">
              <w:rPr>
                <w:rStyle w:val="Hyperlink"/>
                <w:noProof/>
              </w:rPr>
              <w:t>Safe and secure environments</w:t>
            </w:r>
            <w:r w:rsidR="00104CCA">
              <w:rPr>
                <w:noProof/>
                <w:webHidden/>
              </w:rPr>
              <w:tab/>
            </w:r>
            <w:r w:rsidR="00104CCA">
              <w:rPr>
                <w:noProof/>
                <w:webHidden/>
              </w:rPr>
              <w:fldChar w:fldCharType="begin"/>
            </w:r>
            <w:r w:rsidR="00104CCA">
              <w:rPr>
                <w:noProof/>
                <w:webHidden/>
              </w:rPr>
              <w:instrText xml:space="preserve"> PAGEREF _Toc114065154 \h </w:instrText>
            </w:r>
            <w:r w:rsidR="00104CCA">
              <w:rPr>
                <w:noProof/>
                <w:webHidden/>
              </w:rPr>
            </w:r>
            <w:r w:rsidR="00104CCA">
              <w:rPr>
                <w:noProof/>
                <w:webHidden/>
              </w:rPr>
              <w:fldChar w:fldCharType="separate"/>
            </w:r>
            <w:r w:rsidR="00CF36A0">
              <w:rPr>
                <w:noProof/>
                <w:webHidden/>
              </w:rPr>
              <w:t>10</w:t>
            </w:r>
            <w:r w:rsidR="00104CCA">
              <w:rPr>
                <w:noProof/>
                <w:webHidden/>
              </w:rPr>
              <w:fldChar w:fldCharType="end"/>
            </w:r>
          </w:hyperlink>
        </w:p>
        <w:p w14:paraId="20F4DF10" w14:textId="563E1C17" w:rsidR="00104CCA" w:rsidRDefault="00770EBC">
          <w:pPr>
            <w:pStyle w:val="TOC3"/>
            <w:tabs>
              <w:tab w:val="left" w:pos="1320"/>
              <w:tab w:val="right" w:pos="9628"/>
            </w:tabs>
            <w:rPr>
              <w:rFonts w:eastAsiaTheme="minorEastAsia"/>
              <w:noProof/>
              <w:sz w:val="22"/>
              <w:lang w:eastAsia="en-NZ"/>
            </w:rPr>
          </w:pPr>
          <w:hyperlink w:anchor="_Toc114065155" w:history="1">
            <w:r w:rsidR="00104CCA" w:rsidRPr="00445ADD">
              <w:rPr>
                <w:rStyle w:val="Hyperlink"/>
                <w:noProof/>
              </w:rPr>
              <w:t>1.3.9</w:t>
            </w:r>
            <w:r w:rsidR="00104CCA">
              <w:rPr>
                <w:rFonts w:eastAsiaTheme="minorEastAsia"/>
                <w:noProof/>
                <w:sz w:val="22"/>
                <w:lang w:eastAsia="en-NZ"/>
              </w:rPr>
              <w:tab/>
            </w:r>
            <w:r w:rsidR="00104CCA" w:rsidRPr="00445ADD">
              <w:rPr>
                <w:rStyle w:val="Hyperlink"/>
                <w:noProof/>
              </w:rPr>
              <w:t>Dignity, autonomy, and choice</w:t>
            </w:r>
            <w:r w:rsidR="00104CCA">
              <w:rPr>
                <w:noProof/>
                <w:webHidden/>
              </w:rPr>
              <w:tab/>
            </w:r>
            <w:r w:rsidR="00104CCA">
              <w:rPr>
                <w:noProof/>
                <w:webHidden/>
              </w:rPr>
              <w:fldChar w:fldCharType="begin"/>
            </w:r>
            <w:r w:rsidR="00104CCA">
              <w:rPr>
                <w:noProof/>
                <w:webHidden/>
              </w:rPr>
              <w:instrText xml:space="preserve"> PAGEREF _Toc114065155 \h </w:instrText>
            </w:r>
            <w:r w:rsidR="00104CCA">
              <w:rPr>
                <w:noProof/>
                <w:webHidden/>
              </w:rPr>
            </w:r>
            <w:r w:rsidR="00104CCA">
              <w:rPr>
                <w:noProof/>
                <w:webHidden/>
              </w:rPr>
              <w:fldChar w:fldCharType="separate"/>
            </w:r>
            <w:r w:rsidR="00CF36A0">
              <w:rPr>
                <w:noProof/>
                <w:webHidden/>
              </w:rPr>
              <w:t>10</w:t>
            </w:r>
            <w:r w:rsidR="00104CCA">
              <w:rPr>
                <w:noProof/>
                <w:webHidden/>
              </w:rPr>
              <w:fldChar w:fldCharType="end"/>
            </w:r>
          </w:hyperlink>
        </w:p>
        <w:p w14:paraId="6D1E1AA3" w14:textId="5507B62C" w:rsidR="00104CCA" w:rsidRDefault="00770EBC">
          <w:pPr>
            <w:pStyle w:val="TOC3"/>
            <w:tabs>
              <w:tab w:val="left" w:pos="1320"/>
              <w:tab w:val="right" w:pos="9628"/>
            </w:tabs>
            <w:rPr>
              <w:rFonts w:eastAsiaTheme="minorEastAsia"/>
              <w:noProof/>
              <w:sz w:val="22"/>
              <w:lang w:eastAsia="en-NZ"/>
            </w:rPr>
          </w:pPr>
          <w:hyperlink w:anchor="_Toc114065156" w:history="1">
            <w:r w:rsidR="00104CCA" w:rsidRPr="00445ADD">
              <w:rPr>
                <w:rStyle w:val="Hyperlink"/>
                <w:noProof/>
              </w:rPr>
              <w:t>1.3.10</w:t>
            </w:r>
            <w:r w:rsidR="00104CCA">
              <w:rPr>
                <w:rFonts w:eastAsiaTheme="minorEastAsia"/>
                <w:noProof/>
                <w:sz w:val="22"/>
                <w:lang w:eastAsia="en-NZ"/>
              </w:rPr>
              <w:tab/>
            </w:r>
            <w:r w:rsidR="00104CCA" w:rsidRPr="00445ADD">
              <w:rPr>
                <w:rStyle w:val="Hyperlink"/>
                <w:noProof/>
              </w:rPr>
              <w:t>Therapeutic environment</w:t>
            </w:r>
            <w:r w:rsidR="00104CCA">
              <w:rPr>
                <w:noProof/>
                <w:webHidden/>
              </w:rPr>
              <w:tab/>
            </w:r>
            <w:r w:rsidR="00104CCA">
              <w:rPr>
                <w:noProof/>
                <w:webHidden/>
              </w:rPr>
              <w:fldChar w:fldCharType="begin"/>
            </w:r>
            <w:r w:rsidR="00104CCA">
              <w:rPr>
                <w:noProof/>
                <w:webHidden/>
              </w:rPr>
              <w:instrText xml:space="preserve"> PAGEREF _Toc114065156 \h </w:instrText>
            </w:r>
            <w:r w:rsidR="00104CCA">
              <w:rPr>
                <w:noProof/>
                <w:webHidden/>
              </w:rPr>
            </w:r>
            <w:r w:rsidR="00104CCA">
              <w:rPr>
                <w:noProof/>
                <w:webHidden/>
              </w:rPr>
              <w:fldChar w:fldCharType="separate"/>
            </w:r>
            <w:r w:rsidR="00CF36A0">
              <w:rPr>
                <w:noProof/>
                <w:webHidden/>
              </w:rPr>
              <w:t>11</w:t>
            </w:r>
            <w:r w:rsidR="00104CCA">
              <w:rPr>
                <w:noProof/>
                <w:webHidden/>
              </w:rPr>
              <w:fldChar w:fldCharType="end"/>
            </w:r>
          </w:hyperlink>
        </w:p>
        <w:p w14:paraId="36F0D767" w14:textId="16ACF271" w:rsidR="00104CCA" w:rsidRDefault="00770EBC">
          <w:pPr>
            <w:pStyle w:val="TOC2"/>
            <w:tabs>
              <w:tab w:val="left" w:pos="880"/>
              <w:tab w:val="right" w:pos="9628"/>
            </w:tabs>
            <w:rPr>
              <w:rFonts w:eastAsiaTheme="minorEastAsia"/>
              <w:noProof/>
              <w:sz w:val="22"/>
              <w:lang w:eastAsia="en-NZ"/>
            </w:rPr>
          </w:pPr>
          <w:hyperlink w:anchor="_Toc114065157" w:history="1">
            <w:r w:rsidR="00104CCA" w:rsidRPr="00445ADD">
              <w:rPr>
                <w:rStyle w:val="Hyperlink"/>
                <w:noProof/>
              </w:rPr>
              <w:t>1.4</w:t>
            </w:r>
            <w:r w:rsidR="00104CCA">
              <w:rPr>
                <w:rFonts w:eastAsiaTheme="minorEastAsia"/>
                <w:noProof/>
                <w:sz w:val="22"/>
                <w:lang w:eastAsia="en-NZ"/>
              </w:rPr>
              <w:tab/>
            </w:r>
            <w:r w:rsidR="00104CCA" w:rsidRPr="00445ADD">
              <w:rPr>
                <w:rStyle w:val="Hyperlink"/>
                <w:noProof/>
              </w:rPr>
              <w:t>Clinical service planning and functional design brief</w:t>
            </w:r>
            <w:r w:rsidR="00104CCA">
              <w:rPr>
                <w:noProof/>
                <w:webHidden/>
              </w:rPr>
              <w:tab/>
            </w:r>
            <w:r w:rsidR="00104CCA">
              <w:rPr>
                <w:noProof/>
                <w:webHidden/>
              </w:rPr>
              <w:fldChar w:fldCharType="begin"/>
            </w:r>
            <w:r w:rsidR="00104CCA">
              <w:rPr>
                <w:noProof/>
                <w:webHidden/>
              </w:rPr>
              <w:instrText xml:space="preserve"> PAGEREF _Toc114065157 \h </w:instrText>
            </w:r>
            <w:r w:rsidR="00104CCA">
              <w:rPr>
                <w:noProof/>
                <w:webHidden/>
              </w:rPr>
            </w:r>
            <w:r w:rsidR="00104CCA">
              <w:rPr>
                <w:noProof/>
                <w:webHidden/>
              </w:rPr>
              <w:fldChar w:fldCharType="separate"/>
            </w:r>
            <w:r w:rsidR="00CF36A0">
              <w:rPr>
                <w:noProof/>
                <w:webHidden/>
              </w:rPr>
              <w:t>11</w:t>
            </w:r>
            <w:r w:rsidR="00104CCA">
              <w:rPr>
                <w:noProof/>
                <w:webHidden/>
              </w:rPr>
              <w:fldChar w:fldCharType="end"/>
            </w:r>
          </w:hyperlink>
        </w:p>
        <w:p w14:paraId="50844B61" w14:textId="67984F5D" w:rsidR="00104CCA" w:rsidRDefault="00770EBC">
          <w:pPr>
            <w:pStyle w:val="TOC2"/>
            <w:tabs>
              <w:tab w:val="left" w:pos="880"/>
              <w:tab w:val="right" w:pos="9628"/>
            </w:tabs>
            <w:rPr>
              <w:rFonts w:eastAsiaTheme="minorEastAsia"/>
              <w:noProof/>
              <w:sz w:val="22"/>
              <w:lang w:eastAsia="en-NZ"/>
            </w:rPr>
          </w:pPr>
          <w:hyperlink w:anchor="_Toc114065158" w:history="1">
            <w:r w:rsidR="00104CCA" w:rsidRPr="00445ADD">
              <w:rPr>
                <w:rStyle w:val="Hyperlink"/>
                <w:noProof/>
              </w:rPr>
              <w:t>1.5</w:t>
            </w:r>
            <w:r w:rsidR="00104CCA">
              <w:rPr>
                <w:rFonts w:eastAsiaTheme="minorEastAsia"/>
                <w:noProof/>
                <w:sz w:val="22"/>
                <w:lang w:eastAsia="en-NZ"/>
              </w:rPr>
              <w:tab/>
            </w:r>
            <w:r w:rsidR="00104CCA" w:rsidRPr="00445ADD">
              <w:rPr>
                <w:rStyle w:val="Hyperlink"/>
                <w:noProof/>
              </w:rPr>
              <w:t>Kaupapa Māori considerations</w:t>
            </w:r>
            <w:r w:rsidR="00104CCA">
              <w:rPr>
                <w:noProof/>
                <w:webHidden/>
              </w:rPr>
              <w:tab/>
            </w:r>
            <w:r w:rsidR="00104CCA">
              <w:rPr>
                <w:noProof/>
                <w:webHidden/>
              </w:rPr>
              <w:fldChar w:fldCharType="begin"/>
            </w:r>
            <w:r w:rsidR="00104CCA">
              <w:rPr>
                <w:noProof/>
                <w:webHidden/>
              </w:rPr>
              <w:instrText xml:space="preserve"> PAGEREF _Toc114065158 \h </w:instrText>
            </w:r>
            <w:r w:rsidR="00104CCA">
              <w:rPr>
                <w:noProof/>
                <w:webHidden/>
              </w:rPr>
            </w:r>
            <w:r w:rsidR="00104CCA">
              <w:rPr>
                <w:noProof/>
                <w:webHidden/>
              </w:rPr>
              <w:fldChar w:fldCharType="separate"/>
            </w:r>
            <w:r w:rsidR="00CF36A0">
              <w:rPr>
                <w:noProof/>
                <w:webHidden/>
              </w:rPr>
              <w:t>11</w:t>
            </w:r>
            <w:r w:rsidR="00104CCA">
              <w:rPr>
                <w:noProof/>
                <w:webHidden/>
              </w:rPr>
              <w:fldChar w:fldCharType="end"/>
            </w:r>
          </w:hyperlink>
        </w:p>
        <w:p w14:paraId="7E4CB495" w14:textId="2CFCD9FB" w:rsidR="00104CCA" w:rsidRDefault="00770EBC">
          <w:pPr>
            <w:pStyle w:val="TOC3"/>
            <w:tabs>
              <w:tab w:val="left" w:pos="1320"/>
              <w:tab w:val="right" w:pos="9628"/>
            </w:tabs>
            <w:rPr>
              <w:rFonts w:eastAsiaTheme="minorEastAsia"/>
              <w:noProof/>
              <w:sz w:val="22"/>
              <w:lang w:eastAsia="en-NZ"/>
            </w:rPr>
          </w:pPr>
          <w:hyperlink w:anchor="_Toc114065159" w:history="1">
            <w:r w:rsidR="00104CCA" w:rsidRPr="00445ADD">
              <w:rPr>
                <w:rStyle w:val="Hyperlink"/>
                <w:noProof/>
              </w:rPr>
              <w:t>1.5.1</w:t>
            </w:r>
            <w:r w:rsidR="00104CCA">
              <w:rPr>
                <w:rFonts w:eastAsiaTheme="minorEastAsia"/>
                <w:noProof/>
                <w:sz w:val="22"/>
                <w:lang w:eastAsia="en-NZ"/>
              </w:rPr>
              <w:tab/>
            </w:r>
            <w:r w:rsidR="00104CCA" w:rsidRPr="00445ADD">
              <w:rPr>
                <w:rStyle w:val="Hyperlink"/>
                <w:noProof/>
              </w:rPr>
              <w:t>Kaupapa Māori concepts</w:t>
            </w:r>
            <w:r w:rsidR="00104CCA">
              <w:rPr>
                <w:noProof/>
                <w:webHidden/>
              </w:rPr>
              <w:tab/>
            </w:r>
            <w:r w:rsidR="00104CCA">
              <w:rPr>
                <w:noProof/>
                <w:webHidden/>
              </w:rPr>
              <w:fldChar w:fldCharType="begin"/>
            </w:r>
            <w:r w:rsidR="00104CCA">
              <w:rPr>
                <w:noProof/>
                <w:webHidden/>
              </w:rPr>
              <w:instrText xml:space="preserve"> PAGEREF _Toc114065159 \h </w:instrText>
            </w:r>
            <w:r w:rsidR="00104CCA">
              <w:rPr>
                <w:noProof/>
                <w:webHidden/>
              </w:rPr>
            </w:r>
            <w:r w:rsidR="00104CCA">
              <w:rPr>
                <w:noProof/>
                <w:webHidden/>
              </w:rPr>
              <w:fldChar w:fldCharType="separate"/>
            </w:r>
            <w:r w:rsidR="00CF36A0">
              <w:rPr>
                <w:noProof/>
                <w:webHidden/>
              </w:rPr>
              <w:t>11</w:t>
            </w:r>
            <w:r w:rsidR="00104CCA">
              <w:rPr>
                <w:noProof/>
                <w:webHidden/>
              </w:rPr>
              <w:fldChar w:fldCharType="end"/>
            </w:r>
          </w:hyperlink>
        </w:p>
        <w:p w14:paraId="5FB8AAFE" w14:textId="5DB76BA5" w:rsidR="00104CCA" w:rsidRDefault="00770EBC">
          <w:pPr>
            <w:pStyle w:val="TOC3"/>
            <w:tabs>
              <w:tab w:val="left" w:pos="1320"/>
              <w:tab w:val="right" w:pos="9628"/>
            </w:tabs>
            <w:rPr>
              <w:rFonts w:eastAsiaTheme="minorEastAsia"/>
              <w:noProof/>
              <w:sz w:val="22"/>
              <w:lang w:eastAsia="en-NZ"/>
            </w:rPr>
          </w:pPr>
          <w:hyperlink w:anchor="_Toc114065160" w:history="1">
            <w:r w:rsidR="00104CCA" w:rsidRPr="00445ADD">
              <w:rPr>
                <w:rStyle w:val="Hyperlink"/>
                <w:noProof/>
              </w:rPr>
              <w:t>1.5.2</w:t>
            </w:r>
            <w:r w:rsidR="00104CCA">
              <w:rPr>
                <w:rFonts w:eastAsiaTheme="minorEastAsia"/>
                <w:noProof/>
                <w:sz w:val="22"/>
                <w:lang w:eastAsia="en-NZ"/>
              </w:rPr>
              <w:tab/>
            </w:r>
            <w:r w:rsidR="00104CCA" w:rsidRPr="00445ADD">
              <w:rPr>
                <w:rStyle w:val="Hyperlink"/>
                <w:noProof/>
              </w:rPr>
              <w:t>Tūpāpaku</w:t>
            </w:r>
            <w:r w:rsidR="00104CCA">
              <w:rPr>
                <w:noProof/>
                <w:webHidden/>
              </w:rPr>
              <w:tab/>
            </w:r>
            <w:r w:rsidR="00104CCA">
              <w:rPr>
                <w:noProof/>
                <w:webHidden/>
              </w:rPr>
              <w:fldChar w:fldCharType="begin"/>
            </w:r>
            <w:r w:rsidR="00104CCA">
              <w:rPr>
                <w:noProof/>
                <w:webHidden/>
              </w:rPr>
              <w:instrText xml:space="preserve"> PAGEREF _Toc114065160 \h </w:instrText>
            </w:r>
            <w:r w:rsidR="00104CCA">
              <w:rPr>
                <w:noProof/>
                <w:webHidden/>
              </w:rPr>
            </w:r>
            <w:r w:rsidR="00104CCA">
              <w:rPr>
                <w:noProof/>
                <w:webHidden/>
              </w:rPr>
              <w:fldChar w:fldCharType="separate"/>
            </w:r>
            <w:r w:rsidR="00CF36A0">
              <w:rPr>
                <w:noProof/>
                <w:webHidden/>
              </w:rPr>
              <w:t>12</w:t>
            </w:r>
            <w:r w:rsidR="00104CCA">
              <w:rPr>
                <w:noProof/>
                <w:webHidden/>
              </w:rPr>
              <w:fldChar w:fldCharType="end"/>
            </w:r>
          </w:hyperlink>
        </w:p>
        <w:p w14:paraId="4A84BDA5" w14:textId="64008226" w:rsidR="00104CCA" w:rsidRDefault="00770EBC">
          <w:pPr>
            <w:pStyle w:val="TOC3"/>
            <w:tabs>
              <w:tab w:val="left" w:pos="1320"/>
              <w:tab w:val="right" w:pos="9628"/>
            </w:tabs>
            <w:rPr>
              <w:rFonts w:eastAsiaTheme="minorEastAsia"/>
              <w:noProof/>
              <w:sz w:val="22"/>
              <w:lang w:eastAsia="en-NZ"/>
            </w:rPr>
          </w:pPr>
          <w:hyperlink w:anchor="_Toc114065161" w:history="1">
            <w:r w:rsidR="00104CCA" w:rsidRPr="00445ADD">
              <w:rPr>
                <w:rStyle w:val="Hyperlink"/>
                <w:noProof/>
              </w:rPr>
              <w:t>1.5.3</w:t>
            </w:r>
            <w:r w:rsidR="00104CCA">
              <w:rPr>
                <w:rFonts w:eastAsiaTheme="minorEastAsia"/>
                <w:noProof/>
                <w:sz w:val="22"/>
                <w:lang w:eastAsia="en-NZ"/>
              </w:rPr>
              <w:tab/>
            </w:r>
            <w:r w:rsidR="00104CCA" w:rsidRPr="00445ADD">
              <w:rPr>
                <w:rStyle w:val="Hyperlink"/>
                <w:noProof/>
              </w:rPr>
              <w:t>Design elements to support Kaupapa Māori concepts</w:t>
            </w:r>
            <w:r w:rsidR="00104CCA">
              <w:rPr>
                <w:noProof/>
                <w:webHidden/>
              </w:rPr>
              <w:tab/>
            </w:r>
            <w:r w:rsidR="00104CCA">
              <w:rPr>
                <w:noProof/>
                <w:webHidden/>
              </w:rPr>
              <w:fldChar w:fldCharType="begin"/>
            </w:r>
            <w:r w:rsidR="00104CCA">
              <w:rPr>
                <w:noProof/>
                <w:webHidden/>
              </w:rPr>
              <w:instrText xml:space="preserve"> PAGEREF _Toc114065161 \h </w:instrText>
            </w:r>
            <w:r w:rsidR="00104CCA">
              <w:rPr>
                <w:noProof/>
                <w:webHidden/>
              </w:rPr>
            </w:r>
            <w:r w:rsidR="00104CCA">
              <w:rPr>
                <w:noProof/>
                <w:webHidden/>
              </w:rPr>
              <w:fldChar w:fldCharType="separate"/>
            </w:r>
            <w:r w:rsidR="00CF36A0">
              <w:rPr>
                <w:noProof/>
                <w:webHidden/>
              </w:rPr>
              <w:t>13</w:t>
            </w:r>
            <w:r w:rsidR="00104CCA">
              <w:rPr>
                <w:noProof/>
                <w:webHidden/>
              </w:rPr>
              <w:fldChar w:fldCharType="end"/>
            </w:r>
          </w:hyperlink>
        </w:p>
        <w:p w14:paraId="616C47F1" w14:textId="15AA482F" w:rsidR="00104CCA" w:rsidRDefault="00770EBC">
          <w:pPr>
            <w:pStyle w:val="TOC2"/>
            <w:tabs>
              <w:tab w:val="left" w:pos="880"/>
              <w:tab w:val="right" w:pos="9628"/>
            </w:tabs>
            <w:rPr>
              <w:rFonts w:eastAsiaTheme="minorEastAsia"/>
              <w:noProof/>
              <w:sz w:val="22"/>
              <w:lang w:eastAsia="en-NZ"/>
            </w:rPr>
          </w:pPr>
          <w:hyperlink w:anchor="_Toc114065162" w:history="1">
            <w:r w:rsidR="00104CCA" w:rsidRPr="00445ADD">
              <w:rPr>
                <w:rStyle w:val="Hyperlink"/>
                <w:noProof/>
              </w:rPr>
              <w:t>1.6</w:t>
            </w:r>
            <w:r w:rsidR="00104CCA">
              <w:rPr>
                <w:rFonts w:eastAsiaTheme="minorEastAsia"/>
                <w:noProof/>
                <w:sz w:val="22"/>
                <w:lang w:eastAsia="en-NZ"/>
              </w:rPr>
              <w:tab/>
            </w:r>
            <w:r w:rsidR="00104CCA" w:rsidRPr="00445ADD">
              <w:rPr>
                <w:rStyle w:val="Hyperlink"/>
                <w:noProof/>
              </w:rPr>
              <w:t>Seismic considerations in Aotearoa New Zealand</w:t>
            </w:r>
            <w:r w:rsidR="00104CCA">
              <w:rPr>
                <w:noProof/>
                <w:webHidden/>
              </w:rPr>
              <w:tab/>
            </w:r>
            <w:r w:rsidR="00104CCA">
              <w:rPr>
                <w:noProof/>
                <w:webHidden/>
              </w:rPr>
              <w:fldChar w:fldCharType="begin"/>
            </w:r>
            <w:r w:rsidR="00104CCA">
              <w:rPr>
                <w:noProof/>
                <w:webHidden/>
              </w:rPr>
              <w:instrText xml:space="preserve"> PAGEREF _Toc114065162 \h </w:instrText>
            </w:r>
            <w:r w:rsidR="00104CCA">
              <w:rPr>
                <w:noProof/>
                <w:webHidden/>
              </w:rPr>
            </w:r>
            <w:r w:rsidR="00104CCA">
              <w:rPr>
                <w:noProof/>
                <w:webHidden/>
              </w:rPr>
              <w:fldChar w:fldCharType="separate"/>
            </w:r>
            <w:r w:rsidR="00CF36A0">
              <w:rPr>
                <w:noProof/>
                <w:webHidden/>
              </w:rPr>
              <w:t>14</w:t>
            </w:r>
            <w:r w:rsidR="00104CCA">
              <w:rPr>
                <w:noProof/>
                <w:webHidden/>
              </w:rPr>
              <w:fldChar w:fldCharType="end"/>
            </w:r>
          </w:hyperlink>
        </w:p>
        <w:p w14:paraId="1210E310" w14:textId="517396DD" w:rsidR="00104CCA" w:rsidRDefault="00770EBC">
          <w:pPr>
            <w:pStyle w:val="TOC2"/>
            <w:tabs>
              <w:tab w:val="left" w:pos="880"/>
              <w:tab w:val="right" w:pos="9628"/>
            </w:tabs>
            <w:rPr>
              <w:rFonts w:eastAsiaTheme="minorEastAsia"/>
              <w:noProof/>
              <w:sz w:val="22"/>
              <w:lang w:eastAsia="en-NZ"/>
            </w:rPr>
          </w:pPr>
          <w:hyperlink w:anchor="_Toc114065163" w:history="1">
            <w:r w:rsidR="00104CCA" w:rsidRPr="00445ADD">
              <w:rPr>
                <w:rStyle w:val="Hyperlink"/>
                <w:noProof/>
              </w:rPr>
              <w:t>1.7</w:t>
            </w:r>
            <w:r w:rsidR="00104CCA">
              <w:rPr>
                <w:rFonts w:eastAsiaTheme="minorEastAsia"/>
                <w:noProof/>
                <w:sz w:val="22"/>
                <w:lang w:eastAsia="en-NZ"/>
              </w:rPr>
              <w:tab/>
            </w:r>
            <w:r w:rsidR="00104CCA" w:rsidRPr="00445ADD">
              <w:rPr>
                <w:rStyle w:val="Hyperlink"/>
                <w:noProof/>
              </w:rPr>
              <w:t>Climatic considerations in Aotearoa New Zealand</w:t>
            </w:r>
            <w:r w:rsidR="00104CCA">
              <w:rPr>
                <w:noProof/>
                <w:webHidden/>
              </w:rPr>
              <w:tab/>
            </w:r>
            <w:r w:rsidR="00104CCA">
              <w:rPr>
                <w:noProof/>
                <w:webHidden/>
              </w:rPr>
              <w:fldChar w:fldCharType="begin"/>
            </w:r>
            <w:r w:rsidR="00104CCA">
              <w:rPr>
                <w:noProof/>
                <w:webHidden/>
              </w:rPr>
              <w:instrText xml:space="preserve"> PAGEREF _Toc114065163 \h </w:instrText>
            </w:r>
            <w:r w:rsidR="00104CCA">
              <w:rPr>
                <w:noProof/>
                <w:webHidden/>
              </w:rPr>
            </w:r>
            <w:r w:rsidR="00104CCA">
              <w:rPr>
                <w:noProof/>
                <w:webHidden/>
              </w:rPr>
              <w:fldChar w:fldCharType="separate"/>
            </w:r>
            <w:r w:rsidR="00CF36A0">
              <w:rPr>
                <w:noProof/>
                <w:webHidden/>
              </w:rPr>
              <w:t>14</w:t>
            </w:r>
            <w:r w:rsidR="00104CCA">
              <w:rPr>
                <w:noProof/>
                <w:webHidden/>
              </w:rPr>
              <w:fldChar w:fldCharType="end"/>
            </w:r>
          </w:hyperlink>
        </w:p>
        <w:p w14:paraId="2CE38F9E" w14:textId="0075626A" w:rsidR="00104CCA" w:rsidRDefault="00770EBC">
          <w:pPr>
            <w:pStyle w:val="TOC2"/>
            <w:tabs>
              <w:tab w:val="left" w:pos="880"/>
              <w:tab w:val="right" w:pos="9628"/>
            </w:tabs>
            <w:rPr>
              <w:rFonts w:eastAsiaTheme="minorEastAsia"/>
              <w:noProof/>
              <w:sz w:val="22"/>
              <w:lang w:eastAsia="en-NZ"/>
            </w:rPr>
          </w:pPr>
          <w:hyperlink w:anchor="_Toc114065164" w:history="1">
            <w:r w:rsidR="00104CCA" w:rsidRPr="00445ADD">
              <w:rPr>
                <w:rStyle w:val="Hyperlink"/>
                <w:noProof/>
              </w:rPr>
              <w:t>1.8</w:t>
            </w:r>
            <w:r w:rsidR="00104CCA">
              <w:rPr>
                <w:rFonts w:eastAsiaTheme="minorEastAsia"/>
                <w:noProof/>
                <w:sz w:val="22"/>
                <w:lang w:eastAsia="en-NZ"/>
              </w:rPr>
              <w:tab/>
            </w:r>
            <w:r w:rsidR="00104CCA" w:rsidRPr="00445ADD">
              <w:rPr>
                <w:rStyle w:val="Hyperlink"/>
                <w:noProof/>
              </w:rPr>
              <w:t>Design Assurance</w:t>
            </w:r>
            <w:r w:rsidR="00104CCA">
              <w:rPr>
                <w:noProof/>
                <w:webHidden/>
              </w:rPr>
              <w:tab/>
            </w:r>
            <w:r w:rsidR="00104CCA">
              <w:rPr>
                <w:noProof/>
                <w:webHidden/>
              </w:rPr>
              <w:fldChar w:fldCharType="begin"/>
            </w:r>
            <w:r w:rsidR="00104CCA">
              <w:rPr>
                <w:noProof/>
                <w:webHidden/>
              </w:rPr>
              <w:instrText xml:space="preserve"> PAGEREF _Toc114065164 \h </w:instrText>
            </w:r>
            <w:r w:rsidR="00104CCA">
              <w:rPr>
                <w:noProof/>
                <w:webHidden/>
              </w:rPr>
            </w:r>
            <w:r w:rsidR="00104CCA">
              <w:rPr>
                <w:noProof/>
                <w:webHidden/>
              </w:rPr>
              <w:fldChar w:fldCharType="separate"/>
            </w:r>
            <w:r w:rsidR="00CF36A0">
              <w:rPr>
                <w:noProof/>
                <w:webHidden/>
              </w:rPr>
              <w:t>14</w:t>
            </w:r>
            <w:r w:rsidR="00104CCA">
              <w:rPr>
                <w:noProof/>
                <w:webHidden/>
              </w:rPr>
              <w:fldChar w:fldCharType="end"/>
            </w:r>
          </w:hyperlink>
        </w:p>
        <w:p w14:paraId="310959B8" w14:textId="559E4F13" w:rsidR="00104CCA" w:rsidRDefault="00770EBC">
          <w:pPr>
            <w:pStyle w:val="TOC2"/>
            <w:tabs>
              <w:tab w:val="left" w:pos="880"/>
              <w:tab w:val="right" w:pos="9628"/>
            </w:tabs>
            <w:rPr>
              <w:rFonts w:eastAsiaTheme="minorEastAsia"/>
              <w:noProof/>
              <w:sz w:val="22"/>
              <w:lang w:eastAsia="en-NZ"/>
            </w:rPr>
          </w:pPr>
          <w:hyperlink w:anchor="_Toc114065165" w:history="1">
            <w:r w:rsidR="00104CCA" w:rsidRPr="00445ADD">
              <w:rPr>
                <w:rStyle w:val="Hyperlink"/>
                <w:noProof/>
              </w:rPr>
              <w:t>1.9</w:t>
            </w:r>
            <w:r w:rsidR="00104CCA">
              <w:rPr>
                <w:rFonts w:eastAsiaTheme="minorEastAsia"/>
                <w:noProof/>
                <w:sz w:val="22"/>
                <w:lang w:eastAsia="en-NZ"/>
              </w:rPr>
              <w:tab/>
            </w:r>
            <w:r w:rsidR="00104CCA" w:rsidRPr="00445ADD">
              <w:rPr>
                <w:rStyle w:val="Hyperlink"/>
                <w:noProof/>
              </w:rPr>
              <w:t>Area measurement</w:t>
            </w:r>
            <w:r w:rsidR="00104CCA">
              <w:rPr>
                <w:noProof/>
                <w:webHidden/>
              </w:rPr>
              <w:tab/>
            </w:r>
            <w:r w:rsidR="00104CCA">
              <w:rPr>
                <w:noProof/>
                <w:webHidden/>
              </w:rPr>
              <w:fldChar w:fldCharType="begin"/>
            </w:r>
            <w:r w:rsidR="00104CCA">
              <w:rPr>
                <w:noProof/>
                <w:webHidden/>
              </w:rPr>
              <w:instrText xml:space="preserve"> PAGEREF _Toc114065165 \h </w:instrText>
            </w:r>
            <w:r w:rsidR="00104CCA">
              <w:rPr>
                <w:noProof/>
                <w:webHidden/>
              </w:rPr>
            </w:r>
            <w:r w:rsidR="00104CCA">
              <w:rPr>
                <w:noProof/>
                <w:webHidden/>
              </w:rPr>
              <w:fldChar w:fldCharType="separate"/>
            </w:r>
            <w:r w:rsidR="00CF36A0">
              <w:rPr>
                <w:noProof/>
                <w:webHidden/>
              </w:rPr>
              <w:t>15</w:t>
            </w:r>
            <w:r w:rsidR="00104CCA">
              <w:rPr>
                <w:noProof/>
                <w:webHidden/>
              </w:rPr>
              <w:fldChar w:fldCharType="end"/>
            </w:r>
          </w:hyperlink>
        </w:p>
        <w:p w14:paraId="4EC3BFF5" w14:textId="4ECCACE3" w:rsidR="00104CCA" w:rsidRDefault="00770EBC">
          <w:pPr>
            <w:pStyle w:val="TOC2"/>
            <w:tabs>
              <w:tab w:val="left" w:pos="1100"/>
              <w:tab w:val="right" w:pos="9628"/>
            </w:tabs>
            <w:rPr>
              <w:rFonts w:eastAsiaTheme="minorEastAsia"/>
              <w:noProof/>
              <w:sz w:val="22"/>
              <w:lang w:eastAsia="en-NZ"/>
            </w:rPr>
          </w:pPr>
          <w:hyperlink w:anchor="_Toc114065166" w:history="1">
            <w:r w:rsidR="00104CCA" w:rsidRPr="00445ADD">
              <w:rPr>
                <w:rStyle w:val="Hyperlink"/>
                <w:noProof/>
              </w:rPr>
              <w:t>1.10</w:t>
            </w:r>
            <w:r w:rsidR="00104CCA">
              <w:rPr>
                <w:rFonts w:eastAsiaTheme="minorEastAsia"/>
                <w:noProof/>
                <w:sz w:val="22"/>
                <w:lang w:eastAsia="en-NZ"/>
              </w:rPr>
              <w:tab/>
            </w:r>
            <w:r w:rsidR="00104CCA" w:rsidRPr="00445ADD">
              <w:rPr>
                <w:rStyle w:val="Hyperlink"/>
                <w:noProof/>
              </w:rPr>
              <w:t>Te Whatu Ora environmentally sustainable design principles</w:t>
            </w:r>
            <w:r w:rsidR="00104CCA">
              <w:rPr>
                <w:noProof/>
                <w:webHidden/>
              </w:rPr>
              <w:tab/>
            </w:r>
            <w:r w:rsidR="00104CCA">
              <w:rPr>
                <w:noProof/>
                <w:webHidden/>
              </w:rPr>
              <w:fldChar w:fldCharType="begin"/>
            </w:r>
            <w:r w:rsidR="00104CCA">
              <w:rPr>
                <w:noProof/>
                <w:webHidden/>
              </w:rPr>
              <w:instrText xml:space="preserve"> PAGEREF _Toc114065166 \h </w:instrText>
            </w:r>
            <w:r w:rsidR="00104CCA">
              <w:rPr>
                <w:noProof/>
                <w:webHidden/>
              </w:rPr>
            </w:r>
            <w:r w:rsidR="00104CCA">
              <w:rPr>
                <w:noProof/>
                <w:webHidden/>
              </w:rPr>
              <w:fldChar w:fldCharType="separate"/>
            </w:r>
            <w:r w:rsidR="00CF36A0">
              <w:rPr>
                <w:noProof/>
                <w:webHidden/>
              </w:rPr>
              <w:t>15</w:t>
            </w:r>
            <w:r w:rsidR="00104CCA">
              <w:rPr>
                <w:noProof/>
                <w:webHidden/>
              </w:rPr>
              <w:fldChar w:fldCharType="end"/>
            </w:r>
          </w:hyperlink>
        </w:p>
        <w:p w14:paraId="46A80B38" w14:textId="3D497971" w:rsidR="00104CCA" w:rsidRDefault="00770EBC">
          <w:pPr>
            <w:pStyle w:val="TOC3"/>
            <w:tabs>
              <w:tab w:val="left" w:pos="1320"/>
              <w:tab w:val="right" w:pos="9628"/>
            </w:tabs>
            <w:rPr>
              <w:rFonts w:eastAsiaTheme="minorEastAsia"/>
              <w:noProof/>
              <w:sz w:val="22"/>
              <w:lang w:eastAsia="en-NZ"/>
            </w:rPr>
          </w:pPr>
          <w:hyperlink w:anchor="_Toc114065167" w:history="1">
            <w:r w:rsidR="00104CCA" w:rsidRPr="00445ADD">
              <w:rPr>
                <w:rStyle w:val="Hyperlink"/>
                <w:noProof/>
              </w:rPr>
              <w:t>1.10.1</w:t>
            </w:r>
            <w:r w:rsidR="00104CCA">
              <w:rPr>
                <w:rFonts w:eastAsiaTheme="minorEastAsia"/>
                <w:noProof/>
                <w:sz w:val="22"/>
                <w:lang w:eastAsia="en-NZ"/>
              </w:rPr>
              <w:tab/>
            </w:r>
            <w:r w:rsidR="00104CCA" w:rsidRPr="00445ADD">
              <w:rPr>
                <w:rStyle w:val="Hyperlink"/>
                <w:noProof/>
              </w:rPr>
              <w:t>Planning</w:t>
            </w:r>
            <w:r w:rsidR="00104CCA">
              <w:rPr>
                <w:noProof/>
                <w:webHidden/>
              </w:rPr>
              <w:tab/>
            </w:r>
            <w:r w:rsidR="00104CCA">
              <w:rPr>
                <w:noProof/>
                <w:webHidden/>
              </w:rPr>
              <w:fldChar w:fldCharType="begin"/>
            </w:r>
            <w:r w:rsidR="00104CCA">
              <w:rPr>
                <w:noProof/>
                <w:webHidden/>
              </w:rPr>
              <w:instrText xml:space="preserve"> PAGEREF _Toc114065167 \h </w:instrText>
            </w:r>
            <w:r w:rsidR="00104CCA">
              <w:rPr>
                <w:noProof/>
                <w:webHidden/>
              </w:rPr>
            </w:r>
            <w:r w:rsidR="00104CCA">
              <w:rPr>
                <w:noProof/>
                <w:webHidden/>
              </w:rPr>
              <w:fldChar w:fldCharType="separate"/>
            </w:r>
            <w:r w:rsidR="00CF36A0">
              <w:rPr>
                <w:noProof/>
                <w:webHidden/>
              </w:rPr>
              <w:t>15</w:t>
            </w:r>
            <w:r w:rsidR="00104CCA">
              <w:rPr>
                <w:noProof/>
                <w:webHidden/>
              </w:rPr>
              <w:fldChar w:fldCharType="end"/>
            </w:r>
          </w:hyperlink>
        </w:p>
        <w:p w14:paraId="37C34ECB" w14:textId="01D5C69D" w:rsidR="00104CCA" w:rsidRDefault="00770EBC">
          <w:pPr>
            <w:pStyle w:val="TOC3"/>
            <w:tabs>
              <w:tab w:val="left" w:pos="1320"/>
              <w:tab w:val="right" w:pos="9628"/>
            </w:tabs>
            <w:rPr>
              <w:rFonts w:eastAsiaTheme="minorEastAsia"/>
              <w:noProof/>
              <w:sz w:val="22"/>
              <w:lang w:eastAsia="en-NZ"/>
            </w:rPr>
          </w:pPr>
          <w:hyperlink w:anchor="_Toc114065168" w:history="1">
            <w:r w:rsidR="00104CCA" w:rsidRPr="00445ADD">
              <w:rPr>
                <w:rStyle w:val="Hyperlink"/>
                <w:noProof/>
              </w:rPr>
              <w:t>1.10.2</w:t>
            </w:r>
            <w:r w:rsidR="00104CCA">
              <w:rPr>
                <w:rFonts w:eastAsiaTheme="minorEastAsia"/>
                <w:noProof/>
                <w:sz w:val="22"/>
                <w:lang w:eastAsia="en-NZ"/>
              </w:rPr>
              <w:tab/>
            </w:r>
            <w:r w:rsidR="00104CCA" w:rsidRPr="00445ADD">
              <w:rPr>
                <w:rStyle w:val="Hyperlink"/>
                <w:noProof/>
              </w:rPr>
              <w:t>Healing and Resilience</w:t>
            </w:r>
            <w:r w:rsidR="00104CCA">
              <w:rPr>
                <w:noProof/>
                <w:webHidden/>
              </w:rPr>
              <w:tab/>
            </w:r>
            <w:r w:rsidR="00104CCA">
              <w:rPr>
                <w:noProof/>
                <w:webHidden/>
              </w:rPr>
              <w:fldChar w:fldCharType="begin"/>
            </w:r>
            <w:r w:rsidR="00104CCA">
              <w:rPr>
                <w:noProof/>
                <w:webHidden/>
              </w:rPr>
              <w:instrText xml:space="preserve"> PAGEREF _Toc114065168 \h </w:instrText>
            </w:r>
            <w:r w:rsidR="00104CCA">
              <w:rPr>
                <w:noProof/>
                <w:webHidden/>
              </w:rPr>
            </w:r>
            <w:r w:rsidR="00104CCA">
              <w:rPr>
                <w:noProof/>
                <w:webHidden/>
              </w:rPr>
              <w:fldChar w:fldCharType="separate"/>
            </w:r>
            <w:r w:rsidR="00CF36A0">
              <w:rPr>
                <w:noProof/>
                <w:webHidden/>
              </w:rPr>
              <w:t>16</w:t>
            </w:r>
            <w:r w:rsidR="00104CCA">
              <w:rPr>
                <w:noProof/>
                <w:webHidden/>
              </w:rPr>
              <w:fldChar w:fldCharType="end"/>
            </w:r>
          </w:hyperlink>
        </w:p>
        <w:p w14:paraId="5AB2875A" w14:textId="52FADD26" w:rsidR="00104CCA" w:rsidRDefault="00770EBC">
          <w:pPr>
            <w:pStyle w:val="TOC3"/>
            <w:tabs>
              <w:tab w:val="left" w:pos="1320"/>
              <w:tab w:val="right" w:pos="9628"/>
            </w:tabs>
            <w:rPr>
              <w:rFonts w:eastAsiaTheme="minorEastAsia"/>
              <w:noProof/>
              <w:sz w:val="22"/>
              <w:lang w:eastAsia="en-NZ"/>
            </w:rPr>
          </w:pPr>
          <w:hyperlink w:anchor="_Toc114065169" w:history="1">
            <w:r w:rsidR="00104CCA" w:rsidRPr="00445ADD">
              <w:rPr>
                <w:rStyle w:val="Hyperlink"/>
                <w:noProof/>
              </w:rPr>
              <w:t>1.10.3</w:t>
            </w:r>
            <w:r w:rsidR="00104CCA">
              <w:rPr>
                <w:rFonts w:eastAsiaTheme="minorEastAsia"/>
                <w:noProof/>
                <w:sz w:val="22"/>
                <w:lang w:eastAsia="en-NZ"/>
              </w:rPr>
              <w:tab/>
            </w:r>
            <w:r w:rsidR="00104CCA" w:rsidRPr="00445ADD">
              <w:rPr>
                <w:rStyle w:val="Hyperlink"/>
                <w:noProof/>
              </w:rPr>
              <w:t>Carbon Emissions</w:t>
            </w:r>
            <w:r w:rsidR="00104CCA">
              <w:rPr>
                <w:noProof/>
                <w:webHidden/>
              </w:rPr>
              <w:tab/>
            </w:r>
            <w:r w:rsidR="00104CCA">
              <w:rPr>
                <w:noProof/>
                <w:webHidden/>
              </w:rPr>
              <w:fldChar w:fldCharType="begin"/>
            </w:r>
            <w:r w:rsidR="00104CCA">
              <w:rPr>
                <w:noProof/>
                <w:webHidden/>
              </w:rPr>
              <w:instrText xml:space="preserve"> PAGEREF _Toc114065169 \h </w:instrText>
            </w:r>
            <w:r w:rsidR="00104CCA">
              <w:rPr>
                <w:noProof/>
                <w:webHidden/>
              </w:rPr>
            </w:r>
            <w:r w:rsidR="00104CCA">
              <w:rPr>
                <w:noProof/>
                <w:webHidden/>
              </w:rPr>
              <w:fldChar w:fldCharType="separate"/>
            </w:r>
            <w:r w:rsidR="00CF36A0">
              <w:rPr>
                <w:noProof/>
                <w:webHidden/>
              </w:rPr>
              <w:t>16</w:t>
            </w:r>
            <w:r w:rsidR="00104CCA">
              <w:rPr>
                <w:noProof/>
                <w:webHidden/>
              </w:rPr>
              <w:fldChar w:fldCharType="end"/>
            </w:r>
          </w:hyperlink>
        </w:p>
        <w:p w14:paraId="0DFF7E16" w14:textId="6F1A87DC" w:rsidR="00104CCA" w:rsidRDefault="00770EBC">
          <w:pPr>
            <w:pStyle w:val="TOC3"/>
            <w:tabs>
              <w:tab w:val="left" w:pos="1320"/>
              <w:tab w:val="right" w:pos="9628"/>
            </w:tabs>
            <w:rPr>
              <w:rFonts w:eastAsiaTheme="minorEastAsia"/>
              <w:noProof/>
              <w:sz w:val="22"/>
              <w:lang w:eastAsia="en-NZ"/>
            </w:rPr>
          </w:pPr>
          <w:hyperlink w:anchor="_Toc114065170" w:history="1">
            <w:r w:rsidR="00104CCA" w:rsidRPr="00445ADD">
              <w:rPr>
                <w:rStyle w:val="Hyperlink"/>
                <w:noProof/>
              </w:rPr>
              <w:t>1.10.4</w:t>
            </w:r>
            <w:r w:rsidR="00104CCA">
              <w:rPr>
                <w:rFonts w:eastAsiaTheme="minorEastAsia"/>
                <w:noProof/>
                <w:sz w:val="22"/>
                <w:lang w:eastAsia="en-NZ"/>
              </w:rPr>
              <w:tab/>
            </w:r>
            <w:r w:rsidR="00104CCA" w:rsidRPr="00445ADD">
              <w:rPr>
                <w:rStyle w:val="Hyperlink"/>
                <w:noProof/>
              </w:rPr>
              <w:t>Green Building Tools</w:t>
            </w:r>
            <w:r w:rsidR="00104CCA">
              <w:rPr>
                <w:noProof/>
                <w:webHidden/>
              </w:rPr>
              <w:tab/>
            </w:r>
            <w:r w:rsidR="00104CCA">
              <w:rPr>
                <w:noProof/>
                <w:webHidden/>
              </w:rPr>
              <w:fldChar w:fldCharType="begin"/>
            </w:r>
            <w:r w:rsidR="00104CCA">
              <w:rPr>
                <w:noProof/>
                <w:webHidden/>
              </w:rPr>
              <w:instrText xml:space="preserve"> PAGEREF _Toc114065170 \h </w:instrText>
            </w:r>
            <w:r w:rsidR="00104CCA">
              <w:rPr>
                <w:noProof/>
                <w:webHidden/>
              </w:rPr>
            </w:r>
            <w:r w:rsidR="00104CCA">
              <w:rPr>
                <w:noProof/>
                <w:webHidden/>
              </w:rPr>
              <w:fldChar w:fldCharType="separate"/>
            </w:r>
            <w:r w:rsidR="00CF36A0">
              <w:rPr>
                <w:noProof/>
                <w:webHidden/>
              </w:rPr>
              <w:t>16</w:t>
            </w:r>
            <w:r w:rsidR="00104CCA">
              <w:rPr>
                <w:noProof/>
                <w:webHidden/>
              </w:rPr>
              <w:fldChar w:fldCharType="end"/>
            </w:r>
          </w:hyperlink>
        </w:p>
        <w:p w14:paraId="1D94C52C" w14:textId="5492DCB8" w:rsidR="00104CCA" w:rsidRDefault="00770EBC">
          <w:pPr>
            <w:pStyle w:val="TOC3"/>
            <w:tabs>
              <w:tab w:val="left" w:pos="1320"/>
              <w:tab w:val="right" w:pos="9628"/>
            </w:tabs>
            <w:rPr>
              <w:rFonts w:eastAsiaTheme="minorEastAsia"/>
              <w:noProof/>
              <w:sz w:val="22"/>
              <w:lang w:eastAsia="en-NZ"/>
            </w:rPr>
          </w:pPr>
          <w:hyperlink w:anchor="_Toc114065171" w:history="1">
            <w:r w:rsidR="00104CCA" w:rsidRPr="00445ADD">
              <w:rPr>
                <w:rStyle w:val="Hyperlink"/>
                <w:noProof/>
              </w:rPr>
              <w:t>1.10.5</w:t>
            </w:r>
            <w:r w:rsidR="00104CCA">
              <w:rPr>
                <w:rFonts w:eastAsiaTheme="minorEastAsia"/>
                <w:noProof/>
                <w:sz w:val="22"/>
                <w:lang w:eastAsia="en-NZ"/>
              </w:rPr>
              <w:tab/>
            </w:r>
            <w:r w:rsidR="00104CCA" w:rsidRPr="00445ADD">
              <w:rPr>
                <w:rStyle w:val="Hyperlink"/>
                <w:noProof/>
              </w:rPr>
              <w:t>Recommended Targets</w:t>
            </w:r>
            <w:r w:rsidR="00104CCA">
              <w:rPr>
                <w:noProof/>
                <w:webHidden/>
              </w:rPr>
              <w:tab/>
            </w:r>
            <w:r w:rsidR="00104CCA">
              <w:rPr>
                <w:noProof/>
                <w:webHidden/>
              </w:rPr>
              <w:fldChar w:fldCharType="begin"/>
            </w:r>
            <w:r w:rsidR="00104CCA">
              <w:rPr>
                <w:noProof/>
                <w:webHidden/>
              </w:rPr>
              <w:instrText xml:space="preserve"> PAGEREF _Toc114065171 \h </w:instrText>
            </w:r>
            <w:r w:rsidR="00104CCA">
              <w:rPr>
                <w:noProof/>
                <w:webHidden/>
              </w:rPr>
            </w:r>
            <w:r w:rsidR="00104CCA">
              <w:rPr>
                <w:noProof/>
                <w:webHidden/>
              </w:rPr>
              <w:fldChar w:fldCharType="separate"/>
            </w:r>
            <w:r w:rsidR="00CF36A0">
              <w:rPr>
                <w:noProof/>
                <w:webHidden/>
              </w:rPr>
              <w:t>17</w:t>
            </w:r>
            <w:r w:rsidR="00104CCA">
              <w:rPr>
                <w:noProof/>
                <w:webHidden/>
              </w:rPr>
              <w:fldChar w:fldCharType="end"/>
            </w:r>
          </w:hyperlink>
        </w:p>
        <w:p w14:paraId="6F5CDEC8" w14:textId="7489F5DA" w:rsidR="00104CCA" w:rsidRDefault="00770EBC">
          <w:pPr>
            <w:pStyle w:val="TOC3"/>
            <w:tabs>
              <w:tab w:val="left" w:pos="1320"/>
              <w:tab w:val="right" w:pos="9628"/>
            </w:tabs>
            <w:rPr>
              <w:rFonts w:eastAsiaTheme="minorEastAsia"/>
              <w:noProof/>
              <w:sz w:val="22"/>
              <w:lang w:eastAsia="en-NZ"/>
            </w:rPr>
          </w:pPr>
          <w:hyperlink w:anchor="_Toc114065172" w:history="1">
            <w:r w:rsidR="00104CCA" w:rsidRPr="00445ADD">
              <w:rPr>
                <w:rStyle w:val="Hyperlink"/>
                <w:noProof/>
              </w:rPr>
              <w:t>1.10.6</w:t>
            </w:r>
            <w:r w:rsidR="00104CCA">
              <w:rPr>
                <w:rFonts w:eastAsiaTheme="minorEastAsia"/>
                <w:noProof/>
                <w:sz w:val="22"/>
                <w:lang w:eastAsia="en-NZ"/>
              </w:rPr>
              <w:tab/>
            </w:r>
            <w:r w:rsidR="00104CCA" w:rsidRPr="00445ADD">
              <w:rPr>
                <w:rStyle w:val="Hyperlink"/>
                <w:noProof/>
              </w:rPr>
              <w:t>Material Selection</w:t>
            </w:r>
            <w:r w:rsidR="00104CCA">
              <w:rPr>
                <w:noProof/>
                <w:webHidden/>
              </w:rPr>
              <w:tab/>
            </w:r>
            <w:r w:rsidR="00104CCA">
              <w:rPr>
                <w:noProof/>
                <w:webHidden/>
              </w:rPr>
              <w:fldChar w:fldCharType="begin"/>
            </w:r>
            <w:r w:rsidR="00104CCA">
              <w:rPr>
                <w:noProof/>
                <w:webHidden/>
              </w:rPr>
              <w:instrText xml:space="preserve"> PAGEREF _Toc114065172 \h </w:instrText>
            </w:r>
            <w:r w:rsidR="00104CCA">
              <w:rPr>
                <w:noProof/>
                <w:webHidden/>
              </w:rPr>
            </w:r>
            <w:r w:rsidR="00104CCA">
              <w:rPr>
                <w:noProof/>
                <w:webHidden/>
              </w:rPr>
              <w:fldChar w:fldCharType="separate"/>
            </w:r>
            <w:r w:rsidR="00CF36A0">
              <w:rPr>
                <w:noProof/>
                <w:webHidden/>
              </w:rPr>
              <w:t>17</w:t>
            </w:r>
            <w:r w:rsidR="00104CCA">
              <w:rPr>
                <w:noProof/>
                <w:webHidden/>
              </w:rPr>
              <w:fldChar w:fldCharType="end"/>
            </w:r>
          </w:hyperlink>
        </w:p>
        <w:p w14:paraId="58DB8887" w14:textId="6328A630" w:rsidR="00104CCA" w:rsidRDefault="00770EBC">
          <w:pPr>
            <w:pStyle w:val="TOC3"/>
            <w:tabs>
              <w:tab w:val="left" w:pos="1320"/>
              <w:tab w:val="right" w:pos="9628"/>
            </w:tabs>
            <w:rPr>
              <w:rFonts w:eastAsiaTheme="minorEastAsia"/>
              <w:noProof/>
              <w:sz w:val="22"/>
              <w:lang w:eastAsia="en-NZ"/>
            </w:rPr>
          </w:pPr>
          <w:hyperlink w:anchor="_Toc114065173" w:history="1">
            <w:r w:rsidR="00104CCA" w:rsidRPr="00445ADD">
              <w:rPr>
                <w:rStyle w:val="Hyperlink"/>
                <w:noProof/>
              </w:rPr>
              <w:t>1.10.7</w:t>
            </w:r>
            <w:r w:rsidR="00104CCA">
              <w:rPr>
                <w:rFonts w:eastAsiaTheme="minorEastAsia"/>
                <w:noProof/>
                <w:sz w:val="22"/>
                <w:lang w:eastAsia="en-NZ"/>
              </w:rPr>
              <w:tab/>
            </w:r>
            <w:r w:rsidR="00104CCA" w:rsidRPr="00445ADD">
              <w:rPr>
                <w:rStyle w:val="Hyperlink"/>
                <w:noProof/>
              </w:rPr>
              <w:t>Performance Reporting</w:t>
            </w:r>
            <w:r w:rsidR="00104CCA">
              <w:rPr>
                <w:noProof/>
                <w:webHidden/>
              </w:rPr>
              <w:tab/>
            </w:r>
            <w:r w:rsidR="00104CCA">
              <w:rPr>
                <w:noProof/>
                <w:webHidden/>
              </w:rPr>
              <w:fldChar w:fldCharType="begin"/>
            </w:r>
            <w:r w:rsidR="00104CCA">
              <w:rPr>
                <w:noProof/>
                <w:webHidden/>
              </w:rPr>
              <w:instrText xml:space="preserve"> PAGEREF _Toc114065173 \h </w:instrText>
            </w:r>
            <w:r w:rsidR="00104CCA">
              <w:rPr>
                <w:noProof/>
                <w:webHidden/>
              </w:rPr>
            </w:r>
            <w:r w:rsidR="00104CCA">
              <w:rPr>
                <w:noProof/>
                <w:webHidden/>
              </w:rPr>
              <w:fldChar w:fldCharType="separate"/>
            </w:r>
            <w:r w:rsidR="00CF36A0">
              <w:rPr>
                <w:noProof/>
                <w:webHidden/>
              </w:rPr>
              <w:t>17</w:t>
            </w:r>
            <w:r w:rsidR="00104CCA">
              <w:rPr>
                <w:noProof/>
                <w:webHidden/>
              </w:rPr>
              <w:fldChar w:fldCharType="end"/>
            </w:r>
          </w:hyperlink>
        </w:p>
        <w:p w14:paraId="79119634" w14:textId="24DB2F0D" w:rsidR="00104CCA" w:rsidRDefault="00770EBC">
          <w:pPr>
            <w:pStyle w:val="TOC2"/>
            <w:tabs>
              <w:tab w:val="left" w:pos="1100"/>
              <w:tab w:val="right" w:pos="9628"/>
            </w:tabs>
            <w:rPr>
              <w:rFonts w:eastAsiaTheme="minorEastAsia"/>
              <w:noProof/>
              <w:sz w:val="22"/>
              <w:lang w:eastAsia="en-NZ"/>
            </w:rPr>
          </w:pPr>
          <w:hyperlink w:anchor="_Toc114065174" w:history="1">
            <w:r w:rsidR="00104CCA" w:rsidRPr="00445ADD">
              <w:rPr>
                <w:rStyle w:val="Hyperlink"/>
                <w:noProof/>
              </w:rPr>
              <w:t>1.11</w:t>
            </w:r>
            <w:r w:rsidR="00104CCA">
              <w:rPr>
                <w:rFonts w:eastAsiaTheme="minorEastAsia"/>
                <w:noProof/>
                <w:sz w:val="22"/>
                <w:lang w:eastAsia="en-NZ"/>
              </w:rPr>
              <w:tab/>
            </w:r>
            <w:r w:rsidR="00104CCA" w:rsidRPr="00445ADD">
              <w:rPr>
                <w:rStyle w:val="Hyperlink"/>
                <w:noProof/>
              </w:rPr>
              <w:t>Resources and further reading</w:t>
            </w:r>
            <w:r w:rsidR="00104CCA">
              <w:rPr>
                <w:noProof/>
                <w:webHidden/>
              </w:rPr>
              <w:tab/>
            </w:r>
            <w:r w:rsidR="00104CCA">
              <w:rPr>
                <w:noProof/>
                <w:webHidden/>
              </w:rPr>
              <w:fldChar w:fldCharType="begin"/>
            </w:r>
            <w:r w:rsidR="00104CCA">
              <w:rPr>
                <w:noProof/>
                <w:webHidden/>
              </w:rPr>
              <w:instrText xml:space="preserve"> PAGEREF _Toc114065174 \h </w:instrText>
            </w:r>
            <w:r w:rsidR="00104CCA">
              <w:rPr>
                <w:noProof/>
                <w:webHidden/>
              </w:rPr>
            </w:r>
            <w:r w:rsidR="00104CCA">
              <w:rPr>
                <w:noProof/>
                <w:webHidden/>
              </w:rPr>
              <w:fldChar w:fldCharType="separate"/>
            </w:r>
            <w:r w:rsidR="00CF36A0">
              <w:rPr>
                <w:noProof/>
                <w:webHidden/>
              </w:rPr>
              <w:t>18</w:t>
            </w:r>
            <w:r w:rsidR="00104CCA">
              <w:rPr>
                <w:noProof/>
                <w:webHidden/>
              </w:rPr>
              <w:fldChar w:fldCharType="end"/>
            </w:r>
          </w:hyperlink>
        </w:p>
        <w:p w14:paraId="32BC5010" w14:textId="7011DCF9" w:rsidR="00104CCA" w:rsidRDefault="00770EBC">
          <w:pPr>
            <w:pStyle w:val="TOC1"/>
            <w:tabs>
              <w:tab w:val="left" w:pos="480"/>
            </w:tabs>
            <w:rPr>
              <w:rFonts w:eastAsiaTheme="minorEastAsia"/>
              <w:b w:val="0"/>
              <w:noProof/>
              <w:sz w:val="22"/>
              <w:lang w:eastAsia="en-NZ"/>
            </w:rPr>
          </w:pPr>
          <w:hyperlink w:anchor="_Toc114065175" w:history="1">
            <w:r w:rsidR="00104CCA" w:rsidRPr="00445ADD">
              <w:rPr>
                <w:rStyle w:val="Hyperlink"/>
                <w:noProof/>
              </w:rPr>
              <w:t>2</w:t>
            </w:r>
            <w:r w:rsidR="00104CCA">
              <w:rPr>
                <w:rFonts w:eastAsiaTheme="minorEastAsia"/>
                <w:b w:val="0"/>
                <w:noProof/>
                <w:sz w:val="22"/>
                <w:lang w:eastAsia="en-NZ"/>
              </w:rPr>
              <w:tab/>
            </w:r>
            <w:r w:rsidR="00104CCA" w:rsidRPr="00445ADD">
              <w:rPr>
                <w:rStyle w:val="Hyperlink"/>
                <w:noProof/>
              </w:rPr>
              <w:t>Supplementary Aotearoa New Zealand specific design guidance</w:t>
            </w:r>
            <w:r w:rsidR="00104CCA">
              <w:rPr>
                <w:noProof/>
                <w:webHidden/>
              </w:rPr>
              <w:tab/>
            </w:r>
            <w:r w:rsidR="00104CCA">
              <w:rPr>
                <w:noProof/>
                <w:webHidden/>
              </w:rPr>
              <w:fldChar w:fldCharType="begin"/>
            </w:r>
            <w:r w:rsidR="00104CCA">
              <w:rPr>
                <w:noProof/>
                <w:webHidden/>
              </w:rPr>
              <w:instrText xml:space="preserve"> PAGEREF _Toc114065175 \h </w:instrText>
            </w:r>
            <w:r w:rsidR="00104CCA">
              <w:rPr>
                <w:noProof/>
                <w:webHidden/>
              </w:rPr>
            </w:r>
            <w:r w:rsidR="00104CCA">
              <w:rPr>
                <w:noProof/>
                <w:webHidden/>
              </w:rPr>
              <w:fldChar w:fldCharType="separate"/>
            </w:r>
            <w:r w:rsidR="00CF36A0">
              <w:rPr>
                <w:noProof/>
                <w:webHidden/>
              </w:rPr>
              <w:t>20</w:t>
            </w:r>
            <w:r w:rsidR="00104CCA">
              <w:rPr>
                <w:noProof/>
                <w:webHidden/>
              </w:rPr>
              <w:fldChar w:fldCharType="end"/>
            </w:r>
          </w:hyperlink>
        </w:p>
        <w:p w14:paraId="7D58435C" w14:textId="40FC27FA" w:rsidR="00104CCA" w:rsidRDefault="00770EBC">
          <w:pPr>
            <w:pStyle w:val="TOC2"/>
            <w:tabs>
              <w:tab w:val="left" w:pos="880"/>
              <w:tab w:val="right" w:pos="9628"/>
            </w:tabs>
            <w:rPr>
              <w:rFonts w:eastAsiaTheme="minorEastAsia"/>
              <w:noProof/>
              <w:sz w:val="22"/>
              <w:lang w:eastAsia="en-NZ"/>
            </w:rPr>
          </w:pPr>
          <w:hyperlink w:anchor="_Toc114065176" w:history="1">
            <w:r w:rsidR="00104CCA" w:rsidRPr="00445ADD">
              <w:rPr>
                <w:rStyle w:val="Hyperlink"/>
                <w:noProof/>
              </w:rPr>
              <w:t>2.1</w:t>
            </w:r>
            <w:r w:rsidR="00104CCA">
              <w:rPr>
                <w:rFonts w:eastAsiaTheme="minorEastAsia"/>
                <w:noProof/>
                <w:sz w:val="22"/>
                <w:lang w:eastAsia="en-NZ"/>
              </w:rPr>
              <w:tab/>
            </w:r>
            <w:r w:rsidR="00104CCA" w:rsidRPr="00445ADD">
              <w:rPr>
                <w:rStyle w:val="Hyperlink"/>
                <w:noProof/>
              </w:rPr>
              <w:t>Adult Acute Mental Health Inpatient Unit</w:t>
            </w:r>
            <w:r w:rsidR="00104CCA">
              <w:rPr>
                <w:noProof/>
                <w:webHidden/>
              </w:rPr>
              <w:tab/>
            </w:r>
            <w:r w:rsidR="00104CCA">
              <w:rPr>
                <w:noProof/>
                <w:webHidden/>
              </w:rPr>
              <w:fldChar w:fldCharType="begin"/>
            </w:r>
            <w:r w:rsidR="00104CCA">
              <w:rPr>
                <w:noProof/>
                <w:webHidden/>
              </w:rPr>
              <w:instrText xml:space="preserve"> PAGEREF _Toc114065176 \h </w:instrText>
            </w:r>
            <w:r w:rsidR="00104CCA">
              <w:rPr>
                <w:noProof/>
                <w:webHidden/>
              </w:rPr>
            </w:r>
            <w:r w:rsidR="00104CCA">
              <w:rPr>
                <w:noProof/>
                <w:webHidden/>
              </w:rPr>
              <w:fldChar w:fldCharType="separate"/>
            </w:r>
            <w:r w:rsidR="00CF36A0">
              <w:rPr>
                <w:noProof/>
                <w:webHidden/>
              </w:rPr>
              <w:t>20</w:t>
            </w:r>
            <w:r w:rsidR="00104CCA">
              <w:rPr>
                <w:noProof/>
                <w:webHidden/>
              </w:rPr>
              <w:fldChar w:fldCharType="end"/>
            </w:r>
          </w:hyperlink>
        </w:p>
        <w:p w14:paraId="3E1D208D" w14:textId="3A74E6B1" w:rsidR="00104CCA" w:rsidRDefault="00770EBC">
          <w:pPr>
            <w:pStyle w:val="TOC3"/>
            <w:tabs>
              <w:tab w:val="left" w:pos="1320"/>
              <w:tab w:val="right" w:pos="9628"/>
            </w:tabs>
            <w:rPr>
              <w:rFonts w:eastAsiaTheme="minorEastAsia"/>
              <w:noProof/>
              <w:sz w:val="22"/>
              <w:lang w:eastAsia="en-NZ"/>
            </w:rPr>
          </w:pPr>
          <w:hyperlink w:anchor="_Toc114065177" w:history="1">
            <w:r w:rsidR="00104CCA" w:rsidRPr="00445ADD">
              <w:rPr>
                <w:rStyle w:val="Hyperlink"/>
                <w:noProof/>
              </w:rPr>
              <w:t>2.1.1</w:t>
            </w:r>
            <w:r w:rsidR="00104CCA">
              <w:rPr>
                <w:rFonts w:eastAsiaTheme="minorEastAsia"/>
                <w:noProof/>
                <w:sz w:val="22"/>
                <w:lang w:eastAsia="en-NZ"/>
              </w:rPr>
              <w:tab/>
            </w:r>
            <w:r w:rsidR="00104CCA" w:rsidRPr="00445ADD">
              <w:rPr>
                <w:rStyle w:val="Hyperlink"/>
                <w:noProof/>
              </w:rPr>
              <w:t>Introduction</w:t>
            </w:r>
            <w:r w:rsidR="00104CCA">
              <w:rPr>
                <w:noProof/>
                <w:webHidden/>
              </w:rPr>
              <w:tab/>
            </w:r>
            <w:r w:rsidR="00104CCA">
              <w:rPr>
                <w:noProof/>
                <w:webHidden/>
              </w:rPr>
              <w:fldChar w:fldCharType="begin"/>
            </w:r>
            <w:r w:rsidR="00104CCA">
              <w:rPr>
                <w:noProof/>
                <w:webHidden/>
              </w:rPr>
              <w:instrText xml:space="preserve"> PAGEREF _Toc114065177 \h </w:instrText>
            </w:r>
            <w:r w:rsidR="00104CCA">
              <w:rPr>
                <w:noProof/>
                <w:webHidden/>
              </w:rPr>
            </w:r>
            <w:r w:rsidR="00104CCA">
              <w:rPr>
                <w:noProof/>
                <w:webHidden/>
              </w:rPr>
              <w:fldChar w:fldCharType="separate"/>
            </w:r>
            <w:r w:rsidR="00CF36A0">
              <w:rPr>
                <w:noProof/>
                <w:webHidden/>
              </w:rPr>
              <w:t>20</w:t>
            </w:r>
            <w:r w:rsidR="00104CCA">
              <w:rPr>
                <w:noProof/>
                <w:webHidden/>
              </w:rPr>
              <w:fldChar w:fldCharType="end"/>
            </w:r>
          </w:hyperlink>
        </w:p>
        <w:p w14:paraId="7E768C13" w14:textId="1B1790B5" w:rsidR="00104CCA" w:rsidRDefault="00770EBC">
          <w:pPr>
            <w:pStyle w:val="TOC3"/>
            <w:tabs>
              <w:tab w:val="left" w:pos="1320"/>
              <w:tab w:val="right" w:pos="9628"/>
            </w:tabs>
            <w:rPr>
              <w:rFonts w:eastAsiaTheme="minorEastAsia"/>
              <w:noProof/>
              <w:sz w:val="22"/>
              <w:lang w:eastAsia="en-NZ"/>
            </w:rPr>
          </w:pPr>
          <w:hyperlink w:anchor="_Toc114065178" w:history="1">
            <w:r w:rsidR="00104CCA" w:rsidRPr="00445ADD">
              <w:rPr>
                <w:rStyle w:val="Hyperlink"/>
                <w:noProof/>
              </w:rPr>
              <w:t>2.1.2</w:t>
            </w:r>
            <w:r w:rsidR="00104CCA">
              <w:rPr>
                <w:rFonts w:eastAsiaTheme="minorEastAsia"/>
                <w:noProof/>
                <w:sz w:val="22"/>
                <w:lang w:eastAsia="en-NZ"/>
              </w:rPr>
              <w:tab/>
            </w:r>
            <w:r w:rsidR="00104CCA" w:rsidRPr="00445ADD">
              <w:rPr>
                <w:rStyle w:val="Hyperlink"/>
                <w:noProof/>
              </w:rPr>
              <w:t>Legislation</w:t>
            </w:r>
            <w:r w:rsidR="00104CCA">
              <w:rPr>
                <w:noProof/>
                <w:webHidden/>
              </w:rPr>
              <w:tab/>
            </w:r>
            <w:r w:rsidR="00104CCA">
              <w:rPr>
                <w:noProof/>
                <w:webHidden/>
              </w:rPr>
              <w:fldChar w:fldCharType="begin"/>
            </w:r>
            <w:r w:rsidR="00104CCA">
              <w:rPr>
                <w:noProof/>
                <w:webHidden/>
              </w:rPr>
              <w:instrText xml:space="preserve"> PAGEREF _Toc114065178 \h </w:instrText>
            </w:r>
            <w:r w:rsidR="00104CCA">
              <w:rPr>
                <w:noProof/>
                <w:webHidden/>
              </w:rPr>
            </w:r>
            <w:r w:rsidR="00104CCA">
              <w:rPr>
                <w:noProof/>
                <w:webHidden/>
              </w:rPr>
              <w:fldChar w:fldCharType="separate"/>
            </w:r>
            <w:r w:rsidR="00CF36A0">
              <w:rPr>
                <w:noProof/>
                <w:webHidden/>
              </w:rPr>
              <w:t>21</w:t>
            </w:r>
            <w:r w:rsidR="00104CCA">
              <w:rPr>
                <w:noProof/>
                <w:webHidden/>
              </w:rPr>
              <w:fldChar w:fldCharType="end"/>
            </w:r>
          </w:hyperlink>
        </w:p>
        <w:p w14:paraId="24E8A05A" w14:textId="7BD4E9EE" w:rsidR="00104CCA" w:rsidRDefault="00770EBC">
          <w:pPr>
            <w:pStyle w:val="TOC3"/>
            <w:tabs>
              <w:tab w:val="left" w:pos="1320"/>
              <w:tab w:val="right" w:pos="9628"/>
            </w:tabs>
            <w:rPr>
              <w:rFonts w:eastAsiaTheme="minorEastAsia"/>
              <w:noProof/>
              <w:sz w:val="22"/>
              <w:lang w:eastAsia="en-NZ"/>
            </w:rPr>
          </w:pPr>
          <w:hyperlink w:anchor="_Toc114065179" w:history="1">
            <w:r w:rsidR="00104CCA" w:rsidRPr="00445ADD">
              <w:rPr>
                <w:rStyle w:val="Hyperlink"/>
                <w:noProof/>
              </w:rPr>
              <w:t>2.1.3</w:t>
            </w:r>
            <w:r w:rsidR="00104CCA">
              <w:rPr>
                <w:rFonts w:eastAsiaTheme="minorEastAsia"/>
                <w:noProof/>
                <w:sz w:val="22"/>
                <w:lang w:eastAsia="en-NZ"/>
              </w:rPr>
              <w:tab/>
            </w:r>
            <w:r w:rsidR="00104CCA" w:rsidRPr="00445ADD">
              <w:rPr>
                <w:rStyle w:val="Hyperlink"/>
                <w:noProof/>
              </w:rPr>
              <w:t>Guidance</w:t>
            </w:r>
            <w:r w:rsidR="00104CCA">
              <w:rPr>
                <w:noProof/>
                <w:webHidden/>
              </w:rPr>
              <w:tab/>
            </w:r>
            <w:r w:rsidR="00104CCA">
              <w:rPr>
                <w:noProof/>
                <w:webHidden/>
              </w:rPr>
              <w:fldChar w:fldCharType="begin"/>
            </w:r>
            <w:r w:rsidR="00104CCA">
              <w:rPr>
                <w:noProof/>
                <w:webHidden/>
              </w:rPr>
              <w:instrText xml:space="preserve"> PAGEREF _Toc114065179 \h </w:instrText>
            </w:r>
            <w:r w:rsidR="00104CCA">
              <w:rPr>
                <w:noProof/>
                <w:webHidden/>
              </w:rPr>
            </w:r>
            <w:r w:rsidR="00104CCA">
              <w:rPr>
                <w:noProof/>
                <w:webHidden/>
              </w:rPr>
              <w:fldChar w:fldCharType="separate"/>
            </w:r>
            <w:r w:rsidR="00CF36A0">
              <w:rPr>
                <w:noProof/>
                <w:webHidden/>
              </w:rPr>
              <w:t>21</w:t>
            </w:r>
            <w:r w:rsidR="00104CCA">
              <w:rPr>
                <w:noProof/>
                <w:webHidden/>
              </w:rPr>
              <w:fldChar w:fldCharType="end"/>
            </w:r>
          </w:hyperlink>
        </w:p>
        <w:p w14:paraId="0B5C6275" w14:textId="7725F428" w:rsidR="00104CCA" w:rsidRDefault="00770EBC">
          <w:pPr>
            <w:pStyle w:val="TOC3"/>
            <w:tabs>
              <w:tab w:val="left" w:pos="1320"/>
              <w:tab w:val="right" w:pos="9628"/>
            </w:tabs>
            <w:rPr>
              <w:rFonts w:eastAsiaTheme="minorEastAsia"/>
              <w:noProof/>
              <w:sz w:val="22"/>
              <w:lang w:eastAsia="en-NZ"/>
            </w:rPr>
          </w:pPr>
          <w:hyperlink w:anchor="_Toc114065180" w:history="1">
            <w:r w:rsidR="00104CCA" w:rsidRPr="00445ADD">
              <w:rPr>
                <w:rStyle w:val="Hyperlink"/>
                <w:noProof/>
              </w:rPr>
              <w:t>2.1.4</w:t>
            </w:r>
            <w:r w:rsidR="00104CCA">
              <w:rPr>
                <w:rFonts w:eastAsiaTheme="minorEastAsia"/>
                <w:noProof/>
                <w:sz w:val="22"/>
                <w:lang w:eastAsia="en-NZ"/>
              </w:rPr>
              <w:tab/>
            </w:r>
            <w:r w:rsidR="00104CCA" w:rsidRPr="00445ADD">
              <w:rPr>
                <w:rStyle w:val="Hyperlink"/>
                <w:noProof/>
              </w:rPr>
              <w:t>Aotearoa New Zealand design considerations</w:t>
            </w:r>
            <w:r w:rsidR="00104CCA">
              <w:rPr>
                <w:noProof/>
                <w:webHidden/>
              </w:rPr>
              <w:tab/>
            </w:r>
            <w:r w:rsidR="00104CCA">
              <w:rPr>
                <w:noProof/>
                <w:webHidden/>
              </w:rPr>
              <w:fldChar w:fldCharType="begin"/>
            </w:r>
            <w:r w:rsidR="00104CCA">
              <w:rPr>
                <w:noProof/>
                <w:webHidden/>
              </w:rPr>
              <w:instrText xml:space="preserve"> PAGEREF _Toc114065180 \h </w:instrText>
            </w:r>
            <w:r w:rsidR="00104CCA">
              <w:rPr>
                <w:noProof/>
                <w:webHidden/>
              </w:rPr>
            </w:r>
            <w:r w:rsidR="00104CCA">
              <w:rPr>
                <w:noProof/>
                <w:webHidden/>
              </w:rPr>
              <w:fldChar w:fldCharType="separate"/>
            </w:r>
            <w:r w:rsidR="00CF36A0">
              <w:rPr>
                <w:noProof/>
                <w:webHidden/>
              </w:rPr>
              <w:t>21</w:t>
            </w:r>
            <w:r w:rsidR="00104CCA">
              <w:rPr>
                <w:noProof/>
                <w:webHidden/>
              </w:rPr>
              <w:fldChar w:fldCharType="end"/>
            </w:r>
          </w:hyperlink>
        </w:p>
        <w:p w14:paraId="7239DA19" w14:textId="5E44142E" w:rsidR="00104CCA" w:rsidRDefault="00770EBC">
          <w:pPr>
            <w:pStyle w:val="TOC3"/>
            <w:tabs>
              <w:tab w:val="left" w:pos="1320"/>
              <w:tab w:val="right" w:pos="9628"/>
            </w:tabs>
            <w:rPr>
              <w:rFonts w:eastAsiaTheme="minorEastAsia"/>
              <w:noProof/>
              <w:sz w:val="22"/>
              <w:lang w:eastAsia="en-NZ"/>
            </w:rPr>
          </w:pPr>
          <w:hyperlink w:anchor="_Toc114065181" w:history="1">
            <w:r w:rsidR="00104CCA" w:rsidRPr="00445ADD">
              <w:rPr>
                <w:rStyle w:val="Hyperlink"/>
                <w:noProof/>
              </w:rPr>
              <w:t>2.1.5</w:t>
            </w:r>
            <w:r w:rsidR="00104CCA">
              <w:rPr>
                <w:rFonts w:eastAsiaTheme="minorEastAsia"/>
                <w:noProof/>
                <w:sz w:val="22"/>
                <w:lang w:eastAsia="en-NZ"/>
              </w:rPr>
              <w:tab/>
            </w:r>
            <w:r w:rsidR="00104CCA" w:rsidRPr="00445ADD">
              <w:rPr>
                <w:rStyle w:val="Hyperlink"/>
                <w:noProof/>
              </w:rPr>
              <w:t>Kaupapa Māori considerations</w:t>
            </w:r>
            <w:r w:rsidR="00104CCA">
              <w:rPr>
                <w:noProof/>
                <w:webHidden/>
              </w:rPr>
              <w:tab/>
            </w:r>
            <w:r w:rsidR="00104CCA">
              <w:rPr>
                <w:noProof/>
                <w:webHidden/>
              </w:rPr>
              <w:fldChar w:fldCharType="begin"/>
            </w:r>
            <w:r w:rsidR="00104CCA">
              <w:rPr>
                <w:noProof/>
                <w:webHidden/>
              </w:rPr>
              <w:instrText xml:space="preserve"> PAGEREF _Toc114065181 \h </w:instrText>
            </w:r>
            <w:r w:rsidR="00104CCA">
              <w:rPr>
                <w:noProof/>
                <w:webHidden/>
              </w:rPr>
            </w:r>
            <w:r w:rsidR="00104CCA">
              <w:rPr>
                <w:noProof/>
                <w:webHidden/>
              </w:rPr>
              <w:fldChar w:fldCharType="separate"/>
            </w:r>
            <w:r w:rsidR="00CF36A0">
              <w:rPr>
                <w:noProof/>
                <w:webHidden/>
              </w:rPr>
              <w:t>22</w:t>
            </w:r>
            <w:r w:rsidR="00104CCA">
              <w:rPr>
                <w:noProof/>
                <w:webHidden/>
              </w:rPr>
              <w:fldChar w:fldCharType="end"/>
            </w:r>
          </w:hyperlink>
        </w:p>
        <w:p w14:paraId="3070E8BE" w14:textId="1588210E" w:rsidR="00104CCA" w:rsidRDefault="00770EBC">
          <w:pPr>
            <w:pStyle w:val="TOC3"/>
            <w:tabs>
              <w:tab w:val="left" w:pos="1320"/>
              <w:tab w:val="right" w:pos="9628"/>
            </w:tabs>
            <w:rPr>
              <w:rFonts w:eastAsiaTheme="minorEastAsia"/>
              <w:noProof/>
              <w:sz w:val="22"/>
              <w:lang w:eastAsia="en-NZ"/>
            </w:rPr>
          </w:pPr>
          <w:hyperlink w:anchor="_Toc114065182" w:history="1">
            <w:r w:rsidR="00104CCA" w:rsidRPr="00445ADD">
              <w:rPr>
                <w:rStyle w:val="Hyperlink"/>
                <w:noProof/>
              </w:rPr>
              <w:t>2.1.6</w:t>
            </w:r>
            <w:r w:rsidR="00104CCA">
              <w:rPr>
                <w:rFonts w:eastAsiaTheme="minorEastAsia"/>
                <w:noProof/>
                <w:sz w:val="22"/>
                <w:lang w:eastAsia="en-NZ"/>
              </w:rPr>
              <w:tab/>
            </w:r>
            <w:r w:rsidR="00104CCA" w:rsidRPr="00445ADD">
              <w:rPr>
                <w:rStyle w:val="Hyperlink"/>
                <w:noProof/>
              </w:rPr>
              <w:t>Further reading for Adult Acute Mental Health Inpatient Unit DGN</w:t>
            </w:r>
            <w:r w:rsidR="00104CCA">
              <w:rPr>
                <w:noProof/>
                <w:webHidden/>
              </w:rPr>
              <w:tab/>
            </w:r>
            <w:r w:rsidR="00104CCA">
              <w:rPr>
                <w:noProof/>
                <w:webHidden/>
              </w:rPr>
              <w:fldChar w:fldCharType="begin"/>
            </w:r>
            <w:r w:rsidR="00104CCA">
              <w:rPr>
                <w:noProof/>
                <w:webHidden/>
              </w:rPr>
              <w:instrText xml:space="preserve"> PAGEREF _Toc114065182 \h </w:instrText>
            </w:r>
            <w:r w:rsidR="00104CCA">
              <w:rPr>
                <w:noProof/>
                <w:webHidden/>
              </w:rPr>
            </w:r>
            <w:r w:rsidR="00104CCA">
              <w:rPr>
                <w:noProof/>
                <w:webHidden/>
              </w:rPr>
              <w:fldChar w:fldCharType="separate"/>
            </w:r>
            <w:r w:rsidR="00CF36A0">
              <w:rPr>
                <w:noProof/>
                <w:webHidden/>
              </w:rPr>
              <w:t>22</w:t>
            </w:r>
            <w:r w:rsidR="00104CCA">
              <w:rPr>
                <w:noProof/>
                <w:webHidden/>
              </w:rPr>
              <w:fldChar w:fldCharType="end"/>
            </w:r>
          </w:hyperlink>
        </w:p>
        <w:p w14:paraId="769D9E02" w14:textId="2C5684F7" w:rsidR="00104CCA" w:rsidRDefault="00770EBC">
          <w:pPr>
            <w:pStyle w:val="TOC1"/>
            <w:tabs>
              <w:tab w:val="left" w:pos="480"/>
            </w:tabs>
            <w:rPr>
              <w:rFonts w:eastAsiaTheme="minorEastAsia"/>
              <w:b w:val="0"/>
              <w:noProof/>
              <w:sz w:val="22"/>
              <w:lang w:eastAsia="en-NZ"/>
            </w:rPr>
          </w:pPr>
          <w:hyperlink w:anchor="_Toc114065183" w:history="1">
            <w:r w:rsidR="00104CCA" w:rsidRPr="00445ADD">
              <w:rPr>
                <w:rStyle w:val="Hyperlink"/>
                <w:noProof/>
              </w:rPr>
              <w:t>3</w:t>
            </w:r>
            <w:r w:rsidR="00104CCA">
              <w:rPr>
                <w:rFonts w:eastAsiaTheme="minorEastAsia"/>
                <w:b w:val="0"/>
                <w:noProof/>
                <w:sz w:val="22"/>
                <w:lang w:eastAsia="en-NZ"/>
              </w:rPr>
              <w:tab/>
            </w:r>
            <w:r w:rsidR="00104CCA" w:rsidRPr="00445ADD">
              <w:rPr>
                <w:rStyle w:val="Hyperlink"/>
                <w:noProof/>
              </w:rPr>
              <w:t>Additional Design Guidance</w:t>
            </w:r>
            <w:r w:rsidR="00104CCA">
              <w:rPr>
                <w:noProof/>
                <w:webHidden/>
              </w:rPr>
              <w:tab/>
            </w:r>
            <w:r w:rsidR="00104CCA">
              <w:rPr>
                <w:noProof/>
                <w:webHidden/>
              </w:rPr>
              <w:fldChar w:fldCharType="begin"/>
            </w:r>
            <w:r w:rsidR="00104CCA">
              <w:rPr>
                <w:noProof/>
                <w:webHidden/>
              </w:rPr>
              <w:instrText xml:space="preserve"> PAGEREF _Toc114065183 \h </w:instrText>
            </w:r>
            <w:r w:rsidR="00104CCA">
              <w:rPr>
                <w:noProof/>
                <w:webHidden/>
              </w:rPr>
            </w:r>
            <w:r w:rsidR="00104CCA">
              <w:rPr>
                <w:noProof/>
                <w:webHidden/>
              </w:rPr>
              <w:fldChar w:fldCharType="separate"/>
            </w:r>
            <w:r w:rsidR="00CF36A0">
              <w:rPr>
                <w:noProof/>
                <w:webHidden/>
              </w:rPr>
              <w:t>23</w:t>
            </w:r>
            <w:r w:rsidR="00104CCA">
              <w:rPr>
                <w:noProof/>
                <w:webHidden/>
              </w:rPr>
              <w:fldChar w:fldCharType="end"/>
            </w:r>
          </w:hyperlink>
        </w:p>
        <w:p w14:paraId="4328F1C1" w14:textId="17C39C87" w:rsidR="00630DE1" w:rsidRDefault="00EE6438">
          <w:r>
            <w:rPr>
              <w:b/>
            </w:rPr>
            <w:fldChar w:fldCharType="end"/>
          </w:r>
        </w:p>
      </w:sdtContent>
    </w:sdt>
    <w:p w14:paraId="28342347" w14:textId="77777777" w:rsidR="003E5087" w:rsidRDefault="003E5087" w:rsidP="008A5138">
      <w:pPr>
        <w:pStyle w:val="TOCHeading"/>
      </w:pPr>
      <w:r>
        <w:br w:type="page"/>
      </w:r>
    </w:p>
    <w:p w14:paraId="55F3D0A7" w14:textId="14A8BBAA" w:rsidR="001B1F98" w:rsidRDefault="008A5138" w:rsidP="008A5138">
      <w:pPr>
        <w:pStyle w:val="TOCHeading"/>
      </w:pPr>
      <w:r>
        <w:lastRenderedPageBreak/>
        <w:t>Introduction</w:t>
      </w:r>
    </w:p>
    <w:p w14:paraId="4F5946EA" w14:textId="77777777" w:rsidR="008A5138" w:rsidRDefault="008A5138" w:rsidP="008A5138">
      <w:r>
        <w:t xml:space="preserve">This design guidance note (DGN) supplements the Australasian Health Facility Guidelines (AusHFG) by providing guidance specific to Aotearoa New Zealand. It also provides overarching guidance for all health facility projects in Aotearoa. </w:t>
      </w:r>
    </w:p>
    <w:p w14:paraId="2F0267E9" w14:textId="77777777" w:rsidR="008A5138" w:rsidRDefault="008A5138" w:rsidP="008A5138">
      <w:r>
        <w:t xml:space="preserve">The objective of this DGN is to provide design guidance and support to health facility project teams by: </w:t>
      </w:r>
    </w:p>
    <w:p w14:paraId="0A591483" w14:textId="24AA2BD0" w:rsidR="008A5138" w:rsidRDefault="008A5138" w:rsidP="008A5138">
      <w:pPr>
        <w:pStyle w:val="ListBullet"/>
      </w:pPr>
      <w:r>
        <w:t xml:space="preserve">reinforcing the AusHFG as the primary reference guide to briefing and designing health facility projects in Aotearoa </w:t>
      </w:r>
    </w:p>
    <w:p w14:paraId="1674A847" w14:textId="008C739D" w:rsidR="008A5138" w:rsidRDefault="008A5138" w:rsidP="008A5138">
      <w:pPr>
        <w:pStyle w:val="ListBullet"/>
      </w:pPr>
      <w:r>
        <w:t xml:space="preserve">providing Aotearoa-specific health facility design guidance which is supplementary to the AusHFG. </w:t>
      </w:r>
    </w:p>
    <w:p w14:paraId="14687899" w14:textId="77777777" w:rsidR="008A5138" w:rsidRDefault="008A5138" w:rsidP="008A5138">
      <w:r>
        <w:t>Project Teams should refer to the AusHFG in combination with the overarching and supplementary NZ specific design guidance in this document.</w:t>
      </w:r>
    </w:p>
    <w:p w14:paraId="06E74008" w14:textId="1DF51A63" w:rsidR="008A5138" w:rsidRDefault="008A5138" w:rsidP="008A5138">
      <w:r>
        <w:t xml:space="preserve">This DGN applies to the design of all Health Planning Units (HPU) in new buildings and any reconfigurations or conversions of existing buildings. </w:t>
      </w:r>
      <w:r w:rsidR="006536C2">
        <w:t>Te Whatu Ora – Health New Zealand</w:t>
      </w:r>
      <w:r>
        <w:t xml:space="preserve"> (HNZ) expects reconfiguration and conversion projects to achieve the standards set out in this DGN unless pre-existing conditions require variations from this guidance. Throughout all project stages, project teams must identify and justify deviations from the AusHFG and this DGN. </w:t>
      </w:r>
    </w:p>
    <w:p w14:paraId="27775F8A" w14:textId="273C0E8D" w:rsidR="008A5138" w:rsidRDefault="008A5138" w:rsidP="008A5138">
      <w:r>
        <w:t>This document is dynamic and will be updated as further guidance is developed.</w:t>
      </w:r>
    </w:p>
    <w:p w14:paraId="7061A747" w14:textId="77777777" w:rsidR="008A5138" w:rsidRDefault="008A5138">
      <w:pPr>
        <w:spacing w:before="0" w:after="160" w:line="259" w:lineRule="auto"/>
        <w:rPr>
          <w:rFonts w:asciiTheme="majorHAnsi" w:eastAsiaTheme="majorEastAsia" w:hAnsiTheme="majorHAnsi" w:cstheme="majorBidi"/>
          <w:b/>
          <w:color w:val="1C2549" w:themeColor="text2"/>
          <w:sz w:val="72"/>
          <w:szCs w:val="32"/>
        </w:rPr>
      </w:pPr>
      <w:r>
        <w:br w:type="page"/>
      </w:r>
    </w:p>
    <w:p w14:paraId="4606F9C3" w14:textId="6178BFC4" w:rsidR="008A5138" w:rsidRDefault="008A5138" w:rsidP="008A5138">
      <w:pPr>
        <w:pStyle w:val="NumberedHeading1"/>
      </w:pPr>
      <w:bookmarkStart w:id="0" w:name="_Toc114065143"/>
      <w:r>
        <w:lastRenderedPageBreak/>
        <w:t>Overarching Aotearoa New Zealand design guidance</w:t>
      </w:r>
      <w:bookmarkEnd w:id="0"/>
    </w:p>
    <w:p w14:paraId="70B3513F" w14:textId="1B098914" w:rsidR="008A5138" w:rsidRDefault="008A5138" w:rsidP="008A5138">
      <w:pPr>
        <w:pStyle w:val="NumberedHeading2"/>
      </w:pPr>
      <w:bookmarkStart w:id="1" w:name="_Toc114065144"/>
      <w:r>
        <w:t>Australasian Health Facility Guidelines</w:t>
      </w:r>
      <w:bookmarkEnd w:id="1"/>
    </w:p>
    <w:p w14:paraId="53C9F3D4" w14:textId="77777777" w:rsidR="008A5138" w:rsidRDefault="008A5138" w:rsidP="008A5138">
      <w:r>
        <w:t>HNZ expects project teams to use the AusHFG as the primary reference guide for briefing and designing health facility projects. Alignment with the AusHFG is intended to encourage standardisation and provide consistency of design and project reporting across health projects without restricting innovation.</w:t>
      </w:r>
    </w:p>
    <w:p w14:paraId="059BF00C" w14:textId="77777777" w:rsidR="008A5138" w:rsidRDefault="008A5138" w:rsidP="008A5138">
      <w:r>
        <w:t>The AusHFG comprises:</w:t>
      </w:r>
    </w:p>
    <w:p w14:paraId="4A54C2A4" w14:textId="7394BD32" w:rsidR="008A5138" w:rsidRDefault="008A5138" w:rsidP="008A5138">
      <w:pPr>
        <w:pStyle w:val="ListBullet"/>
      </w:pPr>
      <w:r>
        <w:t>Part A: Introduction</w:t>
      </w:r>
    </w:p>
    <w:p w14:paraId="30BBF5F4" w14:textId="0C087020" w:rsidR="008A5138" w:rsidRDefault="008A5138" w:rsidP="008A5138">
      <w:pPr>
        <w:pStyle w:val="ListBullet"/>
      </w:pPr>
      <w:r>
        <w:t>Part B: Health Facility Briefing and Planning</w:t>
      </w:r>
    </w:p>
    <w:p w14:paraId="35D76C74" w14:textId="49280C80" w:rsidR="008A5138" w:rsidRDefault="008A5138" w:rsidP="008A5138">
      <w:pPr>
        <w:pStyle w:val="ListBullet"/>
      </w:pPr>
      <w:r>
        <w:t>Part C: Design for Access, Mobility, Safety and Security</w:t>
      </w:r>
    </w:p>
    <w:p w14:paraId="24687DAD" w14:textId="2E76358B" w:rsidR="008A5138" w:rsidRDefault="008A5138" w:rsidP="008A5138">
      <w:pPr>
        <w:pStyle w:val="ListBullet"/>
      </w:pPr>
      <w:r>
        <w:t>Part D: Infection Prevention and Control</w:t>
      </w:r>
    </w:p>
    <w:p w14:paraId="57AA2007" w14:textId="3EDE81A6" w:rsidR="008A5138" w:rsidRDefault="008A5138" w:rsidP="008A5138">
      <w:pPr>
        <w:pStyle w:val="ListBullet"/>
      </w:pPr>
      <w:r>
        <w:t>Part E: Building services and Environmental Design</w:t>
      </w:r>
    </w:p>
    <w:p w14:paraId="349B7FA4" w14:textId="746CBFED" w:rsidR="008A5138" w:rsidRDefault="008A5138" w:rsidP="008A5138">
      <w:pPr>
        <w:pStyle w:val="ListBullet"/>
      </w:pPr>
      <w:r>
        <w:t>Part F: Project Implementation</w:t>
      </w:r>
    </w:p>
    <w:p w14:paraId="57DC97BC" w14:textId="442919CC" w:rsidR="008A5138" w:rsidRDefault="008A5138" w:rsidP="008A5138">
      <w:r>
        <w:t xml:space="preserve">Refer to: </w:t>
      </w:r>
      <w:hyperlink r:id="rId17" w:history="1">
        <w:r w:rsidRPr="00586C0B">
          <w:rPr>
            <w:rStyle w:val="Hyperlink"/>
          </w:rPr>
          <w:t>https://healthfacilityguidelines.com.au/</w:t>
        </w:r>
      </w:hyperlink>
      <w:r>
        <w:t xml:space="preserve"> </w:t>
      </w:r>
    </w:p>
    <w:p w14:paraId="77CF8418" w14:textId="351E74D9" w:rsidR="008A5138" w:rsidRDefault="008A5138" w:rsidP="008A5138">
      <w:pPr>
        <w:pStyle w:val="NumberedHeading2"/>
      </w:pPr>
      <w:bookmarkStart w:id="2" w:name="_Toc114065145"/>
      <w:r>
        <w:t>Legislation</w:t>
      </w:r>
      <w:bookmarkEnd w:id="2"/>
    </w:p>
    <w:p w14:paraId="403C4B58" w14:textId="77777777" w:rsidR="008A5138" w:rsidRDefault="008A5138" w:rsidP="008A5138">
      <w:r>
        <w:t>When applying AusHFG recommendations, project teams must comply with relevant Aotearoa standards and legislation and the relevant parts of any documents noted in Section 2: Supplementary Aotearoa New Zealand Design Guidance.</w:t>
      </w:r>
    </w:p>
    <w:p w14:paraId="64233B05" w14:textId="01499851" w:rsidR="008A5138" w:rsidRDefault="008A5138" w:rsidP="008A5138">
      <w:pPr>
        <w:pStyle w:val="NumberedHeading2"/>
      </w:pPr>
      <w:bookmarkStart w:id="3" w:name="_Toc114065146"/>
      <w:r>
        <w:t>Design principles</w:t>
      </w:r>
      <w:bookmarkEnd w:id="3"/>
    </w:p>
    <w:p w14:paraId="369C16AB" w14:textId="77777777" w:rsidR="008A5138" w:rsidRDefault="008A5138" w:rsidP="008A5138">
      <w:r>
        <w:t xml:space="preserve">The briefing and design of all health facility design projects should address the following overarching design principles developed for the Aotearoa context. </w:t>
      </w:r>
    </w:p>
    <w:p w14:paraId="1D1E6E86" w14:textId="6D82825B" w:rsidR="008A5138" w:rsidRDefault="008A5138" w:rsidP="008A5138">
      <w:pPr>
        <w:pStyle w:val="NumberedHeading3"/>
      </w:pPr>
      <w:bookmarkStart w:id="4" w:name="_Toc114065147"/>
      <w:r>
        <w:lastRenderedPageBreak/>
        <w:t>Kaupapa Māori</w:t>
      </w:r>
      <w:bookmarkEnd w:id="4"/>
    </w:p>
    <w:p w14:paraId="3382BA56" w14:textId="77777777" w:rsidR="008A5138" w:rsidRPr="008A5138" w:rsidRDefault="008A5138" w:rsidP="008A5138">
      <w:pPr>
        <w:rPr>
          <w:i/>
          <w:iCs/>
        </w:rPr>
      </w:pPr>
      <w:r w:rsidRPr="008A5138">
        <w:rPr>
          <w:i/>
          <w:iCs/>
        </w:rPr>
        <w:t>Meaningful engagement with Māori is vital to improving health equity for Māori and ensuring that Treaty obligations are addressed.</w:t>
      </w:r>
    </w:p>
    <w:p w14:paraId="39333CCD" w14:textId="77777777" w:rsidR="008A5138" w:rsidRDefault="008A5138" w:rsidP="008A5138">
      <w:r>
        <w:t xml:space="preserve">Effective partnerships between project teams and Māori based on Te </w:t>
      </w:r>
      <w:proofErr w:type="spellStart"/>
      <w:r>
        <w:t>Tiriti</w:t>
      </w:r>
      <w:proofErr w:type="spellEnd"/>
      <w:r>
        <w:t xml:space="preserve"> o Waitangi principles will assist in planning and implementing an appropriate strategy for engaging with Māori when designing and delivering projects (Te </w:t>
      </w:r>
      <w:proofErr w:type="spellStart"/>
      <w:r>
        <w:t>Arawhiti</w:t>
      </w:r>
      <w:proofErr w:type="spellEnd"/>
      <w:r>
        <w:t xml:space="preserve"> 2021a and b). </w:t>
      </w:r>
    </w:p>
    <w:p w14:paraId="7DB049DA" w14:textId="77777777" w:rsidR="008A5138" w:rsidRDefault="008A5138" w:rsidP="008A5138">
      <w:r>
        <w:t xml:space="preserve">Project teams should integrate Māori narratives and principles appropriate to the region, community, and site into the project. The following link provides an example of how project teams can achieve this: </w:t>
      </w:r>
    </w:p>
    <w:p w14:paraId="6F0E380A" w14:textId="6761D99A" w:rsidR="008A5138" w:rsidRDefault="00770EBC" w:rsidP="008A5138">
      <w:hyperlink r:id="rId18" w:anchor="/design-subjects/maori-design/te_aranga_principles/guidance/about/introduction" w:history="1">
        <w:r w:rsidR="008A5138" w:rsidRPr="00586C0B">
          <w:rPr>
            <w:rStyle w:val="Hyperlink"/>
          </w:rPr>
          <w:t>https://www.aucklanddesignmanual.co.nz/design-subjects/maori-design/te_aranga_principles#/design-subjects/maori-design/te_aranga_principles/guidance/about/introduction</w:t>
        </w:r>
      </w:hyperlink>
      <w:r w:rsidR="008A5138">
        <w:t xml:space="preserve"> </w:t>
      </w:r>
    </w:p>
    <w:p w14:paraId="0F88BD9D" w14:textId="77777777" w:rsidR="008A5138" w:rsidRDefault="008A5138" w:rsidP="008A5138">
      <w:r>
        <w:t xml:space="preserve">Where possible, Māori design practitioners should be involved to guide integration. </w:t>
      </w:r>
    </w:p>
    <w:p w14:paraId="6C7588E3" w14:textId="0B24FF8F" w:rsidR="008A5138" w:rsidRDefault="008A5138" w:rsidP="008A5138">
      <w:r>
        <w:t>It may be helpful to include Kaupapa Māori specialists in peer reviews.</w:t>
      </w:r>
    </w:p>
    <w:p w14:paraId="256CBAC3" w14:textId="42B3810E" w:rsidR="008A5138" w:rsidRDefault="008A5138" w:rsidP="008A5138">
      <w:pPr>
        <w:pStyle w:val="NumberedHeading3"/>
      </w:pPr>
      <w:bookmarkStart w:id="5" w:name="_Toc114065148"/>
      <w:r>
        <w:t>Environmental sustainability</w:t>
      </w:r>
      <w:bookmarkEnd w:id="5"/>
    </w:p>
    <w:p w14:paraId="38A4BD75" w14:textId="124F3CDD" w:rsidR="008A5138" w:rsidRPr="008A5138" w:rsidRDefault="008A5138" w:rsidP="008A5138">
      <w:pPr>
        <w:rPr>
          <w:i/>
          <w:iCs/>
        </w:rPr>
      </w:pPr>
      <w:r w:rsidRPr="008A5138">
        <w:rPr>
          <w:i/>
          <w:iCs/>
        </w:rPr>
        <w:t xml:space="preserve">Sustainable healthcare infrastructure promotes better health outcomes, lowers emissions, reduces operating costs, promotes efficient use of resources, and assists with meeting responsibilities under the </w:t>
      </w:r>
      <w:hyperlink r:id="rId19" w:history="1">
        <w:r w:rsidRPr="008A5138">
          <w:rPr>
            <w:rStyle w:val="Hyperlink"/>
            <w:i/>
            <w:iCs/>
          </w:rPr>
          <w:t>Carbon Neutral Government Programme (CNGP)</w:t>
        </w:r>
      </w:hyperlink>
      <w:r w:rsidRPr="008A5138">
        <w:rPr>
          <w:i/>
          <w:iCs/>
        </w:rPr>
        <w:t>.</w:t>
      </w:r>
    </w:p>
    <w:p w14:paraId="2304F311" w14:textId="77777777" w:rsidR="008A5138" w:rsidRDefault="008A5138" w:rsidP="008A5138">
      <w:r>
        <w:t>Exploring project possibilities can deliver creative solutions that offer high-quality facilities of lasting economic and social value.</w:t>
      </w:r>
    </w:p>
    <w:p w14:paraId="0FEDAA8C" w14:textId="77777777" w:rsidR="008A5138" w:rsidRDefault="008A5138" w:rsidP="008A5138">
      <w:r>
        <w:t xml:space="preserve">Facility design teams should address the critical actions on Environmentally Sustainable Design (ESD) described in Section 1.10. </w:t>
      </w:r>
    </w:p>
    <w:p w14:paraId="2BB46865" w14:textId="04DEB7B1" w:rsidR="008A5138" w:rsidRDefault="008A5138" w:rsidP="008A5138">
      <w:pPr>
        <w:pStyle w:val="NumberedHeading3"/>
      </w:pPr>
      <w:bookmarkStart w:id="6" w:name="_Toc114065149"/>
      <w:r>
        <w:t>Universal Design</w:t>
      </w:r>
      <w:bookmarkEnd w:id="6"/>
    </w:p>
    <w:p w14:paraId="4315B29F" w14:textId="77777777" w:rsidR="008A5138" w:rsidRPr="00FD1D2C" w:rsidRDefault="008A5138" w:rsidP="008A5138">
      <w:pPr>
        <w:rPr>
          <w:i/>
          <w:iCs/>
        </w:rPr>
      </w:pPr>
      <w:r w:rsidRPr="00FD1D2C">
        <w:rPr>
          <w:i/>
          <w:iCs/>
        </w:rPr>
        <w:t xml:space="preserve">Effective Universal Design practices ensure that all people can access, use, and understand the environment to the greatest extent possible without the need for adaptations or specialised solutions.  </w:t>
      </w:r>
    </w:p>
    <w:p w14:paraId="327265FD" w14:textId="77777777" w:rsidR="008A5138" w:rsidRDefault="008A5138" w:rsidP="008A5138">
      <w:r>
        <w:t>The following seven principles of Universal Design should be incorporated.</w:t>
      </w:r>
    </w:p>
    <w:p w14:paraId="69BF67C9" w14:textId="72CAF2E1" w:rsidR="008A5138" w:rsidRDefault="008A5138" w:rsidP="008A5138">
      <w:pPr>
        <w:pStyle w:val="ListBullet"/>
      </w:pPr>
      <w:r>
        <w:t>Equitable Use</w:t>
      </w:r>
    </w:p>
    <w:p w14:paraId="6EFD71CB" w14:textId="0EED53D4" w:rsidR="008A5138" w:rsidRDefault="008A5138" w:rsidP="008A5138">
      <w:pPr>
        <w:pStyle w:val="ListBullet"/>
      </w:pPr>
      <w:r>
        <w:t>Flexibility in Use</w:t>
      </w:r>
    </w:p>
    <w:p w14:paraId="0C03688B" w14:textId="6503A974" w:rsidR="008A5138" w:rsidRDefault="008A5138" w:rsidP="008A5138">
      <w:pPr>
        <w:pStyle w:val="ListBullet"/>
      </w:pPr>
      <w:r>
        <w:t>Simple and Intuitive Use</w:t>
      </w:r>
    </w:p>
    <w:p w14:paraId="79CE5045" w14:textId="3821173E" w:rsidR="008A5138" w:rsidRDefault="008A5138" w:rsidP="008A5138">
      <w:pPr>
        <w:pStyle w:val="ListBullet"/>
      </w:pPr>
      <w:r>
        <w:t>Perceptible Information</w:t>
      </w:r>
    </w:p>
    <w:p w14:paraId="7AEA549C" w14:textId="2D00561D" w:rsidR="008A5138" w:rsidRDefault="008A5138" w:rsidP="008A5138">
      <w:pPr>
        <w:pStyle w:val="ListBullet"/>
      </w:pPr>
      <w:r>
        <w:lastRenderedPageBreak/>
        <w:t>Tolerance for Error</w:t>
      </w:r>
    </w:p>
    <w:p w14:paraId="0ABCD418" w14:textId="583E635E" w:rsidR="008A5138" w:rsidRDefault="008A5138" w:rsidP="008A5138">
      <w:pPr>
        <w:pStyle w:val="ListBullet"/>
      </w:pPr>
      <w:r>
        <w:t>Low Physical Effort</w:t>
      </w:r>
    </w:p>
    <w:p w14:paraId="09215418" w14:textId="07379081" w:rsidR="008A5138" w:rsidRDefault="008A5138" w:rsidP="008A5138">
      <w:pPr>
        <w:pStyle w:val="ListBullet"/>
      </w:pPr>
      <w:r>
        <w:t>Size and Space for Approach and Use</w:t>
      </w:r>
    </w:p>
    <w:p w14:paraId="7B6AD82A" w14:textId="286FF03B" w:rsidR="008A5138" w:rsidRDefault="008A5138" w:rsidP="008A5138">
      <w:r>
        <w:t xml:space="preserve">Refer to </w:t>
      </w:r>
      <w:hyperlink r:id="rId20" w:history="1">
        <w:r w:rsidRPr="00586C0B">
          <w:rPr>
            <w:rStyle w:val="Hyperlink"/>
          </w:rPr>
          <w:t>https://www.vhba.vic.gov.au/universal-design-policy</w:t>
        </w:r>
      </w:hyperlink>
      <w:r>
        <w:t xml:space="preserve"> for further detail.</w:t>
      </w:r>
    </w:p>
    <w:p w14:paraId="695FC300" w14:textId="7C9EFF55" w:rsidR="008A5138" w:rsidRDefault="008A5138" w:rsidP="008A5138">
      <w:pPr>
        <w:pStyle w:val="NumberedHeading3"/>
      </w:pPr>
      <w:bookmarkStart w:id="7" w:name="_Toc114065150"/>
      <w:r>
        <w:t>Co-design</w:t>
      </w:r>
      <w:bookmarkEnd w:id="7"/>
    </w:p>
    <w:p w14:paraId="35841902" w14:textId="77777777" w:rsidR="008A5138" w:rsidRPr="00FD1D2C" w:rsidRDefault="008A5138" w:rsidP="008A5138">
      <w:pPr>
        <w:rPr>
          <w:i/>
          <w:iCs/>
        </w:rPr>
      </w:pPr>
      <w:r w:rsidRPr="00FD1D2C">
        <w:rPr>
          <w:i/>
          <w:iCs/>
        </w:rPr>
        <w:t xml:space="preserve">Effective co-design practices ensure that specific stakeholder needs are appropriately reflected in the design outcome and that effective facility operation and service delivery are supported. </w:t>
      </w:r>
    </w:p>
    <w:p w14:paraId="27C03396" w14:textId="77777777" w:rsidR="008A5138" w:rsidRDefault="008A5138" w:rsidP="008A5138">
      <w:r>
        <w:t xml:space="preserve">The quality of the design will be enhanced by implementing an appropriate co-design strategy. Careful selection of key stakeholders is required to build the shared understanding, commitment and engagement required for briefing, standardisation, design, and delivery of the facility. </w:t>
      </w:r>
    </w:p>
    <w:p w14:paraId="1387D929" w14:textId="77777777" w:rsidR="008A5138" w:rsidRDefault="008A5138" w:rsidP="008A5138">
      <w:r>
        <w:t xml:space="preserve">The scope, type, and level of co-design will need to be appropriate to the project objectives, programme, governance, and the cultural groups and communities the project will serve. </w:t>
      </w:r>
    </w:p>
    <w:p w14:paraId="7AB66878" w14:textId="6259CBD7" w:rsidR="008A5138" w:rsidRDefault="008A5138" w:rsidP="008A5138">
      <w:r>
        <w:t>The co-design strategy should be proportionate and balanced to achieve the desired outcomes on time.</w:t>
      </w:r>
    </w:p>
    <w:p w14:paraId="29EDED32" w14:textId="6ED074FA" w:rsidR="00FD1D2C" w:rsidRDefault="00FD1D2C" w:rsidP="00FD1D2C">
      <w:pPr>
        <w:pStyle w:val="NumberedHeading3"/>
      </w:pPr>
      <w:bookmarkStart w:id="8" w:name="_Toc114065151"/>
      <w:r>
        <w:t>Futureproofing</w:t>
      </w:r>
      <w:bookmarkEnd w:id="8"/>
    </w:p>
    <w:p w14:paraId="32279FCE" w14:textId="77777777" w:rsidR="00FD1D2C" w:rsidRPr="00FD1D2C" w:rsidRDefault="00FD1D2C" w:rsidP="00FD1D2C">
      <w:pPr>
        <w:rPr>
          <w:i/>
          <w:iCs/>
        </w:rPr>
      </w:pPr>
      <w:r w:rsidRPr="00FD1D2C">
        <w:rPr>
          <w:i/>
          <w:iCs/>
        </w:rPr>
        <w:t>Successful futureproofing ensures durability over time while providing initial flexibility of designed spaces, and adaptability.</w:t>
      </w:r>
    </w:p>
    <w:p w14:paraId="352A6E7D" w14:textId="77777777" w:rsidR="00FD1D2C" w:rsidRDefault="00FD1D2C" w:rsidP="00FD1D2C">
      <w:r>
        <w:t>Appropriate and robust materials guarantee functionality, high structural integrity, and cost-effectiveness over the long term.</w:t>
      </w:r>
    </w:p>
    <w:p w14:paraId="37DD8448" w14:textId="77777777" w:rsidR="00FD1D2C" w:rsidRDefault="00FD1D2C" w:rsidP="00FD1D2C">
      <w:r>
        <w:t>The design needs to support flexible usage of spaces.</w:t>
      </w:r>
    </w:p>
    <w:p w14:paraId="4E2495B4" w14:textId="1713A501" w:rsidR="00FD1D2C" w:rsidRDefault="00FD1D2C" w:rsidP="00FD1D2C">
      <w:r>
        <w:t>The design needs to support future adaptability, including upgrades, additions, replacements, reconfigurations, and repurposing of building components. This will accommodate changing needs over time, including different functions, new models of care and technological innovation. Adaptability also supports changing, maintaining and replacing plant and medical equipment.</w:t>
      </w:r>
    </w:p>
    <w:p w14:paraId="2030B575" w14:textId="6D3D7DFD" w:rsidR="00FD1D2C" w:rsidRDefault="00FD1D2C" w:rsidP="00FD1D2C">
      <w:pPr>
        <w:pStyle w:val="NumberedHeading3"/>
      </w:pPr>
      <w:bookmarkStart w:id="9" w:name="_Toc114065152"/>
      <w:r>
        <w:t>Site master planning</w:t>
      </w:r>
      <w:bookmarkEnd w:id="9"/>
      <w:r>
        <w:t xml:space="preserve"> </w:t>
      </w:r>
    </w:p>
    <w:p w14:paraId="07AE0EE4" w14:textId="77777777" w:rsidR="00FD1D2C" w:rsidRPr="00FD1D2C" w:rsidRDefault="00FD1D2C" w:rsidP="00FD1D2C">
      <w:pPr>
        <w:rPr>
          <w:i/>
          <w:iCs/>
        </w:rPr>
      </w:pPr>
      <w:r w:rsidRPr="00FD1D2C">
        <w:rPr>
          <w:i/>
          <w:iCs/>
        </w:rPr>
        <w:t xml:space="preserve">Effective site master planning ensures that current and future health infrastructure supports current and future clinical service and asset management requirements and </w:t>
      </w:r>
      <w:r w:rsidRPr="00FD1D2C">
        <w:rPr>
          <w:i/>
          <w:iCs/>
        </w:rPr>
        <w:lastRenderedPageBreak/>
        <w:t>broader community objectives. Facility design should be aligned and integrated with a site masterplan.</w:t>
      </w:r>
    </w:p>
    <w:p w14:paraId="3B7DFBF2" w14:textId="77777777" w:rsidR="00FD1D2C" w:rsidRDefault="00FD1D2C" w:rsidP="00FD1D2C">
      <w:r>
        <w:t xml:space="preserve">The facility design should align with the context, master planning objectives and frameworks of the region, locality, and campus. Any difficulties in achieving this should be identified upfront and addressed. </w:t>
      </w:r>
    </w:p>
    <w:p w14:paraId="6B3758D0" w14:textId="77777777" w:rsidR="00FD1D2C" w:rsidRDefault="00FD1D2C" w:rsidP="00FD1D2C">
      <w:r>
        <w:t>The facility should integrate with its immediate natural and urban environment and contribute to high-quality public space and services. The design team should consider the building form, orientation, and accessibility of buildings in this context.</w:t>
      </w:r>
    </w:p>
    <w:p w14:paraId="455724F7" w14:textId="503F1C51" w:rsidR="00FD1D2C" w:rsidRDefault="00FD1D2C" w:rsidP="00FD1D2C">
      <w:pPr>
        <w:pStyle w:val="NumberedHeading3"/>
      </w:pPr>
      <w:bookmarkStart w:id="10" w:name="_Toc114065153"/>
      <w:r>
        <w:t>Resilience and post-disaster planning</w:t>
      </w:r>
      <w:bookmarkEnd w:id="10"/>
    </w:p>
    <w:p w14:paraId="3B31E5E2" w14:textId="77777777" w:rsidR="00FD1D2C" w:rsidRPr="00FD1D2C" w:rsidRDefault="00FD1D2C" w:rsidP="00FD1D2C">
      <w:pPr>
        <w:rPr>
          <w:i/>
          <w:iCs/>
        </w:rPr>
      </w:pPr>
      <w:r w:rsidRPr="00FD1D2C">
        <w:rPr>
          <w:i/>
          <w:iCs/>
        </w:rPr>
        <w:t xml:space="preserve">Effective disaster and emergency response planning ensures that healthcare facilities are designed to remain operational during and after natural disasters and pandemics. </w:t>
      </w:r>
    </w:p>
    <w:p w14:paraId="044CD3E4" w14:textId="056A8102" w:rsidR="00FD1D2C" w:rsidRDefault="00FD1D2C" w:rsidP="00FD1D2C">
      <w:r>
        <w:t xml:space="preserve">If a facility is required to have an emergency post-disaster function, it will need sufficient resilience to meet this function. HNZ is developing further guidance on appropriate design resilience considerations. </w:t>
      </w:r>
    </w:p>
    <w:p w14:paraId="12697B91" w14:textId="7F7300B0" w:rsidR="00FD1D2C" w:rsidRDefault="00FD1D2C" w:rsidP="00FD1D2C">
      <w:pPr>
        <w:pStyle w:val="NumberedHeading3"/>
      </w:pPr>
      <w:bookmarkStart w:id="11" w:name="_Toc114065154"/>
      <w:r>
        <w:t>Safe and secure environments</w:t>
      </w:r>
      <w:bookmarkEnd w:id="11"/>
    </w:p>
    <w:p w14:paraId="73B623D1" w14:textId="77777777" w:rsidR="00FD1D2C" w:rsidRPr="00FD1D2C" w:rsidRDefault="00FD1D2C" w:rsidP="00FD1D2C">
      <w:pPr>
        <w:rPr>
          <w:i/>
          <w:iCs/>
        </w:rPr>
      </w:pPr>
      <w:r w:rsidRPr="00FD1D2C">
        <w:rPr>
          <w:i/>
          <w:iCs/>
        </w:rPr>
        <w:t>Effective design of safe and secure environments supports the safety of all building occupants (including building maintenance access).</w:t>
      </w:r>
    </w:p>
    <w:p w14:paraId="2D890755" w14:textId="77777777" w:rsidR="00FD1D2C" w:rsidRDefault="00FD1D2C" w:rsidP="00FD1D2C">
      <w:r>
        <w:t>This includes as a minimum.</w:t>
      </w:r>
    </w:p>
    <w:p w14:paraId="7CEB0BD6" w14:textId="041C4F4E" w:rsidR="00FD1D2C" w:rsidRDefault="00FD1D2C" w:rsidP="00FD1D2C">
      <w:pPr>
        <w:pStyle w:val="ListBullet"/>
      </w:pPr>
      <w:r>
        <w:t xml:space="preserve">The design should optimise safety and security, minimise the risk of personal harm and support safe behaviour and use. </w:t>
      </w:r>
    </w:p>
    <w:p w14:paraId="60320747" w14:textId="20D1778F" w:rsidR="00FD1D2C" w:rsidRDefault="00FD1D2C" w:rsidP="00FD1D2C">
      <w:pPr>
        <w:pStyle w:val="ListBullet"/>
      </w:pPr>
      <w:r>
        <w:t>The level of visibility and lines of sight should be appropriately optimised for all users of the clinical service or function provided.</w:t>
      </w:r>
    </w:p>
    <w:p w14:paraId="7A4E166A" w14:textId="3CAE9142" w:rsidR="00FD1D2C" w:rsidRDefault="00FD1D2C" w:rsidP="00FD1D2C">
      <w:pPr>
        <w:pStyle w:val="ListBullet"/>
      </w:pPr>
      <w:r>
        <w:t xml:space="preserve">The security, nurse call, digital support (such as </w:t>
      </w:r>
      <w:proofErr w:type="spellStart"/>
      <w:r>
        <w:t>WiFi</w:t>
      </w:r>
      <w:proofErr w:type="spellEnd"/>
      <w:r>
        <w:t xml:space="preserve">), and access control strategies should be appropriate for the project and the overall facility. </w:t>
      </w:r>
    </w:p>
    <w:p w14:paraId="20BEE8BB" w14:textId="0615970F" w:rsidR="00FD1D2C" w:rsidRDefault="00FD1D2C" w:rsidP="00FD1D2C">
      <w:pPr>
        <w:pStyle w:val="ListBullet"/>
      </w:pPr>
      <w:r>
        <w:t>Robust materials which can be easily maintained and cleaned for safety and infection control should be used throughout the project.</w:t>
      </w:r>
    </w:p>
    <w:p w14:paraId="67ADC944" w14:textId="0E2B0784" w:rsidR="00FD1D2C" w:rsidRDefault="00FD1D2C" w:rsidP="00FD1D2C">
      <w:pPr>
        <w:pStyle w:val="ListBullet"/>
      </w:pPr>
      <w:r>
        <w:t>Environmental systems, including adequate heating, ventilation, cooling, and lighting, should be used throughout the project to provide a safe and healthy internal environment.</w:t>
      </w:r>
    </w:p>
    <w:p w14:paraId="6D62830A" w14:textId="5DE4717C" w:rsidR="00FD1D2C" w:rsidRDefault="00FD1D2C" w:rsidP="00FD1D2C">
      <w:pPr>
        <w:pStyle w:val="NumberedHeading3"/>
      </w:pPr>
      <w:bookmarkStart w:id="12" w:name="_Toc114065155"/>
      <w:r>
        <w:t>Dignity, autonomy, and choice</w:t>
      </w:r>
      <w:bookmarkEnd w:id="12"/>
    </w:p>
    <w:p w14:paraId="774A02AD" w14:textId="77777777" w:rsidR="00FD1D2C" w:rsidRPr="00FD1D2C" w:rsidRDefault="00FD1D2C" w:rsidP="00FD1D2C">
      <w:pPr>
        <w:rPr>
          <w:i/>
          <w:iCs/>
        </w:rPr>
      </w:pPr>
      <w:r w:rsidRPr="00FD1D2C">
        <w:rPr>
          <w:i/>
          <w:iCs/>
        </w:rPr>
        <w:t>Effective facility design provides a person with more choices for satisfying personal preferences and requirements.</w:t>
      </w:r>
    </w:p>
    <w:p w14:paraId="6D55A45A" w14:textId="77777777" w:rsidR="00FD1D2C" w:rsidRDefault="00FD1D2C" w:rsidP="00FD1D2C">
      <w:r>
        <w:lastRenderedPageBreak/>
        <w:t>Effective facility design should offer building occupants various options to satisfy personal preferences and requirements such as control over natural and artificial light levels, and access to visual or auditory privacy. The design should also support independence and opportunities for self-care.</w:t>
      </w:r>
    </w:p>
    <w:p w14:paraId="098EF421" w14:textId="52A495F3" w:rsidR="00FD1D2C" w:rsidRDefault="00FD1D2C" w:rsidP="00FD1D2C">
      <w:pPr>
        <w:pStyle w:val="NumberedHeading3"/>
      </w:pPr>
      <w:bookmarkStart w:id="13" w:name="_Toc114065156"/>
      <w:r>
        <w:t>Therapeutic environment</w:t>
      </w:r>
      <w:bookmarkEnd w:id="13"/>
    </w:p>
    <w:p w14:paraId="4C384AF6" w14:textId="77777777" w:rsidR="00FD1D2C" w:rsidRPr="00FD1D2C" w:rsidRDefault="00FD1D2C" w:rsidP="00FD1D2C">
      <w:pPr>
        <w:rPr>
          <w:i/>
          <w:iCs/>
        </w:rPr>
      </w:pPr>
      <w:r w:rsidRPr="00FD1D2C">
        <w:rPr>
          <w:i/>
          <w:iCs/>
        </w:rPr>
        <w:t>Effective facility design can contribute to good health outcomes.</w:t>
      </w:r>
    </w:p>
    <w:p w14:paraId="26A0A951" w14:textId="77777777" w:rsidR="00FD1D2C" w:rsidRDefault="00FD1D2C" w:rsidP="00FD1D2C">
      <w:r>
        <w:t xml:space="preserve">The design should optimise the therapeutic potential of the external environment, with reference to such aspects as natural light, external views, orientation, and fresh air. </w:t>
      </w:r>
    </w:p>
    <w:p w14:paraId="23CC0C20" w14:textId="12A217A3" w:rsidR="00FD1D2C" w:rsidRDefault="00FD1D2C" w:rsidP="00FD1D2C">
      <w:r>
        <w:t>The interior design should deliver a therapeutic environment, with reference to its ambience, including colours, natural light penetration and careful choice of forms, fabrics, and finishes.</w:t>
      </w:r>
    </w:p>
    <w:p w14:paraId="6F71880D" w14:textId="4C350599" w:rsidR="00FD1D2C" w:rsidRDefault="00FD1D2C" w:rsidP="00FD1D2C">
      <w:pPr>
        <w:pStyle w:val="NumberedHeading2"/>
      </w:pPr>
      <w:bookmarkStart w:id="14" w:name="_Toc114065157"/>
      <w:r>
        <w:t>Clinical service planning and functional design brief</w:t>
      </w:r>
      <w:bookmarkEnd w:id="14"/>
    </w:p>
    <w:p w14:paraId="7D94E8A7" w14:textId="77777777" w:rsidR="00FD1D2C" w:rsidRDefault="00FD1D2C" w:rsidP="00FD1D2C">
      <w:r>
        <w:t xml:space="preserve">Hospitals and health services operate within the context of care at national, regional and locality levels. Clinical service planning defines this context and the resulting care requirements and is used to inform the briefing and design of facilities.  Aligning facility design with clinical service planning plays a crucial role in delivering appropriate and high-quality care where it is needed. </w:t>
      </w:r>
    </w:p>
    <w:p w14:paraId="54AE47AD" w14:textId="77777777" w:rsidR="00FD1D2C" w:rsidRDefault="00FD1D2C" w:rsidP="00FD1D2C">
      <w:r>
        <w:t>The objective of the Functional Design Brief and Schedules of Accommodation is to incorporate the core operational and functional requirements identified in clinical service planning into the project design.</w:t>
      </w:r>
    </w:p>
    <w:p w14:paraId="3D009F2D" w14:textId="1EB9F88A" w:rsidR="00FD1D2C" w:rsidRDefault="00FD1D2C" w:rsidP="00FD1D2C">
      <w:pPr>
        <w:pStyle w:val="NumberedHeading2"/>
      </w:pPr>
      <w:bookmarkStart w:id="15" w:name="_Toc114065158"/>
      <w:r>
        <w:t>Kaupapa Māori considerations</w:t>
      </w:r>
      <w:bookmarkEnd w:id="15"/>
      <w:r>
        <w:t xml:space="preserve"> </w:t>
      </w:r>
    </w:p>
    <w:p w14:paraId="5BE74754" w14:textId="77777777" w:rsidR="00FD1D2C" w:rsidRPr="00FD1D2C" w:rsidRDefault="00FD1D2C" w:rsidP="00FD1D2C">
      <w:pPr>
        <w:rPr>
          <w:i/>
          <w:iCs/>
        </w:rPr>
      </w:pPr>
      <w:r w:rsidRPr="00FD1D2C">
        <w:rPr>
          <w:i/>
          <w:iCs/>
        </w:rPr>
        <w:t xml:space="preserve">Note: This section is under development. </w:t>
      </w:r>
    </w:p>
    <w:p w14:paraId="2924A190" w14:textId="31D5ADED" w:rsidR="00FD1D2C" w:rsidRDefault="00FD1D2C" w:rsidP="00FD1D2C">
      <w:r>
        <w:t xml:space="preserve">This section should be read together with the AusHFG: Resources, Culturally Sensitive Planning and Design </w:t>
      </w:r>
      <w:hyperlink r:id="rId21" w:history="1">
        <w:r w:rsidRPr="00586C0B">
          <w:rPr>
            <w:rStyle w:val="Hyperlink"/>
          </w:rPr>
          <w:t>https://healthfacilityguidelines.com.au/content/arts-and-culture</w:t>
        </w:r>
      </w:hyperlink>
      <w:r>
        <w:t xml:space="preserve"> </w:t>
      </w:r>
    </w:p>
    <w:p w14:paraId="01230855" w14:textId="4763A259" w:rsidR="00FD1D2C" w:rsidRDefault="00FD1D2C" w:rsidP="00FD1D2C">
      <w:pPr>
        <w:pStyle w:val="NumberedHeading3"/>
      </w:pPr>
      <w:bookmarkStart w:id="16" w:name="_Toc114065159"/>
      <w:r>
        <w:t>Kaupapa Māori concepts</w:t>
      </w:r>
      <w:bookmarkEnd w:id="16"/>
    </w:p>
    <w:p w14:paraId="380355E2" w14:textId="77777777" w:rsidR="00FD1D2C" w:rsidRDefault="00FD1D2C" w:rsidP="00FD1D2C">
      <w:r>
        <w:t>Design projects should consider the following Kaupapa Māori concepts and spaces:</w:t>
      </w:r>
    </w:p>
    <w:p w14:paraId="730290FF" w14:textId="14F8C867" w:rsidR="00FD1D2C" w:rsidRDefault="00FD1D2C" w:rsidP="00FD1D2C">
      <w:pPr>
        <w:pStyle w:val="ListBullet"/>
      </w:pPr>
      <w:proofErr w:type="spellStart"/>
      <w:r w:rsidRPr="00FD1D2C">
        <w:rPr>
          <w:i/>
          <w:iCs/>
        </w:rPr>
        <w:t>Waharoa</w:t>
      </w:r>
      <w:proofErr w:type="spellEnd"/>
      <w:r>
        <w:t xml:space="preserve"> – the entry gateway signalling the beginning of the </w:t>
      </w:r>
      <w:proofErr w:type="spellStart"/>
      <w:r>
        <w:t>ātea</w:t>
      </w:r>
      <w:proofErr w:type="spellEnd"/>
      <w:r>
        <w:t>.</w:t>
      </w:r>
    </w:p>
    <w:p w14:paraId="44818065" w14:textId="7C0349C6" w:rsidR="00FD1D2C" w:rsidRDefault="00FD1D2C" w:rsidP="00FD1D2C">
      <w:pPr>
        <w:pStyle w:val="ListBullet"/>
      </w:pPr>
      <w:proofErr w:type="spellStart"/>
      <w:r w:rsidRPr="00FD1D2C">
        <w:rPr>
          <w:i/>
          <w:iCs/>
        </w:rPr>
        <w:lastRenderedPageBreak/>
        <w:t>Ātea</w:t>
      </w:r>
      <w:proofErr w:type="spellEnd"/>
      <w:r>
        <w:t xml:space="preserve"> – a clearing, or forecourt in front of the entrance for ceremonial welcomes, providing civic and transitional space like a procession to prepare for the journey ahead. A marae </w:t>
      </w:r>
      <w:proofErr w:type="spellStart"/>
      <w:r>
        <w:t>ātea</w:t>
      </w:r>
      <w:proofErr w:type="spellEnd"/>
      <w:r>
        <w:t xml:space="preserve"> is a sacred space only associated with traditional marae. Preferably, vehicles should not cross the </w:t>
      </w:r>
      <w:proofErr w:type="spellStart"/>
      <w:r>
        <w:t>ātea</w:t>
      </w:r>
      <w:proofErr w:type="spellEnd"/>
      <w:r>
        <w:t>, especially if a welcome is occurring.</w:t>
      </w:r>
    </w:p>
    <w:p w14:paraId="372782FA" w14:textId="11FB3272" w:rsidR="00FD1D2C" w:rsidRDefault="00FD1D2C" w:rsidP="00FD1D2C">
      <w:pPr>
        <w:pStyle w:val="ListBullet"/>
      </w:pPr>
      <w:proofErr w:type="spellStart"/>
      <w:r w:rsidRPr="00FD1D2C">
        <w:rPr>
          <w:i/>
          <w:iCs/>
        </w:rPr>
        <w:t>Mahau</w:t>
      </w:r>
      <w:proofErr w:type="spellEnd"/>
      <w:r>
        <w:t xml:space="preserve"> – the porch in front of the whare, a transitional space from ‘Te </w:t>
      </w:r>
      <w:proofErr w:type="spellStart"/>
      <w:r>
        <w:t>Ao</w:t>
      </w:r>
      <w:proofErr w:type="spellEnd"/>
      <w:r>
        <w:t xml:space="preserve"> Marama’ (the light of the natural world) to ‘Te Po’ (the darkness) and in some cases a sacred space on the marae. </w:t>
      </w:r>
    </w:p>
    <w:p w14:paraId="01D873F6" w14:textId="42927274" w:rsidR="00FD1D2C" w:rsidRDefault="00FD1D2C" w:rsidP="00FD1D2C">
      <w:pPr>
        <w:pStyle w:val="ListBullet"/>
      </w:pPr>
      <w:proofErr w:type="spellStart"/>
      <w:r w:rsidRPr="00FD1D2C">
        <w:rPr>
          <w:i/>
          <w:iCs/>
        </w:rPr>
        <w:t>Whare</w:t>
      </w:r>
      <w:proofErr w:type="spellEnd"/>
      <w:r w:rsidRPr="00FD1D2C">
        <w:rPr>
          <w:i/>
          <w:iCs/>
        </w:rPr>
        <w:t xml:space="preserve"> </w:t>
      </w:r>
      <w:proofErr w:type="spellStart"/>
      <w:r w:rsidRPr="00FD1D2C">
        <w:rPr>
          <w:i/>
          <w:iCs/>
        </w:rPr>
        <w:t>Whakatau</w:t>
      </w:r>
      <w:proofErr w:type="spellEnd"/>
      <w:r>
        <w:t xml:space="preserve"> – a formal welcoming space. The key word is ‘tau’ which means ‘to arrive’ or to ‘be settled’. A whare </w:t>
      </w:r>
      <w:proofErr w:type="spellStart"/>
      <w:r>
        <w:t>whakatau</w:t>
      </w:r>
      <w:proofErr w:type="spellEnd"/>
      <w:r>
        <w:t xml:space="preserve"> does not have the restrictions and sacredness associated with a whare tupuna or </w:t>
      </w:r>
      <w:proofErr w:type="spellStart"/>
      <w:r>
        <w:t>whare</w:t>
      </w:r>
      <w:proofErr w:type="spellEnd"/>
      <w:r>
        <w:t xml:space="preserve"> whakairo on the marae. (see 1.5.3.1 below). </w:t>
      </w:r>
    </w:p>
    <w:p w14:paraId="67E54E40" w14:textId="6509895A" w:rsidR="00FD1D2C" w:rsidRDefault="00FD1D2C" w:rsidP="00FD1D2C">
      <w:pPr>
        <w:pStyle w:val="ListBullet"/>
      </w:pPr>
      <w:r w:rsidRPr="00FD1D2C">
        <w:rPr>
          <w:i/>
          <w:iCs/>
        </w:rPr>
        <w:t>Whānau room</w:t>
      </w:r>
      <w:r>
        <w:t xml:space="preserve"> – a place to accommodate whānau to stay connected to their </w:t>
      </w:r>
      <w:proofErr w:type="spellStart"/>
      <w:r>
        <w:t>tangata</w:t>
      </w:r>
      <w:proofErr w:type="spellEnd"/>
      <w:r>
        <w:t xml:space="preserve"> </w:t>
      </w:r>
      <w:proofErr w:type="spellStart"/>
      <w:r>
        <w:t>whaiora</w:t>
      </w:r>
      <w:proofErr w:type="spellEnd"/>
      <w:r>
        <w:t xml:space="preserve">, with provision for eating, sleeping, children and play space. (see 1.5.3.2 below).  </w:t>
      </w:r>
    </w:p>
    <w:p w14:paraId="62F7DBB2" w14:textId="73CD14C8" w:rsidR="00FD1D2C" w:rsidRDefault="00FD1D2C" w:rsidP="00FD1D2C">
      <w:pPr>
        <w:pStyle w:val="ListBullet"/>
      </w:pPr>
      <w:proofErr w:type="spellStart"/>
      <w:r w:rsidRPr="00FD1D2C">
        <w:rPr>
          <w:i/>
          <w:iCs/>
        </w:rPr>
        <w:t>Whare</w:t>
      </w:r>
      <w:proofErr w:type="spellEnd"/>
      <w:r w:rsidRPr="00FD1D2C">
        <w:rPr>
          <w:i/>
          <w:iCs/>
        </w:rPr>
        <w:t xml:space="preserve"> </w:t>
      </w:r>
      <w:proofErr w:type="spellStart"/>
      <w:r w:rsidRPr="00FD1D2C">
        <w:rPr>
          <w:i/>
          <w:iCs/>
        </w:rPr>
        <w:t>manaaki</w:t>
      </w:r>
      <w:proofErr w:type="spellEnd"/>
      <w:r>
        <w:t xml:space="preserve"> - a supportive space for Māori, often featuring modern </w:t>
      </w:r>
      <w:proofErr w:type="spellStart"/>
      <w:r>
        <w:t>whare</w:t>
      </w:r>
      <w:proofErr w:type="spellEnd"/>
      <w:r>
        <w:t xml:space="preserve"> typology with open and flexible use.</w:t>
      </w:r>
    </w:p>
    <w:p w14:paraId="59B42277" w14:textId="186E6C2D" w:rsidR="00FD1D2C" w:rsidRDefault="00FD1D2C" w:rsidP="00FD1D2C">
      <w:pPr>
        <w:pStyle w:val="ListBullet"/>
      </w:pPr>
      <w:proofErr w:type="spellStart"/>
      <w:r w:rsidRPr="00FD1D2C">
        <w:rPr>
          <w:i/>
          <w:iCs/>
        </w:rPr>
        <w:t>Whare</w:t>
      </w:r>
      <w:proofErr w:type="spellEnd"/>
      <w:r w:rsidRPr="00FD1D2C">
        <w:rPr>
          <w:i/>
          <w:iCs/>
        </w:rPr>
        <w:t xml:space="preserve"> </w:t>
      </w:r>
      <w:proofErr w:type="spellStart"/>
      <w:r w:rsidRPr="00FD1D2C">
        <w:rPr>
          <w:i/>
          <w:iCs/>
        </w:rPr>
        <w:t>puni</w:t>
      </w:r>
      <w:proofErr w:type="spellEnd"/>
      <w:r>
        <w:t xml:space="preserve"> – a sleeping hut.</w:t>
      </w:r>
    </w:p>
    <w:p w14:paraId="6E9B1129" w14:textId="1BA53282" w:rsidR="00FD1D2C" w:rsidRDefault="00FD1D2C" w:rsidP="00FD1D2C">
      <w:pPr>
        <w:pStyle w:val="ListBullet"/>
      </w:pPr>
      <w:r w:rsidRPr="00FD1D2C">
        <w:rPr>
          <w:i/>
          <w:iCs/>
        </w:rPr>
        <w:t>Puna</w:t>
      </w:r>
      <w:r>
        <w:t xml:space="preserve"> – a ‘pool of healing’; healing and contemplative spaces.</w:t>
      </w:r>
    </w:p>
    <w:p w14:paraId="6D7E23E7" w14:textId="342C39F0" w:rsidR="00FD1D2C" w:rsidRDefault="00FD1D2C" w:rsidP="00FD1D2C">
      <w:pPr>
        <w:pStyle w:val="ListBullet"/>
      </w:pPr>
      <w:proofErr w:type="spellStart"/>
      <w:r w:rsidRPr="00FD1D2C">
        <w:rPr>
          <w:i/>
          <w:iCs/>
        </w:rPr>
        <w:t>Waerenga</w:t>
      </w:r>
      <w:proofErr w:type="spellEnd"/>
      <w:r>
        <w:t xml:space="preserve"> - internal courtyards to allow connection to the natural environment: whenua (land), </w:t>
      </w:r>
      <w:proofErr w:type="spellStart"/>
      <w:r>
        <w:t>ngahere</w:t>
      </w:r>
      <w:proofErr w:type="spellEnd"/>
      <w:r>
        <w:t xml:space="preserve"> (forest), </w:t>
      </w:r>
      <w:proofErr w:type="spellStart"/>
      <w:r>
        <w:t>wai</w:t>
      </w:r>
      <w:proofErr w:type="spellEnd"/>
      <w:r>
        <w:t xml:space="preserve"> (water), </w:t>
      </w:r>
      <w:proofErr w:type="spellStart"/>
      <w:r>
        <w:t>tama-nui-te-rā</w:t>
      </w:r>
      <w:proofErr w:type="spellEnd"/>
      <w:r>
        <w:t xml:space="preserve"> (sun). </w:t>
      </w:r>
      <w:proofErr w:type="spellStart"/>
      <w:r>
        <w:t>Waerenga</w:t>
      </w:r>
      <w:proofErr w:type="spellEnd"/>
      <w:r>
        <w:t xml:space="preserve"> provide the opportunity for small vegetable gardens and Rongoa Māori species.</w:t>
      </w:r>
    </w:p>
    <w:p w14:paraId="1CD00294" w14:textId="4CF5BA1B" w:rsidR="00FD1D2C" w:rsidRDefault="00FD1D2C" w:rsidP="00FD1D2C">
      <w:pPr>
        <w:pStyle w:val="NumberedHeading3"/>
      </w:pPr>
      <w:bookmarkStart w:id="17" w:name="_Toc114065160"/>
      <w:proofErr w:type="spellStart"/>
      <w:r>
        <w:t>Tūpāpaku</w:t>
      </w:r>
      <w:bookmarkEnd w:id="17"/>
      <w:proofErr w:type="spellEnd"/>
      <w:r>
        <w:t xml:space="preserve"> </w:t>
      </w:r>
    </w:p>
    <w:p w14:paraId="72FFA3C8" w14:textId="77777777" w:rsidR="00FD1D2C" w:rsidRDefault="00FD1D2C" w:rsidP="00FD1D2C">
      <w:r>
        <w:t>Careful consideration should be given to protocols and practices in the event of a death within the facility, including:</w:t>
      </w:r>
    </w:p>
    <w:p w14:paraId="543B1C74" w14:textId="6B7B76D3" w:rsidR="00FD1D2C" w:rsidRDefault="00FD1D2C" w:rsidP="00FD1D2C">
      <w:pPr>
        <w:pStyle w:val="ListBullet"/>
      </w:pPr>
      <w:r>
        <w:t xml:space="preserve">clear flows and routes for </w:t>
      </w:r>
      <w:proofErr w:type="spellStart"/>
      <w:r>
        <w:t>tūpāpaku</w:t>
      </w:r>
      <w:proofErr w:type="spellEnd"/>
      <w:r>
        <w:t xml:space="preserve"> (deceased person), independent of other flows, especially those used for food and drink</w:t>
      </w:r>
    </w:p>
    <w:p w14:paraId="7ABF5E16" w14:textId="2E1B4CED" w:rsidR="00FD1D2C" w:rsidRDefault="00FD1D2C" w:rsidP="00FD1D2C">
      <w:pPr>
        <w:pStyle w:val="ListBullet"/>
      </w:pPr>
      <w:r>
        <w:t xml:space="preserve">privacy and dignity of patients and whānau </w:t>
      </w:r>
    </w:p>
    <w:p w14:paraId="1A896AEE" w14:textId="34276B62" w:rsidR="00FD1D2C" w:rsidRDefault="00FD1D2C" w:rsidP="00FD1D2C">
      <w:pPr>
        <w:pStyle w:val="ListBullet"/>
      </w:pPr>
      <w:r>
        <w:t xml:space="preserve">separation from other patients and whānau </w:t>
      </w:r>
    </w:p>
    <w:p w14:paraId="24D7E688" w14:textId="6B4155E9" w:rsidR="00FD1D2C" w:rsidRDefault="00FD1D2C" w:rsidP="00FD1D2C">
      <w:pPr>
        <w:pStyle w:val="ListBullet"/>
      </w:pPr>
      <w:r>
        <w:t xml:space="preserve">ability for </w:t>
      </w:r>
      <w:proofErr w:type="spellStart"/>
      <w:r>
        <w:t>whānau</w:t>
      </w:r>
      <w:proofErr w:type="spellEnd"/>
      <w:r>
        <w:t xml:space="preserve"> to accompany </w:t>
      </w:r>
      <w:proofErr w:type="spellStart"/>
      <w:r>
        <w:t>tūpāpaku</w:t>
      </w:r>
      <w:proofErr w:type="spellEnd"/>
    </w:p>
    <w:p w14:paraId="09B3C07B" w14:textId="750D9932" w:rsidR="00FD1D2C" w:rsidRDefault="00FD1D2C" w:rsidP="00FD1D2C">
      <w:pPr>
        <w:pStyle w:val="ListBullet"/>
      </w:pPr>
      <w:r>
        <w:t xml:space="preserve">enough space for whānau to gather, both with and apart from </w:t>
      </w:r>
      <w:proofErr w:type="spellStart"/>
      <w:r>
        <w:t>tūpāpaku</w:t>
      </w:r>
      <w:proofErr w:type="spellEnd"/>
      <w:r>
        <w:t xml:space="preserve"> </w:t>
      </w:r>
    </w:p>
    <w:p w14:paraId="4FEBF6B0" w14:textId="15E86334" w:rsidR="00FD1D2C" w:rsidRDefault="00FD1D2C" w:rsidP="00FD1D2C">
      <w:pPr>
        <w:pStyle w:val="ListBullet"/>
      </w:pPr>
      <w:r>
        <w:t>incorporating processes into hospital-wide operational policies</w:t>
      </w:r>
    </w:p>
    <w:p w14:paraId="1FB77E29" w14:textId="7F5F1F6C" w:rsidR="00FD1D2C" w:rsidRDefault="00FD1D2C" w:rsidP="00FD1D2C">
      <w:pPr>
        <w:pStyle w:val="ListBullet"/>
      </w:pPr>
      <w:r>
        <w:t>availability of water for ritual cleansing at entry and exit points.</w:t>
      </w:r>
    </w:p>
    <w:p w14:paraId="058B04E8" w14:textId="556457F3" w:rsidR="00FD1D2C" w:rsidRDefault="00FD1D2C" w:rsidP="00AB4899">
      <w:pPr>
        <w:pStyle w:val="NumberedHeading3"/>
      </w:pPr>
      <w:bookmarkStart w:id="18" w:name="_Toc114065161"/>
      <w:r>
        <w:lastRenderedPageBreak/>
        <w:t>Design elements to support Kaupapa Māori concepts</w:t>
      </w:r>
      <w:bookmarkEnd w:id="18"/>
    </w:p>
    <w:p w14:paraId="4147E8AF" w14:textId="77777777" w:rsidR="00FD1D2C" w:rsidRDefault="00FD1D2C" w:rsidP="00FD1D2C">
      <w:r>
        <w:t>Design elements commonly used to support Kaupapa Māori concepts.</w:t>
      </w:r>
    </w:p>
    <w:p w14:paraId="7EB66872" w14:textId="300B2ADF" w:rsidR="00FD1D2C" w:rsidRDefault="00FD1D2C" w:rsidP="00FD1D2C">
      <w:pPr>
        <w:pStyle w:val="ListBullet"/>
      </w:pPr>
      <w:r>
        <w:t xml:space="preserve">Facade, entrance, corridors, and main living spaces: incorporate Māori design in the form of wayfinding, materiality and artworks which express the principles and values of Te </w:t>
      </w:r>
      <w:proofErr w:type="spellStart"/>
      <w:r>
        <w:t>Ao</w:t>
      </w:r>
      <w:proofErr w:type="spellEnd"/>
      <w:r>
        <w:t xml:space="preserve"> Māori. </w:t>
      </w:r>
    </w:p>
    <w:p w14:paraId="36D1ECAE" w14:textId="227EB18A" w:rsidR="00FD1D2C" w:rsidRDefault="00FD1D2C" w:rsidP="00FD1D2C">
      <w:pPr>
        <w:pStyle w:val="ListBullet"/>
      </w:pPr>
      <w:r w:rsidRPr="00FD1D2C">
        <w:rPr>
          <w:i/>
          <w:iCs/>
        </w:rPr>
        <w:t xml:space="preserve">Te </w:t>
      </w:r>
      <w:proofErr w:type="spellStart"/>
      <w:r w:rsidRPr="00FD1D2C">
        <w:rPr>
          <w:i/>
          <w:iCs/>
        </w:rPr>
        <w:t>Waonui</w:t>
      </w:r>
      <w:proofErr w:type="spellEnd"/>
      <w:r w:rsidRPr="00FD1D2C">
        <w:rPr>
          <w:i/>
          <w:iCs/>
        </w:rPr>
        <w:t xml:space="preserve"> a Tane </w:t>
      </w:r>
      <w:proofErr w:type="spellStart"/>
      <w:r w:rsidRPr="00FD1D2C">
        <w:rPr>
          <w:i/>
          <w:iCs/>
        </w:rPr>
        <w:t>te</w:t>
      </w:r>
      <w:proofErr w:type="spellEnd"/>
      <w:r w:rsidRPr="00FD1D2C">
        <w:rPr>
          <w:i/>
          <w:iCs/>
        </w:rPr>
        <w:t xml:space="preserve"> </w:t>
      </w:r>
      <w:proofErr w:type="spellStart"/>
      <w:r w:rsidRPr="00FD1D2C">
        <w:rPr>
          <w:i/>
          <w:iCs/>
        </w:rPr>
        <w:t>Waiora</w:t>
      </w:r>
      <w:proofErr w:type="spellEnd"/>
      <w:r>
        <w:t xml:space="preserve">: provide for connection to the natural environment belonging to Tane </w:t>
      </w:r>
      <w:proofErr w:type="spellStart"/>
      <w:r>
        <w:t>te</w:t>
      </w:r>
      <w:proofErr w:type="spellEnd"/>
      <w:r>
        <w:t xml:space="preserve"> </w:t>
      </w:r>
      <w:proofErr w:type="spellStart"/>
      <w:r>
        <w:t>Waiora</w:t>
      </w:r>
      <w:proofErr w:type="spellEnd"/>
      <w:r>
        <w:t xml:space="preserve"> (god of healing, of the forest).</w:t>
      </w:r>
    </w:p>
    <w:p w14:paraId="7F456240" w14:textId="4CD44A8F" w:rsidR="00FD1D2C" w:rsidRDefault="00FD1D2C" w:rsidP="00FD1D2C">
      <w:pPr>
        <w:pStyle w:val="ListBullet"/>
      </w:pPr>
      <w:r w:rsidRPr="00FD1D2C">
        <w:rPr>
          <w:i/>
          <w:iCs/>
        </w:rPr>
        <w:t xml:space="preserve">Mahi </w:t>
      </w:r>
      <w:proofErr w:type="spellStart"/>
      <w:r w:rsidRPr="00FD1D2C">
        <w:rPr>
          <w:i/>
          <w:iCs/>
        </w:rPr>
        <w:t>toi</w:t>
      </w:r>
      <w:proofErr w:type="spellEnd"/>
      <w:r>
        <w:t>: incorporate appropriate artworks to support wayfinding and connect to narrative and values.</w:t>
      </w:r>
    </w:p>
    <w:p w14:paraId="11AD3366" w14:textId="16D32EF7" w:rsidR="00FD1D2C" w:rsidRDefault="00FD1D2C" w:rsidP="00AB4899">
      <w:pPr>
        <w:pStyle w:val="NumberedHeading4"/>
      </w:pPr>
      <w:proofErr w:type="spellStart"/>
      <w:r>
        <w:t>Whare</w:t>
      </w:r>
      <w:proofErr w:type="spellEnd"/>
      <w:r>
        <w:t xml:space="preserve"> </w:t>
      </w:r>
      <w:proofErr w:type="spellStart"/>
      <w:r>
        <w:t>whakatau</w:t>
      </w:r>
      <w:proofErr w:type="spellEnd"/>
      <w:r>
        <w:t xml:space="preserve"> </w:t>
      </w:r>
    </w:p>
    <w:p w14:paraId="3C998362" w14:textId="77777777" w:rsidR="00FD1D2C" w:rsidRDefault="00FD1D2C" w:rsidP="00FD1D2C">
      <w:r>
        <w:t xml:space="preserve">A whare </w:t>
      </w:r>
      <w:proofErr w:type="spellStart"/>
      <w:r>
        <w:t>whakatau</w:t>
      </w:r>
      <w:proofErr w:type="spellEnd"/>
      <w:r>
        <w:t xml:space="preserve"> is a multi-function space, often located at or adjacent to the main entrance to the facility. The activities that take place here include:</w:t>
      </w:r>
    </w:p>
    <w:p w14:paraId="68520A56" w14:textId="1F66EF2C" w:rsidR="00FD1D2C" w:rsidRDefault="00FD1D2C" w:rsidP="00AB4899">
      <w:pPr>
        <w:pStyle w:val="ListBullet"/>
      </w:pPr>
      <w:r>
        <w:t>arrival and welcome</w:t>
      </w:r>
    </w:p>
    <w:p w14:paraId="2E6366E0" w14:textId="4525AAF0" w:rsidR="00FD1D2C" w:rsidRDefault="00FD1D2C" w:rsidP="00AB4899">
      <w:pPr>
        <w:pStyle w:val="ListBullet"/>
      </w:pPr>
      <w:r>
        <w:t>gatherings</w:t>
      </w:r>
    </w:p>
    <w:p w14:paraId="366E6CDA" w14:textId="27D35D03" w:rsidR="00FD1D2C" w:rsidRDefault="00FD1D2C" w:rsidP="00AB4899">
      <w:pPr>
        <w:pStyle w:val="ListBullet"/>
      </w:pPr>
      <w:r>
        <w:t>ceremonial events</w:t>
      </w:r>
    </w:p>
    <w:p w14:paraId="4552B9FE" w14:textId="1A7FED6E" w:rsidR="00FD1D2C" w:rsidRDefault="00FD1D2C" w:rsidP="00AB4899">
      <w:pPr>
        <w:pStyle w:val="ListBullet"/>
      </w:pPr>
      <w:r>
        <w:t>treatment and activities</w:t>
      </w:r>
    </w:p>
    <w:p w14:paraId="11B6141A" w14:textId="601E1FB3" w:rsidR="00FD1D2C" w:rsidRDefault="00FD1D2C" w:rsidP="00AB4899">
      <w:pPr>
        <w:pStyle w:val="ListBullet"/>
      </w:pPr>
      <w:r>
        <w:t>discharge and farewell.</w:t>
      </w:r>
    </w:p>
    <w:p w14:paraId="112DE039" w14:textId="77777777" w:rsidR="00FD1D2C" w:rsidRDefault="00FD1D2C" w:rsidP="00FD1D2C">
      <w:r>
        <w:t>The area will not be used for other operational functions such as judicial hearings or staff meetings, and no food or drink will be served or consumed in it.</w:t>
      </w:r>
    </w:p>
    <w:p w14:paraId="073D1C15" w14:textId="50A21E44" w:rsidR="00FD1D2C" w:rsidRDefault="00FD1D2C" w:rsidP="00FD1D2C">
      <w:r>
        <w:t xml:space="preserve">A whare </w:t>
      </w:r>
      <w:proofErr w:type="spellStart"/>
      <w:r>
        <w:t>whakatau</w:t>
      </w:r>
      <w:proofErr w:type="spellEnd"/>
      <w:r>
        <w:t xml:space="preserve"> will typically feature a </w:t>
      </w:r>
      <w:proofErr w:type="spellStart"/>
      <w:r>
        <w:t>mahau</w:t>
      </w:r>
      <w:proofErr w:type="spellEnd"/>
      <w:r>
        <w:t xml:space="preserve">, </w:t>
      </w:r>
      <w:proofErr w:type="spellStart"/>
      <w:r>
        <w:t>ātea</w:t>
      </w:r>
      <w:proofErr w:type="spellEnd"/>
      <w:r>
        <w:t xml:space="preserve">, </w:t>
      </w:r>
      <w:proofErr w:type="spellStart"/>
      <w:r>
        <w:t>waharoa</w:t>
      </w:r>
      <w:proofErr w:type="spellEnd"/>
      <w:r>
        <w:t>, and decoration and furnishing that expresses the character of the service and the community served.</w:t>
      </w:r>
    </w:p>
    <w:p w14:paraId="45AC6C20" w14:textId="148A3C0A" w:rsidR="00906C27" w:rsidRDefault="00906C27" w:rsidP="00906C27">
      <w:pPr>
        <w:pStyle w:val="NumberedHeading4"/>
      </w:pPr>
      <w:r>
        <w:t>Whānau room</w:t>
      </w:r>
    </w:p>
    <w:p w14:paraId="02BCCF69" w14:textId="77777777" w:rsidR="00906C27" w:rsidRDefault="00906C27" w:rsidP="00906C27">
      <w:r>
        <w:t>A whānau room is a space for supporting family and whānau and is often located near the main entry.</w:t>
      </w:r>
    </w:p>
    <w:p w14:paraId="206DA312" w14:textId="77777777" w:rsidR="00906C27" w:rsidRDefault="00906C27" w:rsidP="00906C27">
      <w:r>
        <w:t>A whānau room supports a range of functions, including:</w:t>
      </w:r>
    </w:p>
    <w:p w14:paraId="2915BEA9" w14:textId="623BA54F" w:rsidR="00906C27" w:rsidRDefault="00906C27" w:rsidP="00906C27">
      <w:pPr>
        <w:pStyle w:val="ListBullet"/>
      </w:pPr>
      <w:r>
        <w:t>family gathering activities, including resting, talking, singing</w:t>
      </w:r>
    </w:p>
    <w:p w14:paraId="42403110" w14:textId="209CECE7" w:rsidR="00906C27" w:rsidRDefault="00906C27" w:rsidP="00906C27">
      <w:pPr>
        <w:pStyle w:val="ListBullet"/>
      </w:pPr>
      <w:r>
        <w:t>quiet reflection, prayer, contemplation</w:t>
      </w:r>
    </w:p>
    <w:p w14:paraId="33A6FA38" w14:textId="65F26DDB" w:rsidR="00906C27" w:rsidRDefault="00906C27" w:rsidP="00906C27">
      <w:pPr>
        <w:pStyle w:val="ListBullet"/>
      </w:pPr>
      <w:r>
        <w:t>sleeping overnight</w:t>
      </w:r>
    </w:p>
    <w:p w14:paraId="27DA1428" w14:textId="0C8CB8CE" w:rsidR="00906C27" w:rsidRDefault="00906C27" w:rsidP="00906C27">
      <w:pPr>
        <w:pStyle w:val="ListBullet"/>
      </w:pPr>
      <w:r>
        <w:t>care for children and other family members</w:t>
      </w:r>
    </w:p>
    <w:p w14:paraId="744405E4" w14:textId="776636CF" w:rsidR="00906C27" w:rsidRDefault="00906C27" w:rsidP="00906C27">
      <w:pPr>
        <w:pStyle w:val="ListBullet"/>
      </w:pPr>
      <w:r>
        <w:t>storage, preparation and consumption of food and drink.</w:t>
      </w:r>
    </w:p>
    <w:p w14:paraId="70A2E0FB" w14:textId="77777777" w:rsidR="00906C27" w:rsidRDefault="00906C27" w:rsidP="00906C27">
      <w:r>
        <w:lastRenderedPageBreak/>
        <w:t>Depending on the facility size and the nature of the community, more than one whānau room may be required.</w:t>
      </w:r>
    </w:p>
    <w:p w14:paraId="339DDF6A" w14:textId="77777777" w:rsidR="00906C27" w:rsidRDefault="00906C27" w:rsidP="00906C27">
      <w:r>
        <w:t>A whānau room should feature:</w:t>
      </w:r>
    </w:p>
    <w:p w14:paraId="4A90C471" w14:textId="4E89DFFC" w:rsidR="00906C27" w:rsidRDefault="00906C27" w:rsidP="00906C27">
      <w:pPr>
        <w:pStyle w:val="ListBullet"/>
      </w:pPr>
      <w:r>
        <w:t xml:space="preserve">storage for mattresses and linen </w:t>
      </w:r>
    </w:p>
    <w:p w14:paraId="2ECD0236" w14:textId="54090F23" w:rsidR="00906C27" w:rsidRDefault="00906C27" w:rsidP="00906C27">
      <w:pPr>
        <w:pStyle w:val="ListBullet"/>
      </w:pPr>
      <w:r>
        <w:t>access to nearby bathroom and kitchen facilities</w:t>
      </w:r>
    </w:p>
    <w:p w14:paraId="09DA9F52" w14:textId="7DB689C5" w:rsidR="00906C27" w:rsidRDefault="00906C27" w:rsidP="00906C27">
      <w:pPr>
        <w:pStyle w:val="ListBullet"/>
      </w:pPr>
      <w:r>
        <w:t>design and fittings that clearly indicate the special nature of the facility</w:t>
      </w:r>
    </w:p>
    <w:p w14:paraId="231ECE21" w14:textId="7797BBE6" w:rsidR="00906C27" w:rsidRDefault="00906C27" w:rsidP="00906C27">
      <w:pPr>
        <w:pStyle w:val="ListBullet"/>
      </w:pPr>
      <w:r>
        <w:t>access to information about health and family support services.</w:t>
      </w:r>
    </w:p>
    <w:p w14:paraId="766FF4E3" w14:textId="6BB3E895" w:rsidR="00381989" w:rsidRDefault="00906C27" w:rsidP="00906C27">
      <w:proofErr w:type="spellStart"/>
      <w:r>
        <w:t>Tūpāpaku</w:t>
      </w:r>
      <w:proofErr w:type="spellEnd"/>
      <w:r>
        <w:t xml:space="preserve"> should never be placed in the whānau room.</w:t>
      </w:r>
    </w:p>
    <w:p w14:paraId="3560E12F" w14:textId="569EAF76" w:rsidR="00EB5D07" w:rsidRDefault="00EB5D07" w:rsidP="00EB5D07">
      <w:pPr>
        <w:pStyle w:val="NumberedHeading2"/>
      </w:pPr>
      <w:bookmarkStart w:id="19" w:name="_Toc114065162"/>
      <w:r>
        <w:t>Seismic considerations in Aotearoa New Zealand</w:t>
      </w:r>
      <w:bookmarkEnd w:id="19"/>
    </w:p>
    <w:p w14:paraId="60ABA2A9" w14:textId="77777777" w:rsidR="00EB5D07" w:rsidRDefault="00EB5D07" w:rsidP="00EB5D07">
      <w:r>
        <w:t xml:space="preserve">The New Zealand Building Code specifies minimum seismic protection requirements for buildings. </w:t>
      </w:r>
    </w:p>
    <w:p w14:paraId="338C1E63" w14:textId="77777777" w:rsidR="00EB5D07" w:rsidRDefault="00EB5D07" w:rsidP="00EB5D07">
      <w:r>
        <w:t>The project briefing documents must clearly define the clinical functions of the facility so that the appropriate Importance Level (IL) can be determined.</w:t>
      </w:r>
    </w:p>
    <w:p w14:paraId="21769282" w14:textId="77777777" w:rsidR="00EB5D07" w:rsidRDefault="00EB5D07" w:rsidP="00EB5D07">
      <w:r>
        <w:t>An additional space allowance for NZ seismic structures should more properly be included in the SOA allowances for T&amp;E and/or Façade.</w:t>
      </w:r>
    </w:p>
    <w:p w14:paraId="5CDF5732" w14:textId="20BE27FF" w:rsidR="00EB5D07" w:rsidRDefault="00EB5D07" w:rsidP="00EB5D07">
      <w:pPr>
        <w:pStyle w:val="NumberedHeading2"/>
      </w:pPr>
      <w:bookmarkStart w:id="20" w:name="_Toc114065163"/>
      <w:r>
        <w:t>Climatic considerations in Aotearoa New Zealand</w:t>
      </w:r>
      <w:bookmarkEnd w:id="20"/>
    </w:p>
    <w:p w14:paraId="6FEE7BE2" w14:textId="543BF58B" w:rsidR="00EB5D07" w:rsidRDefault="00EB5D07" w:rsidP="00EB5D07">
      <w:r>
        <w:t>New Zealand design teams must consider the impact of local climatic conditions specific to the project, when following the AusHFG, this DGN and New Zealand Building Code requirements.</w:t>
      </w:r>
    </w:p>
    <w:p w14:paraId="7383624C" w14:textId="60B2FD08" w:rsidR="00691E20" w:rsidRDefault="00691E20" w:rsidP="00691E20">
      <w:pPr>
        <w:pStyle w:val="NumberedHeading2"/>
      </w:pPr>
      <w:bookmarkStart w:id="21" w:name="_Toc114065164"/>
      <w:r>
        <w:t>Design Assurance</w:t>
      </w:r>
      <w:bookmarkEnd w:id="21"/>
    </w:p>
    <w:p w14:paraId="125F0229" w14:textId="71C954CB" w:rsidR="00691E20" w:rsidRDefault="00691E20" w:rsidP="00691E20">
      <w:r>
        <w:t xml:space="preserve">Project teams should refer to the Design Assurance (DA) steps and provide the level of detail and content to satisfy those requirements. Please email </w:t>
      </w:r>
      <w:hyperlink r:id="rId22" w:history="1">
        <w:r w:rsidRPr="00FC069F">
          <w:rPr>
            <w:rStyle w:val="Hyperlink"/>
          </w:rPr>
          <w:t>facility.design@health.govt.nz</w:t>
        </w:r>
      </w:hyperlink>
      <w:r>
        <w:t xml:space="preserve"> for DA information.</w:t>
      </w:r>
    </w:p>
    <w:p w14:paraId="61E29ECE" w14:textId="4BDFDF48" w:rsidR="00691E20" w:rsidRDefault="00691E20" w:rsidP="00691E20">
      <w:pPr>
        <w:pStyle w:val="NumberedHeading2"/>
      </w:pPr>
      <w:bookmarkStart w:id="22" w:name="_Toc114065165"/>
      <w:r>
        <w:lastRenderedPageBreak/>
        <w:t>Area measurement</w:t>
      </w:r>
      <w:bookmarkEnd w:id="22"/>
      <w:r>
        <w:t xml:space="preserve"> </w:t>
      </w:r>
    </w:p>
    <w:p w14:paraId="4DF342B7" w14:textId="77777777" w:rsidR="00691E20" w:rsidRDefault="00691E20" w:rsidP="00691E20">
      <w:r>
        <w:t xml:space="preserve">Measurements are based on the AusHFG methodology for generating accurate and consistent designed figures for building areas. </w:t>
      </w:r>
    </w:p>
    <w:p w14:paraId="08534651" w14:textId="77777777" w:rsidR="00691E20" w:rsidRDefault="00691E20" w:rsidP="00691E20">
      <w:r>
        <w:t xml:space="preserve">All New Zealand health facility projects shall apply this methodology and reflect it in the schedule of accommodation for the designed figures. </w:t>
      </w:r>
    </w:p>
    <w:p w14:paraId="7DBD511D" w14:textId="77777777" w:rsidR="00691E20" w:rsidRDefault="00691E20" w:rsidP="00691E20">
      <w:r>
        <w:t xml:space="preserve">Minimum spatial and dimension requirements for clinical space should be clear of any restrictions caused by building structural or services elements. </w:t>
      </w:r>
    </w:p>
    <w:p w14:paraId="62DDAE82" w14:textId="77777777" w:rsidR="00691E20" w:rsidRDefault="00691E20" w:rsidP="00691E20">
      <w:r>
        <w:t>For more detailed information, refer to the AusHFG:</w:t>
      </w:r>
    </w:p>
    <w:p w14:paraId="1B47B628" w14:textId="53C6E083" w:rsidR="00EB5D07" w:rsidRDefault="00770EBC" w:rsidP="00691E20">
      <w:hyperlink r:id="rId23" w:history="1">
        <w:r w:rsidR="00691E20" w:rsidRPr="00FC069F">
          <w:rPr>
            <w:rStyle w:val="Hyperlink"/>
          </w:rPr>
          <w:t>https://healthfacilityguidelines.com.au/part/part-c-design-access-mobility-safety-and-security</w:t>
        </w:r>
      </w:hyperlink>
      <w:r w:rsidR="00691E20">
        <w:t xml:space="preserve"> </w:t>
      </w:r>
    </w:p>
    <w:p w14:paraId="6769A2AD" w14:textId="533CB090" w:rsidR="00493B26" w:rsidRDefault="006536C2" w:rsidP="00493B26">
      <w:pPr>
        <w:pStyle w:val="NumberedHeading2"/>
      </w:pPr>
      <w:bookmarkStart w:id="23" w:name="_Toc114065166"/>
      <w:r>
        <w:t>Te Whatu Ora</w:t>
      </w:r>
      <w:r w:rsidR="00493B26">
        <w:t xml:space="preserve"> environmentally sustainable design principles</w:t>
      </w:r>
      <w:bookmarkEnd w:id="23"/>
    </w:p>
    <w:p w14:paraId="5A92C6F9" w14:textId="518A4FAB" w:rsidR="00493B26" w:rsidRDefault="00493B26" w:rsidP="00493B26">
      <w:r>
        <w:t xml:space="preserve">New Zealand’s health facility design and performance must meet the responsibilities as set out under the framework of the </w:t>
      </w:r>
      <w:hyperlink r:id="rId24" w:history="1">
        <w:r w:rsidRPr="00BD0CA9">
          <w:rPr>
            <w:rStyle w:val="Hyperlink"/>
          </w:rPr>
          <w:t>Zero Carbon Act</w:t>
        </w:r>
      </w:hyperlink>
      <w:r>
        <w:t xml:space="preserve"> with the following policy and guidance: </w:t>
      </w:r>
    </w:p>
    <w:p w14:paraId="4BE82F86" w14:textId="4E934B18" w:rsidR="00493B26" w:rsidRDefault="00770EBC" w:rsidP="00493B26">
      <w:pPr>
        <w:pStyle w:val="ListBullet"/>
      </w:pPr>
      <w:hyperlink r:id="rId25" w:history="1">
        <w:r w:rsidR="00493B26" w:rsidRPr="00B535D5">
          <w:rPr>
            <w:rStyle w:val="Hyperlink"/>
          </w:rPr>
          <w:t>Carbon Neutral Government Programme (CNGP)</w:t>
        </w:r>
      </w:hyperlink>
    </w:p>
    <w:p w14:paraId="25740531" w14:textId="63DFE845" w:rsidR="00493B26" w:rsidRDefault="00770EBC" w:rsidP="00493B26">
      <w:pPr>
        <w:pStyle w:val="ListBullet"/>
      </w:pPr>
      <w:hyperlink r:id="rId26" w:history="1">
        <w:r w:rsidR="00493B26" w:rsidRPr="00BF5232">
          <w:rPr>
            <w:rStyle w:val="Hyperlink"/>
          </w:rPr>
          <w:t>MBIE’s Green Star mandate for new government owned or leased non-residential buildings</w:t>
        </w:r>
      </w:hyperlink>
    </w:p>
    <w:p w14:paraId="6EF7F6A6" w14:textId="3962FBDE" w:rsidR="00493B26" w:rsidRDefault="00770EBC" w:rsidP="00493B26">
      <w:pPr>
        <w:pStyle w:val="ListBullet"/>
      </w:pPr>
      <w:hyperlink r:id="rId27" w:history="1">
        <w:r w:rsidR="00493B26" w:rsidRPr="00A2360C">
          <w:rPr>
            <w:rStyle w:val="Hyperlink"/>
          </w:rPr>
          <w:t>Building for Climate Change programme</w:t>
        </w:r>
      </w:hyperlink>
      <w:r w:rsidR="00493B26">
        <w:t xml:space="preserve"> (NZ Building Code)</w:t>
      </w:r>
    </w:p>
    <w:p w14:paraId="39BE33F1" w14:textId="45177CD1" w:rsidR="00493B26" w:rsidRDefault="00770EBC" w:rsidP="00493B26">
      <w:pPr>
        <w:pStyle w:val="ListBullet"/>
      </w:pPr>
      <w:hyperlink r:id="rId28" w:history="1">
        <w:r w:rsidR="00493B26" w:rsidRPr="005C7D81">
          <w:rPr>
            <w:rStyle w:val="Hyperlink"/>
          </w:rPr>
          <w:t>Broader outcomes</w:t>
        </w:r>
      </w:hyperlink>
    </w:p>
    <w:p w14:paraId="1095081B" w14:textId="1E07AAAD" w:rsidR="00493B26" w:rsidRDefault="00770EBC" w:rsidP="00493B26">
      <w:pPr>
        <w:pStyle w:val="ListBullet"/>
      </w:pPr>
      <w:hyperlink r:id="rId29" w:history="1">
        <w:r w:rsidR="00493B26" w:rsidRPr="001C7BE7">
          <w:rPr>
            <w:rStyle w:val="Hyperlink"/>
          </w:rPr>
          <w:t>Living Standards Framework</w:t>
        </w:r>
      </w:hyperlink>
      <w:r w:rsidR="00493B26">
        <w:t xml:space="preserve"> </w:t>
      </w:r>
    </w:p>
    <w:p w14:paraId="0F9FE9AB" w14:textId="272B60D4" w:rsidR="00691E20" w:rsidRDefault="00493B26" w:rsidP="00493B26">
      <w:r>
        <w:t>Meeting these requirements will reduce climate heating impacts and contribute to healthy places, people, and environment.  Design and procurement teams should follow the steps detailed below to achieve the best outcomes for the proposed facility and campus design.</w:t>
      </w:r>
    </w:p>
    <w:p w14:paraId="2866DBD1" w14:textId="038C47D5" w:rsidR="00F43B02" w:rsidRDefault="00F43B02" w:rsidP="00F43B02">
      <w:pPr>
        <w:pStyle w:val="NumberedHeading3"/>
      </w:pPr>
      <w:bookmarkStart w:id="24" w:name="_Toc114065167"/>
      <w:r>
        <w:t>Planning</w:t>
      </w:r>
      <w:bookmarkEnd w:id="24"/>
    </w:p>
    <w:p w14:paraId="0D0BA590" w14:textId="0308290B" w:rsidR="00F43B02" w:rsidRDefault="00F43B02" w:rsidP="00F43B02">
      <w:pPr>
        <w:pStyle w:val="ListBullet"/>
      </w:pPr>
      <w:r>
        <w:t xml:space="preserve">Establish and describe the project sustainable drivers, green building tool (see 1.10.4 below), and draft targets for reduced impacts in the outcomes and goals in the business case. </w:t>
      </w:r>
    </w:p>
    <w:p w14:paraId="12DB477A" w14:textId="113DE25B" w:rsidR="00F43B02" w:rsidRDefault="00F43B02" w:rsidP="00F43B02">
      <w:pPr>
        <w:pStyle w:val="ListBullet"/>
      </w:pPr>
      <w:r>
        <w:t>Engage a dedicated sustainable champion for the project.</w:t>
      </w:r>
    </w:p>
    <w:p w14:paraId="0151D5B6" w14:textId="355CB8A1" w:rsidR="00F43B02" w:rsidRDefault="00F43B02" w:rsidP="00F43B02">
      <w:pPr>
        <w:pStyle w:val="ListBullet"/>
      </w:pPr>
      <w:r>
        <w:lastRenderedPageBreak/>
        <w:t>Plan and facilitate team workshops to consider design, buildability and operations at both Concept and Preliminary Design stages to optimise the facility’s design, delivery, performance, and cost.</w:t>
      </w:r>
    </w:p>
    <w:p w14:paraId="3B80580C" w14:textId="4123D33A" w:rsidR="00F43B02" w:rsidRDefault="00F43B02" w:rsidP="00F43B02">
      <w:pPr>
        <w:pStyle w:val="NumberedHeading3"/>
      </w:pPr>
      <w:bookmarkStart w:id="25" w:name="_Toc114065168"/>
      <w:r>
        <w:t>Healing and Resilience</w:t>
      </w:r>
      <w:bookmarkEnd w:id="25"/>
    </w:p>
    <w:p w14:paraId="45BE8F4A" w14:textId="62AA68CE" w:rsidR="00F43B02" w:rsidRDefault="00F43B02" w:rsidP="00F43B02">
      <w:pPr>
        <w:pStyle w:val="ListBullet"/>
      </w:pPr>
      <w:r>
        <w:t xml:space="preserve">Plan and facilitate workshops for Biophilic and Bi-Cultural Design strategies at the Concept Design Stage (use Te </w:t>
      </w:r>
      <w:proofErr w:type="spellStart"/>
      <w:r>
        <w:t>Aranga</w:t>
      </w:r>
      <w:proofErr w:type="spellEnd"/>
      <w:r>
        <w:t xml:space="preserve"> Design Principles). Integrate the principles and strategies into the project design by the end of the Preliminary Design.</w:t>
      </w:r>
    </w:p>
    <w:p w14:paraId="3A8BE166" w14:textId="56B85556" w:rsidR="00F43B02" w:rsidRDefault="00F43B02" w:rsidP="00F43B02">
      <w:pPr>
        <w:pStyle w:val="ListBullet"/>
      </w:pPr>
      <w:r>
        <w:t>Consider, review and document climate change risks to the future operation of the facility.</w:t>
      </w:r>
    </w:p>
    <w:p w14:paraId="2352E5E4" w14:textId="60072560" w:rsidR="00F43B02" w:rsidRDefault="00F43B02" w:rsidP="00F43B02">
      <w:pPr>
        <w:pStyle w:val="ListBullet"/>
      </w:pPr>
      <w:r>
        <w:t>Ensure the project mitigates or adapts to these identified risks.</w:t>
      </w:r>
    </w:p>
    <w:p w14:paraId="3E4A1B85" w14:textId="172FFADD" w:rsidR="00F43B02" w:rsidRDefault="00F43B02" w:rsidP="00F43B02">
      <w:pPr>
        <w:pStyle w:val="NumberedHeading3"/>
      </w:pPr>
      <w:bookmarkStart w:id="26" w:name="_Toc114065169"/>
      <w:r>
        <w:t>Carbon Emissions</w:t>
      </w:r>
      <w:bookmarkEnd w:id="26"/>
    </w:p>
    <w:p w14:paraId="3C0E7FEE" w14:textId="77777777" w:rsidR="00F43B02" w:rsidRDefault="00F43B02" w:rsidP="00F43B02">
      <w:r>
        <w:t>Modelling and strategies to reduce embodied and operational carbon emissions.</w:t>
      </w:r>
    </w:p>
    <w:p w14:paraId="134E934C" w14:textId="46620CB8" w:rsidR="00F43B02" w:rsidRDefault="00F43B02" w:rsidP="00F43B02">
      <w:pPr>
        <w:pStyle w:val="ListBullet"/>
      </w:pPr>
      <w:r>
        <w:t xml:space="preserve">Carry out verified Life Cycle Analysis (LCA) modelling to ISOs 14040 and 14044 Standards. </w:t>
      </w:r>
    </w:p>
    <w:p w14:paraId="4875892D" w14:textId="14B55C3B" w:rsidR="00F43B02" w:rsidRDefault="00F43B02" w:rsidP="00F43B02">
      <w:pPr>
        <w:pStyle w:val="ListBullet"/>
      </w:pPr>
      <w:r>
        <w:t>Ensure the design completes early energy modelling during Concept Design.</w:t>
      </w:r>
    </w:p>
    <w:p w14:paraId="601C5086" w14:textId="0912C813" w:rsidR="00F43B02" w:rsidRDefault="00F43B02" w:rsidP="00F43B02">
      <w:pPr>
        <w:pStyle w:val="ListBullet"/>
      </w:pPr>
      <w:r>
        <w:t xml:space="preserve">Avoid all fossil fuel use. Emergency backup generation options are an exception.  </w:t>
      </w:r>
    </w:p>
    <w:p w14:paraId="394A01F7" w14:textId="1BF8C871" w:rsidR="00F43B02" w:rsidRDefault="00F43B02" w:rsidP="00F43B02">
      <w:pPr>
        <w:pStyle w:val="ListBullet"/>
      </w:pPr>
      <w:r>
        <w:t>Plan to install appropriate metering and collect building performance data with monitoring and recording.</w:t>
      </w:r>
    </w:p>
    <w:p w14:paraId="673A400A" w14:textId="35414AF7" w:rsidR="00F43B02" w:rsidRDefault="00F43B02" w:rsidP="00F43B02">
      <w:pPr>
        <w:pStyle w:val="ListBullet"/>
      </w:pPr>
      <w:r>
        <w:t>Include an independent commissioning agent and ‘tune’ the building at six months after completion.</w:t>
      </w:r>
    </w:p>
    <w:p w14:paraId="40B79B45" w14:textId="1C383E1F" w:rsidR="00F43B02" w:rsidRDefault="00F43B02" w:rsidP="00F43B02">
      <w:pPr>
        <w:pStyle w:val="ListBullet"/>
      </w:pPr>
      <w:r>
        <w:t>Complete post-occupancy building surveys at twelve months.</w:t>
      </w:r>
    </w:p>
    <w:p w14:paraId="462E5E69" w14:textId="7DEFD564" w:rsidR="001C7BE7" w:rsidRDefault="00F43B02" w:rsidP="00AA7E6C">
      <w:pPr>
        <w:pStyle w:val="NumberedHeading3"/>
      </w:pPr>
      <w:bookmarkStart w:id="27" w:name="_Toc114065170"/>
      <w:r>
        <w:t xml:space="preserve">Green </w:t>
      </w:r>
      <w:r w:rsidRPr="00AA7E6C">
        <w:t>Building</w:t>
      </w:r>
      <w:r>
        <w:t xml:space="preserve"> Tools</w:t>
      </w:r>
      <w:bookmarkEnd w:id="27"/>
    </w:p>
    <w:p w14:paraId="65F28222" w14:textId="256D7DB7" w:rsidR="006536C2" w:rsidRDefault="006536C2" w:rsidP="006536C2">
      <w:pPr>
        <w:pStyle w:val="NumberedHeading4"/>
      </w:pPr>
      <w:r>
        <w:t>Mandate for Greenstar (Projects over $50M)</w:t>
      </w:r>
    </w:p>
    <w:p w14:paraId="23773B7A" w14:textId="7EBE3D3D" w:rsidR="006536C2" w:rsidRDefault="006536C2" w:rsidP="006536C2">
      <w:r>
        <w:t xml:space="preserve">Evaluate the implications and apply </w:t>
      </w:r>
      <w:r w:rsidRPr="006536C2">
        <w:t>NZ Green Building Council (NZGBC) 5 Green Star appropriate to the project type and CAPEX build cost:</w:t>
      </w:r>
    </w:p>
    <w:p w14:paraId="77B1CE0A" w14:textId="079B1F00" w:rsidR="006536C2" w:rsidRDefault="00737B20" w:rsidP="006536C2">
      <w:pPr>
        <w:pStyle w:val="ListBullet"/>
      </w:pPr>
      <w:r w:rsidRPr="00737B20">
        <w:t>NZGBC 5 Green Star Certification should be applied for all new health facility buildings.</w:t>
      </w:r>
    </w:p>
    <w:p w14:paraId="222529B1" w14:textId="720E2520" w:rsidR="00AA7E6C" w:rsidRDefault="00AA7E6C" w:rsidP="00AA7E6C">
      <w:pPr>
        <w:pStyle w:val="NumberedHeading4"/>
      </w:pPr>
      <w:r>
        <w:t>Alternative Green Building Tools (Projects under $50M)</w:t>
      </w:r>
    </w:p>
    <w:p w14:paraId="06BD3928" w14:textId="77777777" w:rsidR="00AA7E6C" w:rsidRDefault="00AA7E6C" w:rsidP="00AA7E6C">
      <w:r>
        <w:t>Evaluate the implications and apply green building tools to facilities appropriate to the project type and capex build cost:</w:t>
      </w:r>
    </w:p>
    <w:p w14:paraId="24465C72" w14:textId="77777777" w:rsidR="00AA7E6C" w:rsidRDefault="00AA7E6C" w:rsidP="00AA7E6C">
      <w:r>
        <w:t>$10-50M:</w:t>
      </w:r>
    </w:p>
    <w:p w14:paraId="3A553BA2" w14:textId="3D55BA9D" w:rsidR="00AA7E6C" w:rsidRDefault="00AA7E6C" w:rsidP="00AA7E6C">
      <w:pPr>
        <w:pStyle w:val="ListBullet"/>
      </w:pPr>
      <w:r>
        <w:lastRenderedPageBreak/>
        <w:t>ILFI’s CORE Certification for medium scale developments ($10-$50 million)</w:t>
      </w:r>
      <w:r w:rsidR="00C95E25">
        <w:rPr>
          <w:rStyle w:val="FootnoteReference"/>
        </w:rPr>
        <w:footnoteReference w:id="2"/>
      </w:r>
    </w:p>
    <w:p w14:paraId="72DD94DC" w14:textId="049C8753" w:rsidR="00AA7E6C" w:rsidRDefault="00AA7E6C" w:rsidP="00AA7E6C">
      <w:pPr>
        <w:pStyle w:val="ListBullet"/>
      </w:pPr>
      <w:r>
        <w:t>ILFI’s Zero Energy Certification for small or medium scale new facilities ($10-$50 million) should be considered.</w:t>
      </w:r>
    </w:p>
    <w:p w14:paraId="39A4A20D" w14:textId="77777777" w:rsidR="00AA7E6C" w:rsidRDefault="00AA7E6C" w:rsidP="00AA7E6C">
      <w:r>
        <w:t>Under $10M:</w:t>
      </w:r>
    </w:p>
    <w:p w14:paraId="74DA5AFB" w14:textId="04003C45" w:rsidR="00F43B02" w:rsidRDefault="00AA7E6C" w:rsidP="00AA7E6C">
      <w:pPr>
        <w:pStyle w:val="ListBullet"/>
      </w:pPr>
      <w:r>
        <w:t>As a minimum all projects under $10 million to undertake verified LCA and energy modelling and meet the following targets.</w:t>
      </w:r>
    </w:p>
    <w:p w14:paraId="10000D91" w14:textId="02E2D3C1" w:rsidR="00EE7DE8" w:rsidRDefault="00EE7DE8" w:rsidP="00EE7DE8">
      <w:pPr>
        <w:pStyle w:val="NumberedHeading3"/>
      </w:pPr>
      <w:bookmarkStart w:id="28" w:name="_Toc114065171"/>
      <w:r>
        <w:t>Recommended Targets</w:t>
      </w:r>
      <w:bookmarkEnd w:id="28"/>
    </w:p>
    <w:p w14:paraId="6D152593" w14:textId="77777777" w:rsidR="00EE7DE8" w:rsidRDefault="00EE7DE8" w:rsidP="00EE7DE8">
      <w:r>
        <w:t>Design to reduce carbon, energy, and water use.</w:t>
      </w:r>
    </w:p>
    <w:p w14:paraId="5F4F778E" w14:textId="77777777" w:rsidR="00EE7DE8" w:rsidRDefault="00EE7DE8" w:rsidP="00EE7DE8">
      <w:r>
        <w:t>Interim 2022-2024 targets, subject to building typology and establishing a baseline from existing building usage and other available data and models:</w:t>
      </w:r>
    </w:p>
    <w:p w14:paraId="06AA65DF" w14:textId="44919036" w:rsidR="00EE7DE8" w:rsidRDefault="00EE7DE8" w:rsidP="00EE7DE8">
      <w:pPr>
        <w:pStyle w:val="ListBullet"/>
      </w:pPr>
      <w:r>
        <w:t>All new hospital design projects must achieve a minimum of 5 Star NABERSNZ rating for electricity and water</w:t>
      </w:r>
      <w:r w:rsidR="00E02A8F">
        <w:rPr>
          <w:rStyle w:val="FootnoteReference"/>
        </w:rPr>
        <w:footnoteReference w:id="3"/>
      </w:r>
    </w:p>
    <w:p w14:paraId="5212C2F9" w14:textId="47F7D5C8" w:rsidR="00EE7DE8" w:rsidRDefault="00EE7DE8" w:rsidP="00EE7DE8">
      <w:pPr>
        <w:pStyle w:val="ListBullet"/>
      </w:pPr>
      <w:r>
        <w:t xml:space="preserve">Operational energy to be reduced by a minimum of 35 percent </w:t>
      </w:r>
    </w:p>
    <w:p w14:paraId="34CEB5AE" w14:textId="38BA2BEE" w:rsidR="00EE7DE8" w:rsidRDefault="00EE7DE8" w:rsidP="00EE7DE8">
      <w:pPr>
        <w:pStyle w:val="ListBullet"/>
      </w:pPr>
      <w:r>
        <w:t>Embodied carbon to be reduced by a minimum of 25 percent</w:t>
      </w:r>
    </w:p>
    <w:p w14:paraId="791CAB46" w14:textId="418883A5" w:rsidR="00EE7DE8" w:rsidRDefault="00EE7DE8" w:rsidP="00EE7DE8">
      <w:pPr>
        <w:pStyle w:val="ListBullet"/>
      </w:pPr>
      <w:r>
        <w:t>Potable water reduced by a minimum of 20 percent</w:t>
      </w:r>
    </w:p>
    <w:p w14:paraId="5BE39F2E" w14:textId="02D16BA1" w:rsidR="00EE7DE8" w:rsidRDefault="00EE7DE8" w:rsidP="00EE7DE8">
      <w:pPr>
        <w:pStyle w:val="ListBullet"/>
      </w:pPr>
      <w:r>
        <w:t>Uncontaminated construction and demolition waste diverted from landfill: 85 percent (Auckland); 70 percent (rest of Aotearoa)</w:t>
      </w:r>
    </w:p>
    <w:p w14:paraId="465E8034" w14:textId="16398071" w:rsidR="00EE7DE8" w:rsidRDefault="00EE7DE8" w:rsidP="00EE7DE8">
      <w:pPr>
        <w:pStyle w:val="ListBullet"/>
      </w:pPr>
      <w:r>
        <w:t>Targets to be reviewed and increased by 2024.</w:t>
      </w:r>
    </w:p>
    <w:p w14:paraId="32691239" w14:textId="49A0C791" w:rsidR="00EE7DE8" w:rsidRDefault="00EE7DE8" w:rsidP="00EE7DE8">
      <w:pPr>
        <w:pStyle w:val="NumberedHeading3"/>
      </w:pPr>
      <w:bookmarkStart w:id="29" w:name="_Toc114065172"/>
      <w:r>
        <w:t>Material Selection</w:t>
      </w:r>
      <w:bookmarkEnd w:id="29"/>
    </w:p>
    <w:p w14:paraId="03ECEB8E" w14:textId="091E3559" w:rsidR="00EE7DE8" w:rsidRDefault="00EE7DE8" w:rsidP="00EE7DE8">
      <w:pPr>
        <w:pStyle w:val="ListBullet"/>
      </w:pPr>
      <w:r>
        <w:t xml:space="preserve">Select products and materials that have lower embodied carbon and are locally sourced. </w:t>
      </w:r>
    </w:p>
    <w:p w14:paraId="331547B5" w14:textId="2E40E0A0" w:rsidR="00EE7DE8" w:rsidRDefault="00EE7DE8" w:rsidP="00EE7DE8">
      <w:pPr>
        <w:pStyle w:val="ListBullet"/>
      </w:pPr>
      <w:r>
        <w:t>Do not select materials containing toxic ‘Red List’ and harmful chemicals</w:t>
      </w:r>
      <w:r w:rsidR="0058032F">
        <w:rPr>
          <w:rStyle w:val="FootnoteReference"/>
        </w:rPr>
        <w:footnoteReference w:id="4"/>
      </w:r>
      <w:r>
        <w:t xml:space="preserve"> </w:t>
      </w:r>
    </w:p>
    <w:p w14:paraId="526CA92B" w14:textId="6F63852E" w:rsidR="00EE7DE8" w:rsidRDefault="00EE7DE8" w:rsidP="00EE7DE8">
      <w:pPr>
        <w:pStyle w:val="ListBullet"/>
      </w:pPr>
      <w:r>
        <w:t xml:space="preserve">Select refrigerant gases with the lowest global warming potential available. </w:t>
      </w:r>
    </w:p>
    <w:p w14:paraId="2DA2BC3A" w14:textId="0C967AC7" w:rsidR="00EE7DE8" w:rsidRDefault="00EE7DE8" w:rsidP="00EE7DE8">
      <w:pPr>
        <w:pStyle w:val="ListBullet"/>
      </w:pPr>
      <w:r>
        <w:t>Specify non-toxic building materials: 65% of architecture and engineering specification items to contain no ‘Red List’ chemicals.</w:t>
      </w:r>
    </w:p>
    <w:p w14:paraId="571BBC3C" w14:textId="405ACC04" w:rsidR="00EE7DE8" w:rsidRDefault="00EE7DE8" w:rsidP="00EE7DE8">
      <w:pPr>
        <w:pStyle w:val="NumberedHeading3"/>
      </w:pPr>
      <w:bookmarkStart w:id="30" w:name="_Toc114065173"/>
      <w:r>
        <w:t>Performance Reporting</w:t>
      </w:r>
      <w:bookmarkEnd w:id="30"/>
    </w:p>
    <w:p w14:paraId="5E11285B" w14:textId="19D79C10" w:rsidR="00EE7DE8" w:rsidRDefault="00EE7DE8" w:rsidP="00EE7DE8">
      <w:pPr>
        <w:pStyle w:val="ListBullet"/>
      </w:pPr>
      <w:r>
        <w:t>Report on implementation of the above steps, and the performance of the design against targets, in all design stage reports for the facility.</w:t>
      </w:r>
    </w:p>
    <w:p w14:paraId="53460DBD" w14:textId="0A48BB62" w:rsidR="00EE7DE8" w:rsidRDefault="00EE7DE8" w:rsidP="00EE7DE8">
      <w:pPr>
        <w:pStyle w:val="ListBullet"/>
      </w:pPr>
      <w:r>
        <w:lastRenderedPageBreak/>
        <w:t xml:space="preserve">Report back to the Infrastructure Team at HNZ on energy, water and operational carbon use at </w:t>
      </w:r>
      <w:proofErr w:type="gramStart"/>
      <w:r>
        <w:t>twelve and twenty-four months</w:t>
      </w:r>
      <w:proofErr w:type="gramEnd"/>
      <w:r>
        <w:t xml:space="preserve"> post-occupation.</w:t>
      </w:r>
    </w:p>
    <w:p w14:paraId="1814D0A0" w14:textId="546235FD" w:rsidR="00AA7E6C" w:rsidRDefault="00EE7DE8" w:rsidP="00EE7DE8">
      <w:pPr>
        <w:pStyle w:val="ListBullet"/>
      </w:pPr>
      <w:r>
        <w:t>Share a copy of the final verified LCA report, with HNZ on completion of the construction tendering stage.</w:t>
      </w:r>
    </w:p>
    <w:p w14:paraId="56BDFEFB" w14:textId="4A09BBFA" w:rsidR="00C95E25" w:rsidRDefault="00C95E25" w:rsidP="00C95E25">
      <w:pPr>
        <w:pStyle w:val="NumberedHeading2"/>
      </w:pPr>
      <w:bookmarkStart w:id="31" w:name="_Toc114065174"/>
      <w:r>
        <w:t>Resources and further reading</w:t>
      </w:r>
      <w:bookmarkEnd w:id="31"/>
    </w:p>
    <w:p w14:paraId="452BAF9A" w14:textId="66DC2463" w:rsidR="00B221ED" w:rsidRDefault="00B221ED" w:rsidP="00B221ED">
      <w:pPr>
        <w:pStyle w:val="ListBullet"/>
      </w:pPr>
      <w:r>
        <w:t xml:space="preserve">Auckland Council. Auckland Design Manual. 2021 (updated). Te </w:t>
      </w:r>
      <w:proofErr w:type="spellStart"/>
      <w:r>
        <w:t>Aranga</w:t>
      </w:r>
      <w:proofErr w:type="spellEnd"/>
      <w:r>
        <w:t xml:space="preserve"> Māori Design Principles. Website. Retrieved from: </w:t>
      </w:r>
      <w:hyperlink r:id="rId30" w:history="1">
        <w:r w:rsidRPr="00FC069F">
          <w:rPr>
            <w:rStyle w:val="Hyperlink"/>
          </w:rPr>
          <w:t>https://www.aucklanddesignmanual.co.nz/design-subjects/maori-design</w:t>
        </w:r>
      </w:hyperlink>
      <w:r>
        <w:t xml:space="preserve"> </w:t>
      </w:r>
    </w:p>
    <w:p w14:paraId="37FC8941" w14:textId="70B68A62" w:rsidR="00B221ED" w:rsidRDefault="00B221ED" w:rsidP="00B221ED">
      <w:pPr>
        <w:pStyle w:val="ListBullet"/>
      </w:pPr>
      <w:r>
        <w:t xml:space="preserve">Australian Health Design Council. 2021. Healthcare Facility Design Responses to COVID-19 – Some Useful Resources. Website. Retrieved from </w:t>
      </w:r>
      <w:hyperlink r:id="rId31" w:history="1">
        <w:r w:rsidRPr="00FC069F">
          <w:rPr>
            <w:rStyle w:val="Hyperlink"/>
          </w:rPr>
          <w:t>https://ahdcresearchblog.org/2021/02/26/healthcare-facility-design-responses-to-covid-19-some-useful-resources/</w:t>
        </w:r>
      </w:hyperlink>
      <w:r>
        <w:t xml:space="preserve"> </w:t>
      </w:r>
    </w:p>
    <w:p w14:paraId="6635CD55" w14:textId="218ACBD9" w:rsidR="00B221ED" w:rsidRDefault="00B221ED" w:rsidP="00B221ED">
      <w:pPr>
        <w:pStyle w:val="ListBullet"/>
      </w:pPr>
      <w:r>
        <w:t xml:space="preserve">A Guide to the Principles of the Treaty of Waitangi as expressed by the Courts and the Waitangi Tribunal (Te </w:t>
      </w:r>
      <w:proofErr w:type="spellStart"/>
      <w:r>
        <w:t>Puni</w:t>
      </w:r>
      <w:proofErr w:type="spellEnd"/>
      <w:r>
        <w:t xml:space="preserve"> </w:t>
      </w:r>
      <w:proofErr w:type="spellStart"/>
      <w:r>
        <w:t>Kōkiri</w:t>
      </w:r>
      <w:proofErr w:type="spellEnd"/>
      <w:r>
        <w:t xml:space="preserve">: Wellington, 2002) Retrieved from </w:t>
      </w:r>
      <w:r>
        <w:br/>
      </w:r>
      <w:hyperlink r:id="rId32" w:history="1">
        <w:proofErr w:type="spellStart"/>
        <w:r w:rsidRPr="00810393">
          <w:rPr>
            <w:rStyle w:val="Hyperlink"/>
          </w:rPr>
          <w:t>He</w:t>
        </w:r>
        <w:proofErr w:type="spellEnd"/>
        <w:r w:rsidRPr="00810393">
          <w:rPr>
            <w:rStyle w:val="Hyperlink"/>
          </w:rPr>
          <w:t xml:space="preserve"> </w:t>
        </w:r>
        <w:proofErr w:type="spellStart"/>
        <w:r w:rsidRPr="00810393">
          <w:rPr>
            <w:rStyle w:val="Hyperlink"/>
          </w:rPr>
          <w:t>Tirohanga</w:t>
        </w:r>
        <w:proofErr w:type="spellEnd"/>
        <w:r w:rsidRPr="00810393">
          <w:rPr>
            <w:rStyle w:val="Hyperlink"/>
          </w:rPr>
          <w:t xml:space="preserve"> o Kawa ki </w:t>
        </w:r>
        <w:proofErr w:type="spellStart"/>
        <w:r w:rsidRPr="00810393">
          <w:rPr>
            <w:rStyle w:val="Hyperlink"/>
          </w:rPr>
          <w:t>te</w:t>
        </w:r>
        <w:proofErr w:type="spellEnd"/>
        <w:r w:rsidRPr="00810393">
          <w:rPr>
            <w:rStyle w:val="Hyperlink"/>
          </w:rPr>
          <w:t xml:space="preserve"> </w:t>
        </w:r>
        <w:proofErr w:type="spellStart"/>
        <w:r w:rsidRPr="00810393">
          <w:rPr>
            <w:rStyle w:val="Hyperlink"/>
          </w:rPr>
          <w:t>Tiriti</w:t>
        </w:r>
        <w:proofErr w:type="spellEnd"/>
        <w:r w:rsidRPr="00810393">
          <w:rPr>
            <w:rStyle w:val="Hyperlink"/>
          </w:rPr>
          <w:t xml:space="preserve"> o Waitangi (waitangitribunal.govt.nz)</w:t>
        </w:r>
      </w:hyperlink>
    </w:p>
    <w:p w14:paraId="2FEF223C" w14:textId="08D54660" w:rsidR="00B221ED" w:rsidRDefault="00B221ED" w:rsidP="00810393">
      <w:pPr>
        <w:pStyle w:val="ListBullet"/>
      </w:pPr>
      <w:r>
        <w:t>Government of South Australia; Office for Design and Architecture, 2017</w:t>
      </w:r>
      <w:r w:rsidR="00810393">
        <w:br/>
      </w:r>
      <w:hyperlink r:id="rId33" w:history="1">
        <w:r w:rsidRPr="00A47485">
          <w:rPr>
            <w:rStyle w:val="Hyperlink"/>
          </w:rPr>
          <w:t>The Office for Design and Architecture SA (odasa.sa.gov.au)</w:t>
        </w:r>
      </w:hyperlink>
    </w:p>
    <w:p w14:paraId="3B4D5DBC" w14:textId="7868DBA2" w:rsidR="00B221ED" w:rsidRDefault="00B221ED" w:rsidP="00A47485">
      <w:pPr>
        <w:pStyle w:val="ListBullet"/>
      </w:pPr>
      <w:r>
        <w:t xml:space="preserve">Government of Western Australia; Western Australian Planning Commission, Design Review Guide, 2019. Retrieved from </w:t>
      </w:r>
      <w:r w:rsidR="00A47485">
        <w:br/>
      </w:r>
      <w:hyperlink r:id="rId34" w:history="1">
        <w:r w:rsidRPr="00CA6DE7">
          <w:rPr>
            <w:rStyle w:val="Hyperlink"/>
          </w:rPr>
          <w:t>SPP-Design-Review-Guide (dplh.wa.gov.au)</w:t>
        </w:r>
      </w:hyperlink>
    </w:p>
    <w:p w14:paraId="67E14CB5" w14:textId="77777777" w:rsidR="00150641" w:rsidRDefault="00B221ED" w:rsidP="00150641">
      <w:pPr>
        <w:pStyle w:val="ListBullet"/>
      </w:pPr>
      <w:r>
        <w:t xml:space="preserve">Health and Disability System Review 2020 Final Report </w:t>
      </w:r>
      <w:proofErr w:type="spellStart"/>
      <w:r>
        <w:t>Purongo</w:t>
      </w:r>
      <w:proofErr w:type="spellEnd"/>
      <w:r>
        <w:t xml:space="preserve"> </w:t>
      </w:r>
      <w:proofErr w:type="spellStart"/>
      <w:r>
        <w:t>Whakamutunga</w:t>
      </w:r>
      <w:proofErr w:type="spellEnd"/>
      <w:r>
        <w:t xml:space="preserve">. Retrieved from </w:t>
      </w:r>
      <w:hyperlink r:id="rId35" w:history="1">
        <w:r w:rsidRPr="00150641">
          <w:rPr>
            <w:rStyle w:val="Hyperlink"/>
          </w:rPr>
          <w:t>Health and Disability System Review: Final report – Executive overview</w:t>
        </w:r>
      </w:hyperlink>
    </w:p>
    <w:p w14:paraId="1B7250DA" w14:textId="7CE3551D" w:rsidR="00B221ED" w:rsidRDefault="00B221ED" w:rsidP="00150641">
      <w:pPr>
        <w:pStyle w:val="ListBullet"/>
      </w:pPr>
      <w:r>
        <w:t>Health Quality &amp; Safety Commission New Zealand</w:t>
      </w:r>
      <w:r w:rsidR="00150641">
        <w:br/>
      </w:r>
      <w:hyperlink r:id="rId36" w:history="1">
        <w:r w:rsidRPr="004654AB">
          <w:rPr>
            <w:rStyle w:val="Hyperlink"/>
          </w:rPr>
          <w:t xml:space="preserve">Our </w:t>
        </w:r>
        <w:proofErr w:type="gramStart"/>
        <w:r w:rsidRPr="004654AB">
          <w:rPr>
            <w:rStyle w:val="Hyperlink"/>
          </w:rPr>
          <w:t>work :</w:t>
        </w:r>
        <w:proofErr w:type="gramEnd"/>
        <w:r w:rsidRPr="004654AB">
          <w:rPr>
            <w:rStyle w:val="Hyperlink"/>
          </w:rPr>
          <w:t>: Health Quality &amp; Safety Commission (hqsc.govt.nz)</w:t>
        </w:r>
      </w:hyperlink>
    </w:p>
    <w:p w14:paraId="5CC4BBD9" w14:textId="3D626D60" w:rsidR="00B221ED" w:rsidRDefault="00B221ED" w:rsidP="004654AB">
      <w:pPr>
        <w:pStyle w:val="ListBullet"/>
      </w:pPr>
      <w:r>
        <w:t xml:space="preserve">He Korowai </w:t>
      </w:r>
      <w:proofErr w:type="spellStart"/>
      <w:r>
        <w:t>Oranga</w:t>
      </w:r>
      <w:proofErr w:type="spellEnd"/>
      <w:r>
        <w:t>: NZ Maori Health Strategy (2014) Retrieved from</w:t>
      </w:r>
      <w:r w:rsidR="004654AB">
        <w:br/>
      </w:r>
      <w:hyperlink r:id="rId37" w:history="1">
        <w:r w:rsidRPr="005B42B8">
          <w:rPr>
            <w:rStyle w:val="Hyperlink"/>
          </w:rPr>
          <w:t xml:space="preserve">The Guide to </w:t>
        </w:r>
        <w:proofErr w:type="spellStart"/>
        <w:r w:rsidRPr="005B42B8">
          <w:rPr>
            <w:rStyle w:val="Hyperlink"/>
          </w:rPr>
          <w:t>He</w:t>
        </w:r>
        <w:proofErr w:type="spellEnd"/>
        <w:r w:rsidRPr="005B42B8">
          <w:rPr>
            <w:rStyle w:val="Hyperlink"/>
          </w:rPr>
          <w:t xml:space="preserve"> Korowai </w:t>
        </w:r>
        <w:proofErr w:type="spellStart"/>
        <w:r w:rsidRPr="005B42B8">
          <w:rPr>
            <w:rStyle w:val="Hyperlink"/>
          </w:rPr>
          <w:t>Oranga</w:t>
        </w:r>
        <w:proofErr w:type="spellEnd"/>
        <w:r w:rsidRPr="005B42B8">
          <w:rPr>
            <w:rStyle w:val="Hyperlink"/>
          </w:rPr>
          <w:t>: Māori Health Strategy (tdhb.org.nz)</w:t>
        </w:r>
      </w:hyperlink>
    </w:p>
    <w:p w14:paraId="02675565" w14:textId="2FF1D0EE" w:rsidR="00B221ED" w:rsidRDefault="00B221ED" w:rsidP="00B221ED">
      <w:pPr>
        <w:pStyle w:val="ListBullet"/>
      </w:pPr>
      <w:r>
        <w:t xml:space="preserve">Higgins, </w:t>
      </w:r>
      <w:proofErr w:type="spellStart"/>
      <w:r>
        <w:t>Rawinia</w:t>
      </w:r>
      <w:proofErr w:type="spellEnd"/>
      <w:r>
        <w:t xml:space="preserve">, Moorfield, John. 2003. ‘Tangihanga – death customs.’ In Ki </w:t>
      </w:r>
      <w:proofErr w:type="spellStart"/>
      <w:r>
        <w:t>te</w:t>
      </w:r>
      <w:proofErr w:type="spellEnd"/>
      <w:r>
        <w:t xml:space="preserve"> </w:t>
      </w:r>
      <w:proofErr w:type="spellStart"/>
      <w:r>
        <w:t>whaiao</w:t>
      </w:r>
      <w:proofErr w:type="spellEnd"/>
      <w:r>
        <w:t xml:space="preserve">: an introduction to Māori culture and society. Edited by </w:t>
      </w:r>
      <w:proofErr w:type="spellStart"/>
      <w:r>
        <w:t>Tānia</w:t>
      </w:r>
      <w:proofErr w:type="spellEnd"/>
      <w:r>
        <w:t xml:space="preserve"> M. </w:t>
      </w:r>
      <w:proofErr w:type="spellStart"/>
      <w:r>
        <w:t>Ka'ai</w:t>
      </w:r>
      <w:proofErr w:type="spellEnd"/>
      <w:r>
        <w:t xml:space="preserve"> and others. Auckland: Pearson Longman, pp. 85–90.</w:t>
      </w:r>
    </w:p>
    <w:p w14:paraId="5143A3D6" w14:textId="429A8372" w:rsidR="00B221ED" w:rsidRDefault="00B221ED" w:rsidP="00B221ED">
      <w:pPr>
        <w:pStyle w:val="ListBullet"/>
      </w:pPr>
      <w:r>
        <w:t xml:space="preserve">Higgins, </w:t>
      </w:r>
      <w:proofErr w:type="spellStart"/>
      <w:r>
        <w:t>Rawinia</w:t>
      </w:r>
      <w:proofErr w:type="spellEnd"/>
      <w:r>
        <w:t xml:space="preserve">. 2011. 'Tangihanga – death customs'. Te Ara - the Encyclopaedia of New Zealand. Website. Retrieved from </w:t>
      </w:r>
      <w:hyperlink r:id="rId38" w:history="1">
        <w:r w:rsidR="005B42B8" w:rsidRPr="00FC069F">
          <w:rPr>
            <w:rStyle w:val="Hyperlink"/>
          </w:rPr>
          <w:t>http://www.TeAra.govt.nz/en/tangihanga-death-customs/print</w:t>
        </w:r>
      </w:hyperlink>
      <w:r w:rsidR="005B42B8">
        <w:t xml:space="preserve"> </w:t>
      </w:r>
    </w:p>
    <w:p w14:paraId="2AF11FAA" w14:textId="6D06CBE4" w:rsidR="00B221ED" w:rsidRDefault="00B221ED" w:rsidP="00B221ED">
      <w:pPr>
        <w:pStyle w:val="ListBullet"/>
      </w:pPr>
      <w:r>
        <w:t xml:space="preserve">Ministry for Business, Innovation and Employment. 2021. Buildings for everyone: Designing for access and usability. Wellington: Ministry for Business, Innovation and </w:t>
      </w:r>
      <w:r>
        <w:lastRenderedPageBreak/>
        <w:t xml:space="preserve">Employment. Retrieved from </w:t>
      </w:r>
      <w:hyperlink r:id="rId39" w:history="1">
        <w:r w:rsidR="005B42B8" w:rsidRPr="00FC069F">
          <w:rPr>
            <w:rStyle w:val="Hyperlink"/>
          </w:rPr>
          <w:t>https://www.building.govt.nz/building-code-compliance/d-access/accessible-buildings/</w:t>
        </w:r>
      </w:hyperlink>
      <w:r w:rsidR="005B42B8">
        <w:t xml:space="preserve"> </w:t>
      </w:r>
    </w:p>
    <w:p w14:paraId="7F587BD8" w14:textId="71482E7F" w:rsidR="00B221ED" w:rsidRDefault="00B221ED" w:rsidP="00B221ED">
      <w:pPr>
        <w:pStyle w:val="ListBullet"/>
      </w:pPr>
      <w:r>
        <w:t xml:space="preserve">Ministry of Health. 2016. New Zealand Health Strategy 2016. Wellington: Ministry of Health. Retrieved from </w:t>
      </w:r>
      <w:hyperlink r:id="rId40" w:history="1">
        <w:r w:rsidR="005B42B8" w:rsidRPr="00FC069F">
          <w:rPr>
            <w:rStyle w:val="Hyperlink"/>
          </w:rPr>
          <w:t>https://www.health.govt.nz/system/files/documents/publications/new-zealand-health-strategy-futuredirection-2016-apr16.pdf</w:t>
        </w:r>
      </w:hyperlink>
      <w:r w:rsidR="005B42B8">
        <w:t xml:space="preserve"> </w:t>
      </w:r>
    </w:p>
    <w:p w14:paraId="4A87151C" w14:textId="07304483" w:rsidR="00B221ED" w:rsidRDefault="00B221ED" w:rsidP="005B42B8">
      <w:pPr>
        <w:pStyle w:val="ListBullet"/>
      </w:pPr>
      <w:r>
        <w:t xml:space="preserve">Ministry of Health. 2020b. Ola </w:t>
      </w:r>
      <w:proofErr w:type="spellStart"/>
      <w:r>
        <w:t>Manuia</w:t>
      </w:r>
      <w:proofErr w:type="spellEnd"/>
      <w:r>
        <w:t>: Pacific Health and Wellbeing Action Plan 2020–2025. Wellington: Ministry of Health. Retrieved from</w:t>
      </w:r>
      <w:r w:rsidR="005B42B8">
        <w:br/>
      </w:r>
      <w:hyperlink r:id="rId41" w:history="1">
        <w:r w:rsidR="005B42B8" w:rsidRPr="00FC069F">
          <w:rPr>
            <w:rStyle w:val="Hyperlink"/>
          </w:rPr>
          <w:t>https://www.health.govt.nz/system/files/documents/publications/ola_manuia-phwap-22june.pdf</w:t>
        </w:r>
      </w:hyperlink>
      <w:r w:rsidR="005B42B8">
        <w:t xml:space="preserve"> </w:t>
      </w:r>
    </w:p>
    <w:p w14:paraId="63D8EF3B" w14:textId="2C050F10" w:rsidR="00B221ED" w:rsidRDefault="00B221ED" w:rsidP="005B42B8">
      <w:pPr>
        <w:pStyle w:val="ListBullet"/>
      </w:pPr>
      <w:r>
        <w:t>Ministry of Health. 2020c. The National Asset Management Programme for district health boards. Report 1: The current-state assessment. Wellington: Ministry of Health. Retrieved from</w:t>
      </w:r>
      <w:r w:rsidR="005B42B8">
        <w:br/>
      </w:r>
      <w:hyperlink r:id="rId42" w:history="1">
        <w:r w:rsidRPr="00153A14">
          <w:rPr>
            <w:rStyle w:val="Hyperlink"/>
          </w:rPr>
          <w:t>The National Asset Management Programme for district health boards: Report 1: The current-state assessment | Ministry of Health NZ</w:t>
        </w:r>
      </w:hyperlink>
    </w:p>
    <w:p w14:paraId="145E8B78" w14:textId="3172A9AA" w:rsidR="00B221ED" w:rsidRDefault="00B221ED" w:rsidP="00B221ED">
      <w:pPr>
        <w:pStyle w:val="ListBullet"/>
      </w:pPr>
      <w:r>
        <w:t xml:space="preserve">Ministry of Health. 2020d. </w:t>
      </w:r>
      <w:proofErr w:type="spellStart"/>
      <w:r>
        <w:t>Whakamaua</w:t>
      </w:r>
      <w:proofErr w:type="spellEnd"/>
      <w:r>
        <w:t xml:space="preserve">: Māori Health Action Plan 2020-2025. Wellington: Ministry of Health. Retrieved from </w:t>
      </w:r>
      <w:hyperlink r:id="rId43" w:history="1">
        <w:proofErr w:type="spellStart"/>
        <w:r w:rsidRPr="00057078">
          <w:rPr>
            <w:rStyle w:val="Hyperlink"/>
          </w:rPr>
          <w:t>Whakamaua</w:t>
        </w:r>
        <w:proofErr w:type="spellEnd"/>
        <w:r w:rsidRPr="00057078">
          <w:rPr>
            <w:rStyle w:val="Hyperlink"/>
          </w:rPr>
          <w:t>: Māori Health Action Plan 2020–2025</w:t>
        </w:r>
      </w:hyperlink>
    </w:p>
    <w:p w14:paraId="0A1936B1" w14:textId="55CF2D6A" w:rsidR="00B221ED" w:rsidRDefault="00B221ED" w:rsidP="00B221ED">
      <w:pPr>
        <w:pStyle w:val="ListBullet"/>
      </w:pPr>
      <w:r>
        <w:t xml:space="preserve">Standards New Zealand. 2004. Structural design actions: Earthquake actions. NZS 1170.5. Retrieved from </w:t>
      </w:r>
      <w:hyperlink r:id="rId44" w:history="1">
        <w:r w:rsidR="00057078" w:rsidRPr="00FC069F">
          <w:rPr>
            <w:rStyle w:val="Hyperlink"/>
          </w:rPr>
          <w:t>https://www.standards.govt.nz/shop/nzs-1170-52004/</w:t>
        </w:r>
      </w:hyperlink>
      <w:r w:rsidR="00057078">
        <w:t xml:space="preserve"> </w:t>
      </w:r>
    </w:p>
    <w:p w14:paraId="1DAC946F" w14:textId="171FA667" w:rsidR="00B221ED" w:rsidRDefault="00B221ED" w:rsidP="00057078">
      <w:pPr>
        <w:pStyle w:val="ListBullet"/>
      </w:pPr>
      <w:r>
        <w:t xml:space="preserve">Te </w:t>
      </w:r>
      <w:proofErr w:type="spellStart"/>
      <w:r>
        <w:t>Arawhiti</w:t>
      </w:r>
      <w:proofErr w:type="spellEnd"/>
      <w:r>
        <w:t xml:space="preserve">. 2021a. Guidelines for Engagement with Māori. Wellington: Te </w:t>
      </w:r>
      <w:proofErr w:type="spellStart"/>
      <w:r>
        <w:t>Arawhiti</w:t>
      </w:r>
      <w:proofErr w:type="spellEnd"/>
      <w:r>
        <w:t xml:space="preserve">: The Office for Māori Crown Relations. Retrieved from </w:t>
      </w:r>
      <w:r w:rsidR="00057078">
        <w:br/>
      </w:r>
      <w:hyperlink r:id="rId45" w:history="1">
        <w:r w:rsidRPr="009E5E33">
          <w:rPr>
            <w:rStyle w:val="Hyperlink"/>
          </w:rPr>
          <w:t>Guidelines-for-engagement-with-Maori.pdf (tearawhiti.govt.nz)</w:t>
        </w:r>
      </w:hyperlink>
    </w:p>
    <w:p w14:paraId="75ECE8D3" w14:textId="02A7B37C" w:rsidR="00B221ED" w:rsidRDefault="00B221ED" w:rsidP="00B221ED">
      <w:pPr>
        <w:pStyle w:val="ListBullet"/>
      </w:pPr>
      <w:r>
        <w:t xml:space="preserve">Te </w:t>
      </w:r>
      <w:proofErr w:type="spellStart"/>
      <w:r>
        <w:t>Arawhiti</w:t>
      </w:r>
      <w:proofErr w:type="spellEnd"/>
      <w:r>
        <w:t>. 2021b. Crown Engagement with Māori Engagement Strategy Template. Retrieved from</w:t>
      </w:r>
      <w:r>
        <w:br/>
      </w:r>
      <w:hyperlink r:id="rId46" w:history="1">
        <w:r w:rsidRPr="001C0A50">
          <w:rPr>
            <w:rStyle w:val="Hyperlink"/>
          </w:rPr>
          <w:t>Crown-engagement-with-Maori-Engagement-strategy-template.pdf (tearawhiti.govt.nz)</w:t>
        </w:r>
      </w:hyperlink>
    </w:p>
    <w:p w14:paraId="2F638562" w14:textId="39CCB5C3" w:rsidR="00B221ED" w:rsidRDefault="00B221ED" w:rsidP="00B221ED">
      <w:pPr>
        <w:pStyle w:val="ListBullet"/>
      </w:pPr>
      <w:r>
        <w:t xml:space="preserve">The Privacy Commissioner, NZ. Privacy and CCTV: A guide to the Privacy Act for businesses, agencies, and organisations. 2009. Retrieved from </w:t>
      </w:r>
      <w:r>
        <w:br/>
      </w:r>
      <w:hyperlink r:id="rId47" w:history="1">
        <w:r w:rsidRPr="00B172D8">
          <w:rPr>
            <w:rStyle w:val="Hyperlink"/>
          </w:rPr>
          <w:t>Privacy-and-CCTV-A-guide-October-2009.pdf</w:t>
        </w:r>
      </w:hyperlink>
    </w:p>
    <w:p w14:paraId="6F5F458C" w14:textId="22C21D3B" w:rsidR="00B221ED" w:rsidRDefault="00B221ED" w:rsidP="00B221ED">
      <w:pPr>
        <w:pStyle w:val="ListBullet"/>
      </w:pPr>
      <w:r>
        <w:t xml:space="preserve">The United Nations. 2006 Convention on the Rights of Persons with Disabilities. Treaty Series. New York: United Nations Headquarters. Retrieved from </w:t>
      </w:r>
      <w:hyperlink r:id="rId48" w:history="1">
        <w:r w:rsidR="0028215C" w:rsidRPr="00FC069F">
          <w:rPr>
            <w:rStyle w:val="Hyperlink"/>
          </w:rPr>
          <w:t>https://www.un.org/development/desa/disabilities/convention-on-the-rights-of-persons-with-disabilities.html</w:t>
        </w:r>
      </w:hyperlink>
      <w:r w:rsidR="0028215C">
        <w:t xml:space="preserve"> </w:t>
      </w:r>
    </w:p>
    <w:p w14:paraId="34FBED91" w14:textId="06C4D9D2" w:rsidR="00B221ED" w:rsidRDefault="00B221ED" w:rsidP="00B221ED">
      <w:pPr>
        <w:pStyle w:val="ListBullet"/>
      </w:pPr>
      <w:r>
        <w:t xml:space="preserve">Victorian Health and Human Services Building Authority (VHHSBA). 2018a. Health planning and development guidelines – Master planning. Melbourne: Victorian State Government. Retrieved from </w:t>
      </w:r>
      <w:hyperlink r:id="rId49" w:history="1">
        <w:r w:rsidR="0028215C" w:rsidRPr="00FC069F">
          <w:rPr>
            <w:rStyle w:val="Hyperlink"/>
          </w:rPr>
          <w:t>https://www.vhba.vic.gov.au/sites/default/files/2020-03/VHHSBA-Health-Planning-and-Development-Guidelines-Masterplanning-June-2018_0.pdf</w:t>
        </w:r>
      </w:hyperlink>
      <w:r w:rsidR="0028215C">
        <w:t xml:space="preserve"> </w:t>
      </w:r>
    </w:p>
    <w:p w14:paraId="3FD5A81F" w14:textId="326DF872" w:rsidR="00B221ED" w:rsidRDefault="00B221ED" w:rsidP="00B221ED">
      <w:pPr>
        <w:pStyle w:val="ListBullet"/>
      </w:pPr>
      <w:r>
        <w:lastRenderedPageBreak/>
        <w:t xml:space="preserve">Victorian Health and Human Services Building Authority (VHHSBA). 2020. Universal Design. Melbourne: Victorian State Government. Retrieved from </w:t>
      </w:r>
      <w:hyperlink r:id="rId50" w:history="1">
        <w:r w:rsidR="0028215C" w:rsidRPr="00FC069F">
          <w:rPr>
            <w:rStyle w:val="Hyperlink"/>
          </w:rPr>
          <w:t>https://www.vhba.vic.gov.au/resources/universal-design</w:t>
        </w:r>
      </w:hyperlink>
      <w:r w:rsidR="0028215C">
        <w:t xml:space="preserve"> </w:t>
      </w:r>
    </w:p>
    <w:p w14:paraId="727D39D0" w14:textId="04EA6CD6" w:rsidR="00C95E25" w:rsidRDefault="00B221ED" w:rsidP="00B221ED">
      <w:pPr>
        <w:pStyle w:val="ListBullet"/>
      </w:pPr>
      <w:r>
        <w:t xml:space="preserve">Wylie, Emma, Justin Kennedy-Good, and Vanessa Russell. 2020. Whānau room rejuvenation: Valuing whānau as an integral dimension of Hauora for patients at Auckland DHB. Beyond Academia Proceedings, Vol 3, pp. 220 – 223. Retrieved from: </w:t>
      </w:r>
      <w:hyperlink r:id="rId51" w:history="1">
        <w:r w:rsidR="0028215C" w:rsidRPr="00FC069F">
          <w:rPr>
            <w:rStyle w:val="Hyperlink"/>
          </w:rPr>
          <w:t>http://www.pdc2020.org/wp-content/uploads/2020/06/Wha%CC%84nau-room-rejuvenation-Valuing-wha%CC%84nau-as-an-integral-dimension-of-Hauora-for-patients-at-Auckland-DHB.pdf</w:t>
        </w:r>
      </w:hyperlink>
      <w:r w:rsidR="0028215C">
        <w:t xml:space="preserve"> </w:t>
      </w:r>
    </w:p>
    <w:p w14:paraId="305DF5C1" w14:textId="2996B2D1" w:rsidR="007518FB" w:rsidRDefault="007518FB">
      <w:pPr>
        <w:spacing w:before="0" w:after="160" w:line="259" w:lineRule="auto"/>
      </w:pPr>
    </w:p>
    <w:p w14:paraId="1556C1D6" w14:textId="3C56F447" w:rsidR="003E5087" w:rsidRDefault="003E5087">
      <w:pPr>
        <w:spacing w:before="0" w:after="160" w:line="259" w:lineRule="auto"/>
      </w:pPr>
    </w:p>
    <w:p w14:paraId="6EE610D8" w14:textId="77777777" w:rsidR="003E5087" w:rsidRDefault="003E5087">
      <w:pPr>
        <w:spacing w:before="0" w:after="160" w:line="259" w:lineRule="auto"/>
      </w:pPr>
    </w:p>
    <w:p w14:paraId="5DE7B2C2" w14:textId="3AF32422" w:rsidR="007518FB" w:rsidRDefault="007518FB" w:rsidP="007518FB">
      <w:pPr>
        <w:pStyle w:val="NumberedHeading1"/>
      </w:pPr>
      <w:bookmarkStart w:id="32" w:name="_Toc114065175"/>
      <w:r>
        <w:t>Supplementary Aotearoa New Zealand specific design guidance</w:t>
      </w:r>
      <w:bookmarkEnd w:id="32"/>
    </w:p>
    <w:p w14:paraId="1CBDF3C3" w14:textId="115677A4" w:rsidR="00D27DD5" w:rsidRDefault="00D27DD5" w:rsidP="00D27DD5">
      <w:r w:rsidRPr="00D27DD5">
        <w:t>The following design guidance supplements the individual AusHFG Health Planning Units (HPU).</w:t>
      </w:r>
    </w:p>
    <w:p w14:paraId="7FA3B2E0" w14:textId="7C231442" w:rsidR="008B735C" w:rsidRDefault="008B735C" w:rsidP="008B735C">
      <w:pPr>
        <w:pStyle w:val="NumberedHeading2"/>
      </w:pPr>
      <w:bookmarkStart w:id="33" w:name="_Toc114065176"/>
      <w:r>
        <w:t>Adult Acute Mental Health Inpatient Unit</w:t>
      </w:r>
      <w:bookmarkEnd w:id="33"/>
      <w:r>
        <w:t xml:space="preserve"> </w:t>
      </w:r>
    </w:p>
    <w:p w14:paraId="4612288C" w14:textId="5222EB4A" w:rsidR="008B735C" w:rsidRDefault="008B735C" w:rsidP="008B735C">
      <w:pPr>
        <w:pStyle w:val="NumberedHeading3"/>
      </w:pPr>
      <w:bookmarkStart w:id="34" w:name="_Toc114065177"/>
      <w:r>
        <w:t>Introduction</w:t>
      </w:r>
      <w:bookmarkEnd w:id="34"/>
    </w:p>
    <w:p w14:paraId="41AA4F5D" w14:textId="77777777" w:rsidR="008B735C" w:rsidRDefault="008B735C" w:rsidP="008B735C">
      <w:r>
        <w:t xml:space="preserve">Aotearoa’s approach to mental health and addiction is guided by the Government’s response to </w:t>
      </w:r>
      <w:proofErr w:type="spellStart"/>
      <w:r>
        <w:t>He</w:t>
      </w:r>
      <w:proofErr w:type="spellEnd"/>
      <w:r>
        <w:t xml:space="preserve"> Ara </w:t>
      </w:r>
      <w:proofErr w:type="spellStart"/>
      <w:r>
        <w:t>Oranga</w:t>
      </w:r>
      <w:proofErr w:type="spellEnd"/>
      <w:r>
        <w:t xml:space="preserve"> (2018): the report of the Government Inquiry into Mental Health and Addiction (Ministry of Health 2018). The Government’s response has been and continues to be a key driver for improving mental health support and services across the country. In line with He Ara </w:t>
      </w:r>
      <w:proofErr w:type="spellStart"/>
      <w:r>
        <w:t>Oranga</w:t>
      </w:r>
      <w:proofErr w:type="spellEnd"/>
      <w:r>
        <w:t>, project teams need to involve people with lived experience in providing advice on the look and feel of the facilities.</w:t>
      </w:r>
    </w:p>
    <w:p w14:paraId="3DB367B8" w14:textId="0A0F14C2" w:rsidR="008B735C" w:rsidRDefault="008B735C" w:rsidP="008B735C">
      <w:pPr>
        <w:pStyle w:val="NumberedHeading3"/>
      </w:pPr>
      <w:bookmarkStart w:id="35" w:name="_Toc114065178"/>
      <w:r>
        <w:lastRenderedPageBreak/>
        <w:t>Legislation</w:t>
      </w:r>
      <w:bookmarkEnd w:id="35"/>
    </w:p>
    <w:p w14:paraId="269EDBE1" w14:textId="77777777" w:rsidR="008B735C" w:rsidRDefault="008B735C" w:rsidP="008B735C">
      <w:r>
        <w:t>Relevant legislation that must be complied with includes:</w:t>
      </w:r>
    </w:p>
    <w:p w14:paraId="37661F01" w14:textId="019C6127" w:rsidR="008B735C" w:rsidRDefault="008B735C" w:rsidP="008B735C">
      <w:pPr>
        <w:pStyle w:val="ListBullet"/>
      </w:pPr>
      <w:r>
        <w:t>Mental Health (Compulsory Assessment and Treatment) Act 1992 and associated Regulations and Guidelines (see below)</w:t>
      </w:r>
    </w:p>
    <w:p w14:paraId="61B6B55F" w14:textId="600B4F76" w:rsidR="008B735C" w:rsidRDefault="008B735C" w:rsidP="008B735C">
      <w:pPr>
        <w:pStyle w:val="ListBullet"/>
      </w:pPr>
      <w:r>
        <w:t xml:space="preserve">Substance Addiction (Compulsory Assessment and Treatment) Act 2017 (SACAT). </w:t>
      </w:r>
    </w:p>
    <w:p w14:paraId="3958EA3C" w14:textId="747C94A4" w:rsidR="008B735C" w:rsidRDefault="008B735C" w:rsidP="008B735C">
      <w:r>
        <w:t>The associated Ministry of Health</w:t>
      </w:r>
      <w:r w:rsidR="005D4453">
        <w:rPr>
          <w:rStyle w:val="FootnoteReference"/>
        </w:rPr>
        <w:footnoteReference w:id="5"/>
      </w:r>
      <w:r>
        <w:t xml:space="preserve"> Guidelines are as follows:</w:t>
      </w:r>
    </w:p>
    <w:p w14:paraId="231EC8C7" w14:textId="6D16F78B" w:rsidR="008B735C" w:rsidRDefault="008B735C" w:rsidP="003D6425">
      <w:pPr>
        <w:pStyle w:val="ListBullet"/>
      </w:pPr>
      <w:r>
        <w:t>NZ Ministry of Health: Guidelines to the Mental Health (Compulsory Assessment and Treatment) Act 1992, 2020. These guidelines support the effective and lawful use of the Mental Health (Compulsory Assessment and Treatment) Act 1992.</w:t>
      </w:r>
    </w:p>
    <w:p w14:paraId="6F0950FC" w14:textId="600A7AAC" w:rsidR="008B735C" w:rsidRDefault="008B735C" w:rsidP="003D6425">
      <w:pPr>
        <w:pStyle w:val="ListBullet"/>
      </w:pPr>
      <w:r>
        <w:t>NZ Ministry of Health: Introductory Guideline to the Substance Addiction (Compulsory Assessment and Treatment) Act 2017. This guideline supports the effective and lawful use of the Substance Addiction (Compulsory Assessment and Treatment) Act 2017.</w:t>
      </w:r>
    </w:p>
    <w:p w14:paraId="5374B374" w14:textId="60D0AD6E" w:rsidR="008B735C" w:rsidRDefault="008B735C" w:rsidP="003D6425">
      <w:pPr>
        <w:pStyle w:val="ListBullet"/>
      </w:pPr>
      <w:r>
        <w:t>NZ Ministry of Health: Human Rights and the Mental Health (Compulsory Assessment and Treatment) Act 1992, 2020. This document provides guidance on how to think about and apply human rights, recovery approaches and supported decision-making when implementing the current Mental Health Act. It should be read with the Guidelines to the Mental Health (Compulsory Assessment and Treatment) Act 1992. ‘Chapter 6: Part 1: compulsory assessment and treatment (Ministry of Health 2020a).</w:t>
      </w:r>
    </w:p>
    <w:p w14:paraId="3D387DEF" w14:textId="6E2F3D2C" w:rsidR="00D27DD5" w:rsidRDefault="008B735C" w:rsidP="003D6425">
      <w:pPr>
        <w:pStyle w:val="ListBullet"/>
      </w:pPr>
      <w:r>
        <w:t>NZ Ministry of Health: Seclusion under the Mental Health (Compulsory Assessment and Treatment) Act 1992. These guidelines identify best practice methods for using seclusion in mental health acute inpatient units, in alignment with the specifications set out in the Health and Disability Services Standards. Section 71 of the Act covers the legal basis for the seclusion of patients.</w:t>
      </w:r>
    </w:p>
    <w:p w14:paraId="01DDDAA6" w14:textId="3DBE616B" w:rsidR="00DB24C6" w:rsidRDefault="00DB24C6" w:rsidP="00DB24C6">
      <w:pPr>
        <w:pStyle w:val="NumberedHeading3"/>
      </w:pPr>
      <w:bookmarkStart w:id="36" w:name="_Toc114065179"/>
      <w:r>
        <w:t>Guidance</w:t>
      </w:r>
      <w:bookmarkEnd w:id="36"/>
      <w:r>
        <w:t xml:space="preserve"> </w:t>
      </w:r>
    </w:p>
    <w:p w14:paraId="3719BA04" w14:textId="6F8076B8" w:rsidR="00DB24C6" w:rsidRDefault="00DB24C6" w:rsidP="00DB24C6">
      <w:pPr>
        <w:pStyle w:val="ListBullet"/>
      </w:pPr>
      <w:r>
        <w:t xml:space="preserve">AHIA: Australasian Health Facility Guidelines: </w:t>
      </w:r>
    </w:p>
    <w:p w14:paraId="71020FA2" w14:textId="6AC3F4AD" w:rsidR="00DB24C6" w:rsidRDefault="00DB24C6" w:rsidP="00DB24C6">
      <w:pPr>
        <w:pStyle w:val="ListBullet2"/>
      </w:pPr>
      <w:r>
        <w:t>B.0131 – Mental Health – Overarching Guideline</w:t>
      </w:r>
    </w:p>
    <w:p w14:paraId="771EA512" w14:textId="454F0BB8" w:rsidR="00DB24C6" w:rsidRDefault="00DB24C6" w:rsidP="00DB24C6">
      <w:pPr>
        <w:pStyle w:val="ListBullet2"/>
      </w:pPr>
      <w:r>
        <w:t>B.0134 – Adult Acute Mental Health Inpatient Unit</w:t>
      </w:r>
    </w:p>
    <w:p w14:paraId="6DAFA10B" w14:textId="7690CD46" w:rsidR="00DB24C6" w:rsidRDefault="00DB24C6" w:rsidP="00DB24C6">
      <w:pPr>
        <w:pStyle w:val="ListBullet2"/>
      </w:pPr>
      <w:r>
        <w:t>Parts B, C, D &amp; E AusHFG</w:t>
      </w:r>
    </w:p>
    <w:p w14:paraId="05C2066E" w14:textId="56A40675" w:rsidR="00DB24C6" w:rsidRDefault="00DB24C6" w:rsidP="00DB24C6">
      <w:pPr>
        <w:pStyle w:val="NumberedHeading3"/>
      </w:pPr>
      <w:bookmarkStart w:id="37" w:name="_Toc114065180"/>
      <w:r>
        <w:t>Aotearoa New Zealand design considerations</w:t>
      </w:r>
      <w:bookmarkEnd w:id="37"/>
    </w:p>
    <w:p w14:paraId="7F7D5EEF" w14:textId="74EB2A00" w:rsidR="00DB24C6" w:rsidRDefault="00DB24C6" w:rsidP="00DB24C6">
      <w:pPr>
        <w:pStyle w:val="ListBullet"/>
      </w:pPr>
      <w:r>
        <w:t>Cohort Management</w:t>
      </w:r>
    </w:p>
    <w:p w14:paraId="07AFE0C7" w14:textId="1AFE12E3" w:rsidR="00DB24C6" w:rsidRDefault="00DB24C6" w:rsidP="00DB24C6">
      <w:pPr>
        <w:pStyle w:val="ListBullet2"/>
      </w:pPr>
      <w:r>
        <w:lastRenderedPageBreak/>
        <w:t xml:space="preserve">The facility design needs to support flexibility for appropriate consumer placement and management of different consumer cohorts based on various factors such as admission status, age, gender, acuity, and diagnosis. </w:t>
      </w:r>
    </w:p>
    <w:p w14:paraId="014EDFC7" w14:textId="20106A15" w:rsidR="00DB24C6" w:rsidRDefault="00DB24C6" w:rsidP="00DB24C6">
      <w:pPr>
        <w:pStyle w:val="ListBullet2"/>
      </w:pPr>
      <w:r>
        <w:t>Bedrooms, pods (groups of bedrooms), and shared indoor and outdoor areas should be designed to allow for different arrangements and flows so that different sizes of cohorts can be separated at different times.</w:t>
      </w:r>
    </w:p>
    <w:p w14:paraId="49EB9296" w14:textId="2ECB82D7" w:rsidR="00DB24C6" w:rsidRDefault="00DB24C6" w:rsidP="00DB24C6">
      <w:pPr>
        <w:pStyle w:val="ListBullet"/>
      </w:pPr>
      <w:r>
        <w:t>Door-top sensors should be installed on all consumer-operated doors linked to the security or alarm monitoring system.</w:t>
      </w:r>
    </w:p>
    <w:p w14:paraId="6D634E4C" w14:textId="2263FC6C" w:rsidR="00DB24C6" w:rsidRDefault="00DB24C6" w:rsidP="00DB24C6">
      <w:pPr>
        <w:pStyle w:val="ListBullet"/>
      </w:pPr>
      <w:r>
        <w:t xml:space="preserve">Access to central plant and building services should be separated from clinical areas where possible. </w:t>
      </w:r>
    </w:p>
    <w:p w14:paraId="15BF9BB2" w14:textId="6F6D3E8D" w:rsidR="00DB24C6" w:rsidRDefault="00DB24C6" w:rsidP="00DB24C6">
      <w:pPr>
        <w:pStyle w:val="NumberedHeading3"/>
      </w:pPr>
      <w:bookmarkStart w:id="38" w:name="_Toc114065181"/>
      <w:r>
        <w:t>Kaupapa Māori considerations</w:t>
      </w:r>
      <w:bookmarkEnd w:id="38"/>
      <w:r>
        <w:t xml:space="preserve"> </w:t>
      </w:r>
    </w:p>
    <w:p w14:paraId="72C4A64C" w14:textId="07869DC6" w:rsidR="00DB24C6" w:rsidRDefault="00DB24C6" w:rsidP="00DB24C6">
      <w:pPr>
        <w:pStyle w:val="ListBullet"/>
      </w:pPr>
      <w:r>
        <w:t xml:space="preserve">Adult acute mental health inpatient units should provide </w:t>
      </w:r>
      <w:proofErr w:type="spellStart"/>
      <w:r>
        <w:t>whare</w:t>
      </w:r>
      <w:proofErr w:type="spellEnd"/>
      <w:r>
        <w:t xml:space="preserve"> </w:t>
      </w:r>
      <w:proofErr w:type="spellStart"/>
      <w:r>
        <w:t>whakatau</w:t>
      </w:r>
      <w:proofErr w:type="spellEnd"/>
      <w:r>
        <w:t xml:space="preserve"> spaces appropriate for the model of care in the unit. </w:t>
      </w:r>
    </w:p>
    <w:p w14:paraId="7D2C9902" w14:textId="34430C47" w:rsidR="00DB24C6" w:rsidRDefault="00DB24C6" w:rsidP="00DB24C6">
      <w:pPr>
        <w:pStyle w:val="ListBullet"/>
      </w:pPr>
      <w:r>
        <w:t xml:space="preserve">Adult acute mental health inpatient units should provide whānau room spaces appropriate for the model of care in the unit. </w:t>
      </w:r>
    </w:p>
    <w:p w14:paraId="32F6D50B" w14:textId="0D0C0C75" w:rsidR="00DB24C6" w:rsidRDefault="00DB24C6" w:rsidP="00DB24C6">
      <w:pPr>
        <w:pStyle w:val="ListBullet"/>
      </w:pPr>
      <w:r>
        <w:t xml:space="preserve">Care of </w:t>
      </w:r>
      <w:proofErr w:type="spellStart"/>
      <w:r>
        <w:t>tūpāpaku</w:t>
      </w:r>
      <w:proofErr w:type="spellEnd"/>
      <w:r>
        <w:t>.</w:t>
      </w:r>
    </w:p>
    <w:p w14:paraId="254AAB03" w14:textId="0D1D8E40" w:rsidR="003D6425" w:rsidRDefault="00DB24C6" w:rsidP="00DB24C6">
      <w:r>
        <w:t>Refer Section 1.5 for further detail.</w:t>
      </w:r>
    </w:p>
    <w:p w14:paraId="7ACB1DD7" w14:textId="50BE9647" w:rsidR="00D448B3" w:rsidRDefault="00D448B3" w:rsidP="00D448B3">
      <w:pPr>
        <w:pStyle w:val="NumberedHeading3"/>
      </w:pPr>
      <w:bookmarkStart w:id="39" w:name="_Toc114065182"/>
      <w:r>
        <w:t>Further reading for Adult Acute Mental Health Inpatient Unit DGN</w:t>
      </w:r>
      <w:bookmarkEnd w:id="39"/>
    </w:p>
    <w:p w14:paraId="2F2962EF" w14:textId="57790C75" w:rsidR="00D448B3" w:rsidRDefault="00D448B3" w:rsidP="00D448B3">
      <w:pPr>
        <w:pStyle w:val="ListBullet"/>
      </w:pPr>
      <w:r>
        <w:t xml:space="preserve">British Medical Journal: Design features that reduce the use of seclusion and restraint in mental health facilities: a rapid systematic review. </w:t>
      </w:r>
      <w:proofErr w:type="spellStart"/>
      <w:r>
        <w:t>Oostermeijer</w:t>
      </w:r>
      <w:proofErr w:type="spellEnd"/>
      <w:r>
        <w:t xml:space="preserve"> S, et al. BMJ Open, 2021</w:t>
      </w:r>
      <w:r w:rsidR="008A16F3">
        <w:br/>
      </w:r>
      <w:hyperlink r:id="rId52" w:history="1">
        <w:r w:rsidRPr="008A16F3">
          <w:rPr>
            <w:rStyle w:val="Hyperlink"/>
          </w:rPr>
          <w:t>Design features that reduce the use of seclusion and restraint in mental health facilities: a rapid systematic review | BMJ Open</w:t>
        </w:r>
      </w:hyperlink>
    </w:p>
    <w:p w14:paraId="65F6B5CD" w14:textId="1A63DC03" w:rsidR="00D448B3" w:rsidRDefault="00D448B3" w:rsidP="00D448B3">
      <w:pPr>
        <w:pStyle w:val="ListBullet"/>
      </w:pPr>
      <w:r>
        <w:t xml:space="preserve">He Ara </w:t>
      </w:r>
      <w:proofErr w:type="spellStart"/>
      <w:r>
        <w:t>Oranga</w:t>
      </w:r>
      <w:proofErr w:type="spellEnd"/>
      <w:r>
        <w:t>: Report of the Government Inquiry into Mental Health and Addiction (2018)</w:t>
      </w:r>
      <w:r w:rsidR="008A16F3">
        <w:br/>
      </w:r>
      <w:hyperlink r:id="rId53" w:history="1">
        <w:r w:rsidRPr="00F50C41">
          <w:rPr>
            <w:rStyle w:val="Hyperlink"/>
          </w:rPr>
          <w:t>He-Ara-Oranga.pdf (inquiry.govt.nz)</w:t>
        </w:r>
      </w:hyperlink>
    </w:p>
    <w:p w14:paraId="32382FD8" w14:textId="799A8D4A" w:rsidR="00D448B3" w:rsidRDefault="00D448B3" w:rsidP="00D448B3">
      <w:pPr>
        <w:pStyle w:val="ListBullet"/>
      </w:pPr>
      <w:r>
        <w:t xml:space="preserve">Kia </w:t>
      </w:r>
      <w:proofErr w:type="spellStart"/>
      <w:r>
        <w:t>Manawanui</w:t>
      </w:r>
      <w:proofErr w:type="spellEnd"/>
      <w:r>
        <w:t xml:space="preserve"> Aotearoa: Long-term pathway to mental wellbeing</w:t>
      </w:r>
      <w:r w:rsidR="00F50C41">
        <w:br/>
      </w:r>
      <w:hyperlink r:id="rId54" w:history="1">
        <w:r w:rsidRPr="00357BBE">
          <w:rPr>
            <w:rStyle w:val="Hyperlink"/>
          </w:rPr>
          <w:t xml:space="preserve">Kia </w:t>
        </w:r>
        <w:proofErr w:type="spellStart"/>
        <w:r w:rsidRPr="00357BBE">
          <w:rPr>
            <w:rStyle w:val="Hyperlink"/>
          </w:rPr>
          <w:t>Manawanui</w:t>
        </w:r>
        <w:proofErr w:type="spellEnd"/>
        <w:r w:rsidRPr="00357BBE">
          <w:rPr>
            <w:rStyle w:val="Hyperlink"/>
          </w:rPr>
          <w:t xml:space="preserve"> Aotearoa: Long-term pathway to mental wellbeing (health.govt.nz)</w:t>
        </w:r>
      </w:hyperlink>
    </w:p>
    <w:p w14:paraId="27DA2793" w14:textId="6EE632FC" w:rsidR="00D448B3" w:rsidRDefault="00D448B3" w:rsidP="00D448B3">
      <w:pPr>
        <w:pStyle w:val="ListBullet"/>
      </w:pPr>
      <w:r>
        <w:t>Mental Health and Wellbeing Commission: Wellbeing Outcomes Framework</w:t>
      </w:r>
      <w:r w:rsidR="00357BBE">
        <w:br/>
      </w:r>
      <w:hyperlink r:id="rId55" w:history="1">
        <w:r w:rsidR="00357BBE" w:rsidRPr="00FC069F">
          <w:rPr>
            <w:rStyle w:val="Hyperlink"/>
          </w:rPr>
          <w:t>https://www.mhwc.govt.nz/our-work/he-ara-oranga-wellbeing-outcomes-framework/</w:t>
        </w:r>
      </w:hyperlink>
      <w:r>
        <w:t xml:space="preserve"> </w:t>
      </w:r>
    </w:p>
    <w:p w14:paraId="14B769A8" w14:textId="1DD9FCC3" w:rsidR="00D448B3" w:rsidRDefault="00D448B3" w:rsidP="00D448B3">
      <w:pPr>
        <w:pStyle w:val="ListBullet"/>
      </w:pPr>
      <w:r>
        <w:t xml:space="preserve">NZ Standards: Health and Disability Services Standard (Restraint Minimisation and Safe Practice) Standards NZS 8134:2021 (Superseding NZS 8134.2.2008 and NZS </w:t>
      </w:r>
      <w:r>
        <w:lastRenderedPageBreak/>
        <w:t>8141:2001)</w:t>
      </w:r>
      <w:r w:rsidR="00357BBE">
        <w:br/>
      </w:r>
      <w:hyperlink r:id="rId56" w:history="1">
        <w:r w:rsidRPr="002D30F6">
          <w:rPr>
            <w:rStyle w:val="Hyperlink"/>
          </w:rPr>
          <w:t>NZS 8134:</w:t>
        </w:r>
        <w:proofErr w:type="gramStart"/>
        <w:r w:rsidRPr="002D30F6">
          <w:rPr>
            <w:rStyle w:val="Hyperlink"/>
          </w:rPr>
          <w:t>2021 :</w:t>
        </w:r>
        <w:proofErr w:type="gramEnd"/>
        <w:r w:rsidRPr="002D30F6">
          <w:rPr>
            <w:rStyle w:val="Hyperlink"/>
          </w:rPr>
          <w:t>: Standards New Zealand</w:t>
        </w:r>
      </w:hyperlink>
    </w:p>
    <w:p w14:paraId="1D7D7D50" w14:textId="496099B1" w:rsidR="00D448B3" w:rsidRDefault="00D448B3" w:rsidP="00D448B3">
      <w:pPr>
        <w:pStyle w:val="ListBullet"/>
      </w:pPr>
      <w:r>
        <w:t xml:space="preserve">Te </w:t>
      </w:r>
      <w:proofErr w:type="spellStart"/>
      <w:r>
        <w:t>Pou</w:t>
      </w:r>
      <w:proofErr w:type="spellEnd"/>
      <w:r>
        <w:t xml:space="preserve"> o </w:t>
      </w:r>
      <w:proofErr w:type="spellStart"/>
      <w:r>
        <w:t>te</w:t>
      </w:r>
      <w:proofErr w:type="spellEnd"/>
      <w:r>
        <w:t xml:space="preserve"> </w:t>
      </w:r>
      <w:proofErr w:type="spellStart"/>
      <w:r>
        <w:t>Whakaaro</w:t>
      </w:r>
      <w:proofErr w:type="spellEnd"/>
      <w:r>
        <w:t xml:space="preserve"> Nui: Reducing and Eliminating Seclusion in Mental Health Inpatient Services; An evidence </w:t>
      </w:r>
      <w:proofErr w:type="gramStart"/>
      <w:r>
        <w:t>review</w:t>
      </w:r>
      <w:proofErr w:type="gramEnd"/>
      <w:r>
        <w:t xml:space="preserve"> for the Health Quality &amp; Safety Commission in New Zealand. June 2018</w:t>
      </w:r>
      <w:r w:rsidR="002D30F6">
        <w:br/>
      </w:r>
      <w:hyperlink r:id="rId57" w:history="1">
        <w:r w:rsidRPr="003E5087">
          <w:rPr>
            <w:rStyle w:val="Hyperlink"/>
          </w:rPr>
          <w:t>Reducing-and-eliminating-seclusion-in-mental-health-inpatient-services-Jul-2018.pdf (hqsc.govt.nz)</w:t>
        </w:r>
      </w:hyperlink>
    </w:p>
    <w:p w14:paraId="4C111CD1" w14:textId="330218D4" w:rsidR="00D448B3" w:rsidRDefault="00D448B3" w:rsidP="00D448B3">
      <w:pPr>
        <w:pStyle w:val="ListBullet"/>
      </w:pPr>
      <w:r>
        <w:t>Thinking Outside the Box. A review of seclusion and restraint practices in New Zealand, Dr Sharon Shaley and New Zealand Human Rights Commission, 2017</w:t>
      </w:r>
      <w:r w:rsidR="003E5087">
        <w:br/>
      </w:r>
      <w:hyperlink r:id="rId58" w:history="1">
        <w:r w:rsidR="003E5087" w:rsidRPr="00FC069F">
          <w:rPr>
            <w:rStyle w:val="Hyperlink"/>
          </w:rPr>
          <w:t>https://www.solitaryconfinement.org/solitary-confinement-in-new-zealand</w:t>
        </w:r>
      </w:hyperlink>
      <w:r>
        <w:t xml:space="preserve"> </w:t>
      </w:r>
    </w:p>
    <w:p w14:paraId="727F4E76" w14:textId="7480463F" w:rsidR="003E5087" w:rsidRDefault="003E5087" w:rsidP="003E5087"/>
    <w:p w14:paraId="7813C5C3" w14:textId="0B21327F" w:rsidR="003E5087" w:rsidRDefault="003E5087" w:rsidP="003E5087"/>
    <w:p w14:paraId="139AE7B7" w14:textId="77777777" w:rsidR="003E5087" w:rsidRDefault="003E5087" w:rsidP="003E5087"/>
    <w:p w14:paraId="478B62C7" w14:textId="565BD1F2" w:rsidR="00D448B3" w:rsidRDefault="00D448B3" w:rsidP="00D448B3">
      <w:pPr>
        <w:pStyle w:val="NumberedHeading1"/>
      </w:pPr>
      <w:bookmarkStart w:id="40" w:name="_Toc114065183"/>
      <w:r>
        <w:t>Additional Design Guidance</w:t>
      </w:r>
      <w:bookmarkEnd w:id="40"/>
    </w:p>
    <w:p w14:paraId="41E6D736" w14:textId="495958DD" w:rsidR="005D4453" w:rsidRPr="00D27DD5" w:rsidRDefault="00D448B3" w:rsidP="00D448B3">
      <w:r>
        <w:t>This DGN will be updated when additional guidance is developed.</w:t>
      </w:r>
    </w:p>
    <w:sectPr w:rsidR="005D4453" w:rsidRPr="00D27DD5" w:rsidSect="00310545">
      <w:footerReference w:type="default" r:id="rId59"/>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4DBF" w14:textId="77777777" w:rsidR="00770EBC" w:rsidRDefault="00770EBC" w:rsidP="00817A32">
      <w:pPr>
        <w:spacing w:before="0" w:after="0" w:line="240" w:lineRule="auto"/>
      </w:pPr>
      <w:r>
        <w:separator/>
      </w:r>
    </w:p>
  </w:endnote>
  <w:endnote w:type="continuationSeparator" w:id="0">
    <w:p w14:paraId="2A668D47" w14:textId="77777777" w:rsidR="00770EBC" w:rsidRDefault="00770EBC" w:rsidP="00817A32">
      <w:pPr>
        <w:spacing w:before="0" w:after="0" w:line="240" w:lineRule="auto"/>
      </w:pPr>
      <w:r>
        <w:continuationSeparator/>
      </w:r>
    </w:p>
  </w:endnote>
  <w:endnote w:type="continuationNotice" w:id="1">
    <w:p w14:paraId="2080718E" w14:textId="77777777" w:rsidR="00770EBC" w:rsidRDefault="00770E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4A2C" w14:textId="5B612B94" w:rsidR="00820F82" w:rsidRPr="00820F82" w:rsidRDefault="006536C2" w:rsidP="00820F82">
    <w:pPr>
      <w:pBdr>
        <w:top w:val="single" w:sz="2" w:space="4" w:color="808080"/>
      </w:pBdr>
      <w:tabs>
        <w:tab w:val="right" w:pos="14570"/>
      </w:tabs>
      <w:spacing w:after="0" w:line="240" w:lineRule="auto"/>
      <w:rPr>
        <w:rFonts w:ascii="Arial" w:eastAsia="Calibri" w:hAnsi="Arial" w:cs="Arial"/>
        <w:noProof/>
        <w:szCs w:val="24"/>
      </w:rPr>
    </w:pPr>
    <w:r w:rsidRPr="006536C2">
      <w:rPr>
        <w:rFonts w:ascii="Arial" w:eastAsia="Calibri" w:hAnsi="Arial" w:cs="Arial"/>
        <w:noProof/>
        <w:szCs w:val="24"/>
      </w:rPr>
      <w:t>New Zealand Health Facility Design Guidance Note</w:t>
    </w:r>
    <w:r w:rsidR="00820F82" w:rsidRPr="00222274">
      <w:rPr>
        <w:rFonts w:ascii="Arial" w:eastAsia="Calibri" w:hAnsi="Arial" w:cs="Arial"/>
        <w:noProof/>
        <w:szCs w:val="24"/>
      </w:rPr>
      <w:tab/>
    </w:r>
    <w:r w:rsidR="00820F82" w:rsidRPr="00630DE1">
      <w:rPr>
        <w:rFonts w:ascii="Arial" w:eastAsia="Calibri" w:hAnsi="Arial" w:cs="Arial"/>
        <w:noProof/>
        <w:szCs w:val="24"/>
      </w:rPr>
      <w:fldChar w:fldCharType="begin"/>
    </w:r>
    <w:r w:rsidR="00820F82" w:rsidRPr="00630DE1">
      <w:rPr>
        <w:rFonts w:ascii="Arial" w:eastAsia="Calibri" w:hAnsi="Arial" w:cs="Arial"/>
        <w:noProof/>
        <w:szCs w:val="24"/>
      </w:rPr>
      <w:instrText xml:space="preserve"> PAGE   \* MERGEFORMAT </w:instrText>
    </w:r>
    <w:r w:rsidR="00820F82" w:rsidRPr="00630DE1">
      <w:rPr>
        <w:rFonts w:ascii="Arial" w:eastAsia="Calibri" w:hAnsi="Arial" w:cs="Arial"/>
        <w:noProof/>
        <w:szCs w:val="24"/>
      </w:rPr>
      <w:fldChar w:fldCharType="separate"/>
    </w:r>
    <w:r w:rsidR="00820F82">
      <w:rPr>
        <w:rFonts w:ascii="Arial" w:eastAsia="Calibri" w:hAnsi="Arial" w:cs="Arial"/>
        <w:noProof/>
        <w:szCs w:val="24"/>
      </w:rPr>
      <w:t>2</w:t>
    </w:r>
    <w:r w:rsidR="00820F82"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F0B2" w14:textId="77777777" w:rsidR="00770EBC" w:rsidRDefault="00770EBC" w:rsidP="00817A32">
      <w:pPr>
        <w:spacing w:before="0" w:after="0" w:line="240" w:lineRule="auto"/>
      </w:pPr>
    </w:p>
  </w:footnote>
  <w:footnote w:type="continuationSeparator" w:id="0">
    <w:p w14:paraId="6FF6B2A2" w14:textId="77777777" w:rsidR="00770EBC" w:rsidRDefault="00770EBC" w:rsidP="00817A32">
      <w:pPr>
        <w:spacing w:before="0" w:after="0" w:line="240" w:lineRule="auto"/>
      </w:pPr>
      <w:r>
        <w:continuationSeparator/>
      </w:r>
    </w:p>
  </w:footnote>
  <w:footnote w:type="continuationNotice" w:id="1">
    <w:p w14:paraId="56FAA685" w14:textId="77777777" w:rsidR="00770EBC" w:rsidRDefault="00770EBC">
      <w:pPr>
        <w:spacing w:before="0" w:after="0" w:line="240" w:lineRule="auto"/>
      </w:pPr>
    </w:p>
  </w:footnote>
  <w:footnote w:id="2">
    <w:p w14:paraId="1CE4F7AC" w14:textId="43E21C3D" w:rsidR="00C95E25" w:rsidRDefault="00C95E25">
      <w:pPr>
        <w:pStyle w:val="FootnoteText"/>
      </w:pPr>
      <w:r>
        <w:rPr>
          <w:rStyle w:val="FootnoteReference"/>
        </w:rPr>
        <w:footnoteRef/>
      </w:r>
      <w:r>
        <w:t xml:space="preserve"> </w:t>
      </w:r>
      <w:r w:rsidRPr="00C95E25">
        <w:t>Infrastructure are working with MBIE to review alternative tools</w:t>
      </w:r>
    </w:p>
  </w:footnote>
  <w:footnote w:id="3">
    <w:p w14:paraId="1F564009" w14:textId="33500319" w:rsidR="00E02A8F" w:rsidRDefault="00E02A8F">
      <w:pPr>
        <w:pStyle w:val="FootnoteText"/>
      </w:pPr>
      <w:r>
        <w:rPr>
          <w:rStyle w:val="FootnoteReference"/>
        </w:rPr>
        <w:footnoteRef/>
      </w:r>
      <w:r>
        <w:t xml:space="preserve"> </w:t>
      </w:r>
      <w:r w:rsidR="0058032F" w:rsidRPr="0058032F">
        <w:t>NABERSNZ for hospitals applied from July 2021</w:t>
      </w:r>
    </w:p>
  </w:footnote>
  <w:footnote w:id="4">
    <w:p w14:paraId="09F61D1E" w14:textId="2F37C470" w:rsidR="0058032F" w:rsidRDefault="0058032F">
      <w:pPr>
        <w:pStyle w:val="FootnoteText"/>
      </w:pPr>
      <w:r>
        <w:rPr>
          <w:rStyle w:val="FootnoteReference"/>
        </w:rPr>
        <w:footnoteRef/>
      </w:r>
      <w:r>
        <w:t xml:space="preserve"> </w:t>
      </w:r>
      <w:hyperlink r:id="rId1" w:history="1">
        <w:r w:rsidR="00374075" w:rsidRPr="00FC069F">
          <w:rPr>
            <w:rStyle w:val="Hyperlink"/>
          </w:rPr>
          <w:t>http://envirospec.nz/resources/lbc/</w:t>
        </w:r>
      </w:hyperlink>
      <w:r w:rsidR="00374075">
        <w:t xml:space="preserve"> </w:t>
      </w:r>
    </w:p>
  </w:footnote>
  <w:footnote w:id="5">
    <w:p w14:paraId="2EEFAC3E" w14:textId="642F7EBA" w:rsidR="005D4453" w:rsidRDefault="005D4453">
      <w:pPr>
        <w:pStyle w:val="FootnoteText"/>
      </w:pPr>
      <w:r>
        <w:rPr>
          <w:rStyle w:val="FootnoteReference"/>
        </w:rPr>
        <w:footnoteRef/>
      </w:r>
      <w:r>
        <w:t xml:space="preserve"> </w:t>
      </w:r>
      <w:r w:rsidRPr="005D4453">
        <w:t xml:space="preserve">The associated Guidelines can be found at the following link: </w:t>
      </w:r>
      <w:hyperlink r:id="rId2" w:history="1">
        <w:r w:rsidRPr="00FC069F">
          <w:rPr>
            <w:rStyle w:val="Hyperlink"/>
          </w:rPr>
          <w:t>https://www.health.govt.nz/our-work/mental-health-and-addiction/mental-health-legislation/mental-health-compulsory-assessment-and-treatment-act-1992/mental-health-act-guidelines-and-resources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1FA7"/>
    <w:multiLevelType w:val="hybridMultilevel"/>
    <w:tmpl w:val="317CC8BA"/>
    <w:lvl w:ilvl="0" w:tplc="C244343C">
      <w:start w:val="1"/>
      <w:numFmt w:val="bullet"/>
      <w:lvlText w:val=""/>
      <w:lvlJc w:val="left"/>
      <w:pPr>
        <w:ind w:left="785"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6" w15:restartNumberingAfterBreak="0">
    <w:nsid w:val="06AB0401"/>
    <w:multiLevelType w:val="hybridMultilevel"/>
    <w:tmpl w:val="37ECE290"/>
    <w:lvl w:ilvl="0" w:tplc="CDD4E1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22A95897"/>
    <w:multiLevelType w:val="multilevel"/>
    <w:tmpl w:val="1A2C8BE8"/>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pStyle w:val="Numbered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B22B9"/>
    <w:multiLevelType w:val="hybridMultilevel"/>
    <w:tmpl w:val="7538437A"/>
    <w:lvl w:ilvl="0" w:tplc="3EA80E9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B0625D0"/>
    <w:multiLevelType w:val="hybridMultilevel"/>
    <w:tmpl w:val="2B326F2E"/>
    <w:lvl w:ilvl="0" w:tplc="9224DB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83C3034"/>
    <w:multiLevelType w:val="hybridMultilevel"/>
    <w:tmpl w:val="3028FACE"/>
    <w:lvl w:ilvl="0" w:tplc="4FBC45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
  </w:num>
  <w:num w:numId="5">
    <w:abstractNumId w:val="3"/>
  </w:num>
  <w:num w:numId="6">
    <w:abstractNumId w:val="0"/>
  </w:num>
  <w:num w:numId="7">
    <w:abstractNumId w:val="7"/>
  </w:num>
  <w:num w:numId="8">
    <w:abstractNumId w:val="9"/>
  </w:num>
  <w:num w:numId="9">
    <w:abstractNumId w:val="6"/>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C7"/>
    <w:rsid w:val="00014BB0"/>
    <w:rsid w:val="000170AB"/>
    <w:rsid w:val="00017E8F"/>
    <w:rsid w:val="00031129"/>
    <w:rsid w:val="00057078"/>
    <w:rsid w:val="000730B5"/>
    <w:rsid w:val="00081822"/>
    <w:rsid w:val="000A5357"/>
    <w:rsid w:val="00104CCA"/>
    <w:rsid w:val="00150641"/>
    <w:rsid w:val="00153A14"/>
    <w:rsid w:val="00165845"/>
    <w:rsid w:val="00190551"/>
    <w:rsid w:val="001B1F98"/>
    <w:rsid w:val="001C0A50"/>
    <w:rsid w:val="001C37CA"/>
    <w:rsid w:val="001C7BE7"/>
    <w:rsid w:val="001D6965"/>
    <w:rsid w:val="00201D9B"/>
    <w:rsid w:val="00222274"/>
    <w:rsid w:val="00245522"/>
    <w:rsid w:val="0028215C"/>
    <w:rsid w:val="002D30F6"/>
    <w:rsid w:val="002F6B91"/>
    <w:rsid w:val="00310545"/>
    <w:rsid w:val="00357BBE"/>
    <w:rsid w:val="00374075"/>
    <w:rsid w:val="00381989"/>
    <w:rsid w:val="003D6425"/>
    <w:rsid w:val="003E5087"/>
    <w:rsid w:val="0043263A"/>
    <w:rsid w:val="00434D94"/>
    <w:rsid w:val="004654AB"/>
    <w:rsid w:val="004753F0"/>
    <w:rsid w:val="00493B26"/>
    <w:rsid w:val="004C2E5B"/>
    <w:rsid w:val="005048EF"/>
    <w:rsid w:val="005119A0"/>
    <w:rsid w:val="005368FA"/>
    <w:rsid w:val="005434C4"/>
    <w:rsid w:val="005561E4"/>
    <w:rsid w:val="0058032F"/>
    <w:rsid w:val="005938BD"/>
    <w:rsid w:val="005B42B8"/>
    <w:rsid w:val="005C32BC"/>
    <w:rsid w:val="005C3CEF"/>
    <w:rsid w:val="005C7D81"/>
    <w:rsid w:val="005D4453"/>
    <w:rsid w:val="005D4603"/>
    <w:rsid w:val="005E13FC"/>
    <w:rsid w:val="00603501"/>
    <w:rsid w:val="00630DE1"/>
    <w:rsid w:val="006536C2"/>
    <w:rsid w:val="00655D84"/>
    <w:rsid w:val="0067328B"/>
    <w:rsid w:val="00691E20"/>
    <w:rsid w:val="006A1F39"/>
    <w:rsid w:val="007045BD"/>
    <w:rsid w:val="00737B20"/>
    <w:rsid w:val="007518FB"/>
    <w:rsid w:val="00770EBC"/>
    <w:rsid w:val="007A2B86"/>
    <w:rsid w:val="007A5E21"/>
    <w:rsid w:val="00810393"/>
    <w:rsid w:val="00812AFF"/>
    <w:rsid w:val="008157A0"/>
    <w:rsid w:val="008157F4"/>
    <w:rsid w:val="00817A32"/>
    <w:rsid w:val="00820F82"/>
    <w:rsid w:val="00852A28"/>
    <w:rsid w:val="008647C7"/>
    <w:rsid w:val="00875539"/>
    <w:rsid w:val="0087795F"/>
    <w:rsid w:val="008A16F3"/>
    <w:rsid w:val="008A5138"/>
    <w:rsid w:val="008B735C"/>
    <w:rsid w:val="008C4546"/>
    <w:rsid w:val="008D15C3"/>
    <w:rsid w:val="008F394F"/>
    <w:rsid w:val="00906C27"/>
    <w:rsid w:val="0092286A"/>
    <w:rsid w:val="00942E16"/>
    <w:rsid w:val="00982AA5"/>
    <w:rsid w:val="009B505E"/>
    <w:rsid w:val="009E23F3"/>
    <w:rsid w:val="009E5E33"/>
    <w:rsid w:val="009F7104"/>
    <w:rsid w:val="00A2360C"/>
    <w:rsid w:val="00A47485"/>
    <w:rsid w:val="00A6094A"/>
    <w:rsid w:val="00AA7E6C"/>
    <w:rsid w:val="00AB4899"/>
    <w:rsid w:val="00AE6D48"/>
    <w:rsid w:val="00B100FB"/>
    <w:rsid w:val="00B172D8"/>
    <w:rsid w:val="00B221ED"/>
    <w:rsid w:val="00B46946"/>
    <w:rsid w:val="00B535D5"/>
    <w:rsid w:val="00B75F7F"/>
    <w:rsid w:val="00B9346F"/>
    <w:rsid w:val="00BA0D3A"/>
    <w:rsid w:val="00BC0E74"/>
    <w:rsid w:val="00BD0CA9"/>
    <w:rsid w:val="00BF5232"/>
    <w:rsid w:val="00C0313E"/>
    <w:rsid w:val="00C033FA"/>
    <w:rsid w:val="00C4087A"/>
    <w:rsid w:val="00C817C7"/>
    <w:rsid w:val="00C95E25"/>
    <w:rsid w:val="00CA6DE7"/>
    <w:rsid w:val="00CB0B62"/>
    <w:rsid w:val="00CB5236"/>
    <w:rsid w:val="00CD1ABC"/>
    <w:rsid w:val="00CF36A0"/>
    <w:rsid w:val="00CF63F9"/>
    <w:rsid w:val="00D0703D"/>
    <w:rsid w:val="00D27DD5"/>
    <w:rsid w:val="00D300F2"/>
    <w:rsid w:val="00D448B3"/>
    <w:rsid w:val="00DA3321"/>
    <w:rsid w:val="00DB24C6"/>
    <w:rsid w:val="00DC02AF"/>
    <w:rsid w:val="00DC2B1F"/>
    <w:rsid w:val="00DD3023"/>
    <w:rsid w:val="00DF6AAC"/>
    <w:rsid w:val="00E02A8F"/>
    <w:rsid w:val="00E24D64"/>
    <w:rsid w:val="00E25AB9"/>
    <w:rsid w:val="00E866BB"/>
    <w:rsid w:val="00EB5D07"/>
    <w:rsid w:val="00ED0E3D"/>
    <w:rsid w:val="00ED107F"/>
    <w:rsid w:val="00EE6438"/>
    <w:rsid w:val="00EE7DE8"/>
    <w:rsid w:val="00F43B02"/>
    <w:rsid w:val="00F50C41"/>
    <w:rsid w:val="00F6188B"/>
    <w:rsid w:val="00FD1D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943B7"/>
  <w15:chartTrackingRefBased/>
  <w15:docId w15:val="{14BEC7ED-A1F6-4F50-ADA5-E78A0B05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99"/>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982AA5"/>
    <w:pPr>
      <w:numPr>
        <w:ilvl w:val="1"/>
      </w:numPr>
      <w:spacing w:before="160" w:after="360"/>
    </w:pPr>
    <w:rPr>
      <w:rFonts w:eastAsiaTheme="minorEastAsia"/>
      <w:b/>
      <w:color w:val="007681" w:themeColor="accent2"/>
      <w:sz w:val="40"/>
    </w:rPr>
  </w:style>
  <w:style w:type="character" w:customStyle="1" w:styleId="SubtitleChar">
    <w:name w:val="Subtitle Char"/>
    <w:basedOn w:val="DefaultParagraphFont"/>
    <w:link w:val="Subtitle"/>
    <w:uiPriority w:val="99"/>
    <w:rsid w:val="00982AA5"/>
    <w:rPr>
      <w:rFonts w:eastAsiaTheme="minorEastAsia"/>
      <w:b/>
      <w:color w:val="007681" w:themeColor="accent2"/>
      <w:sz w:val="40"/>
    </w:rPr>
  </w:style>
  <w:style w:type="paragraph" w:styleId="Header">
    <w:name w:val="header"/>
    <w:basedOn w:val="Normal"/>
    <w:link w:val="HeaderChar"/>
    <w:uiPriority w:val="99"/>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982AA5"/>
    <w:pPr>
      <w:spacing w:before="840" w:after="0" w:line="240" w:lineRule="auto"/>
    </w:pPr>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AB4899"/>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AB4899"/>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AA7E6C"/>
    <w:pPr>
      <w:numPr>
        <w:ilvl w:val="2"/>
        <w:numId w:val="1"/>
      </w:numPr>
      <w:tabs>
        <w:tab w:val="left" w:pos="1134"/>
      </w:tabs>
      <w:ind w:left="1134" w:hanging="1134"/>
    </w:pPr>
  </w:style>
  <w:style w:type="paragraph" w:styleId="TOCHeading">
    <w:name w:val="TOC Heading"/>
    <w:next w:val="Normal"/>
    <w:uiPriority w:val="39"/>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0170AB"/>
    <w:pPr>
      <w:tabs>
        <w:tab w:val="right" w:pos="9628"/>
      </w:tabs>
      <w:spacing w:before="240" w:after="100"/>
    </w:pPr>
    <w:rPr>
      <w:b/>
    </w:rPr>
  </w:style>
  <w:style w:type="paragraph" w:styleId="TOC2">
    <w:name w:val="toc 2"/>
    <w:basedOn w:val="Normal"/>
    <w:next w:val="Normal"/>
    <w:autoRedefine/>
    <w:uiPriority w:val="39"/>
    <w:rsid w:val="00B100FB"/>
    <w:pPr>
      <w:spacing w:after="100"/>
      <w:ind w:left="340"/>
    </w:pPr>
  </w:style>
  <w:style w:type="paragraph" w:styleId="TOC3">
    <w:name w:val="toc 3"/>
    <w:basedOn w:val="Normal"/>
    <w:next w:val="Normal"/>
    <w:autoRedefine/>
    <w:uiPriority w:val="39"/>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semiHidden/>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Caption">
    <w:name w:val="caption"/>
    <w:basedOn w:val="Figure"/>
    <w:next w:val="Normal"/>
    <w:uiPriority w:val="35"/>
    <w:qFormat/>
    <w:rsid w:val="007045BD"/>
    <w:pPr>
      <w:keepNext/>
    </w:pPr>
  </w:style>
  <w:style w:type="paragraph" w:styleId="TableofFigures">
    <w:name w:val="table of figures"/>
    <w:basedOn w:val="Normal"/>
    <w:next w:val="Normal"/>
    <w:uiPriority w:val="99"/>
    <w:unhideWhenUsed/>
    <w:rsid w:val="007045BD"/>
    <w:pPr>
      <w:spacing w:after="0"/>
    </w:pPr>
  </w:style>
  <w:style w:type="paragraph" w:styleId="ListParagraph">
    <w:name w:val="List Paragraph"/>
    <w:aliases w:val="List 1,Other List,List Paragraph numbered,Bullets"/>
    <w:basedOn w:val="Normal"/>
    <w:link w:val="ListParagraphChar"/>
    <w:uiPriority w:val="34"/>
    <w:qFormat/>
    <w:rsid w:val="007045BD"/>
    <w:pPr>
      <w:ind w:left="720"/>
      <w:contextualSpacing/>
    </w:pPr>
  </w:style>
  <w:style w:type="paragraph" w:customStyle="1" w:styleId="FigureCaption">
    <w:name w:val="Figure Caption"/>
    <w:basedOn w:val="Normal"/>
    <w:next w:val="Normal"/>
    <w:qFormat/>
    <w:rsid w:val="00603501"/>
    <w:pPr>
      <w:spacing w:after="120"/>
    </w:pPr>
    <w:rPr>
      <w:sz w:val="18"/>
      <w:szCs w:val="18"/>
    </w:rPr>
  </w:style>
  <w:style w:type="paragraph" w:customStyle="1" w:styleId="NumberedHeading4">
    <w:name w:val="Numbered Heading 4"/>
    <w:basedOn w:val="Heading4"/>
    <w:uiPriority w:val="10"/>
    <w:qFormat/>
    <w:rsid w:val="00AA7E6C"/>
    <w:pPr>
      <w:numPr>
        <w:ilvl w:val="3"/>
        <w:numId w:val="1"/>
      </w:numPr>
      <w:ind w:left="1134" w:hanging="1134"/>
    </w:pPr>
  </w:style>
  <w:style w:type="character" w:styleId="FollowedHyperlink">
    <w:name w:val="FollowedHyperlink"/>
    <w:basedOn w:val="DefaultParagraphFont"/>
    <w:uiPriority w:val="99"/>
    <w:semiHidden/>
    <w:unhideWhenUsed/>
    <w:rsid w:val="005D4453"/>
    <w:rPr>
      <w:color w:val="00558C" w:themeColor="followedHyperlink"/>
      <w:u w:val="single"/>
    </w:rPr>
  </w:style>
  <w:style w:type="character" w:styleId="CommentReference">
    <w:name w:val="annotation reference"/>
    <w:basedOn w:val="DefaultParagraphFont"/>
    <w:uiPriority w:val="99"/>
    <w:semiHidden/>
    <w:unhideWhenUsed/>
    <w:rsid w:val="00875539"/>
    <w:rPr>
      <w:sz w:val="16"/>
      <w:szCs w:val="16"/>
    </w:rPr>
  </w:style>
  <w:style w:type="paragraph" w:styleId="CommentText">
    <w:name w:val="annotation text"/>
    <w:basedOn w:val="Normal"/>
    <w:link w:val="CommentTextChar"/>
    <w:uiPriority w:val="99"/>
    <w:semiHidden/>
    <w:unhideWhenUsed/>
    <w:rsid w:val="00875539"/>
    <w:pPr>
      <w:spacing w:line="240" w:lineRule="auto"/>
    </w:pPr>
    <w:rPr>
      <w:sz w:val="20"/>
      <w:szCs w:val="20"/>
    </w:rPr>
  </w:style>
  <w:style w:type="character" w:customStyle="1" w:styleId="CommentTextChar">
    <w:name w:val="Comment Text Char"/>
    <w:basedOn w:val="DefaultParagraphFont"/>
    <w:link w:val="CommentText"/>
    <w:uiPriority w:val="99"/>
    <w:semiHidden/>
    <w:rsid w:val="00875539"/>
    <w:rPr>
      <w:sz w:val="20"/>
      <w:szCs w:val="20"/>
    </w:rPr>
  </w:style>
  <w:style w:type="paragraph" w:styleId="CommentSubject">
    <w:name w:val="annotation subject"/>
    <w:basedOn w:val="CommentText"/>
    <w:next w:val="CommentText"/>
    <w:link w:val="CommentSubjectChar"/>
    <w:uiPriority w:val="99"/>
    <w:semiHidden/>
    <w:unhideWhenUsed/>
    <w:rsid w:val="00875539"/>
    <w:rPr>
      <w:b/>
      <w:bCs/>
    </w:rPr>
  </w:style>
  <w:style w:type="character" w:customStyle="1" w:styleId="CommentSubjectChar">
    <w:name w:val="Comment Subject Char"/>
    <w:basedOn w:val="CommentTextChar"/>
    <w:link w:val="CommentSubject"/>
    <w:uiPriority w:val="99"/>
    <w:semiHidden/>
    <w:rsid w:val="00875539"/>
    <w:rPr>
      <w:b/>
      <w:bCs/>
      <w:sz w:val="20"/>
      <w:szCs w:val="20"/>
    </w:rPr>
  </w:style>
  <w:style w:type="character" w:customStyle="1" w:styleId="ListParagraphChar">
    <w:name w:val="List Paragraph Char"/>
    <w:aliases w:val="List 1 Char,Other List Char,List Paragraph numbered Char,Bullets Char"/>
    <w:link w:val="ListParagraph"/>
    <w:uiPriority w:val="34"/>
    <w:locked/>
    <w:rsid w:val="00201D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ucklanddesignmanual.co.nz/design-subjects/maori-design/te_aranga_principles" TargetMode="External"/><Relationship Id="rId26" Type="http://schemas.openxmlformats.org/officeDocument/2006/relationships/hyperlink" Target="https://www.procurement.govt.nz/about-us/news/sustainable-building-standards-for-new-government-owned-non-residential-buildings/" TargetMode="External"/><Relationship Id="rId39" Type="http://schemas.openxmlformats.org/officeDocument/2006/relationships/hyperlink" Target="https://www.building.govt.nz/building-code-compliance/d-access/accessible-buildings/" TargetMode="External"/><Relationship Id="rId21" Type="http://schemas.openxmlformats.org/officeDocument/2006/relationships/hyperlink" Target="https://healthfacilityguidelines.com.au/content/arts-and-culture" TargetMode="External"/><Relationship Id="rId34" Type="http://schemas.openxmlformats.org/officeDocument/2006/relationships/hyperlink" Target="https://www.dplh.wa.gov.au/getmedia/7a2d40d7-3a75-481d-9c2a-c22571068789/SPP-Design-Review-Guide" TargetMode="External"/><Relationship Id="rId42" Type="http://schemas.openxmlformats.org/officeDocument/2006/relationships/hyperlink" Target="https://www.health.govt.nz/publication/national-asset-management-programme-district-health-boards-report-1-current-state-assessment" TargetMode="External"/><Relationship Id="rId47" Type="http://schemas.openxmlformats.org/officeDocument/2006/relationships/hyperlink" Target="https://www.privacy.org.nz/assets/New-order/Resources-/Publications/Guidance-resources/Privacy-and-CCTV-A-guide-October-2009.pdf" TargetMode="External"/><Relationship Id="rId50" Type="http://schemas.openxmlformats.org/officeDocument/2006/relationships/hyperlink" Target="https://www.vhba.vic.gov.au/resources/universal-design" TargetMode="External"/><Relationship Id="rId55" Type="http://schemas.openxmlformats.org/officeDocument/2006/relationships/hyperlink" Target="https://www.mhwc.govt.nz/our-work/he-ara-oranga-wellbeing-outcomes-framewor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facility.design@health.govt.nz" TargetMode="External"/><Relationship Id="rId20" Type="http://schemas.openxmlformats.org/officeDocument/2006/relationships/hyperlink" Target="https://www.vhba.vic.gov.au/universal-design-policy" TargetMode="External"/><Relationship Id="rId29" Type="http://schemas.openxmlformats.org/officeDocument/2006/relationships/hyperlink" Target="https://www.treasury.govt.nz/information-and-services/nz-economy/higher-living-standards/our-living-standards-framework" TargetMode="External"/><Relationship Id="rId41" Type="http://schemas.openxmlformats.org/officeDocument/2006/relationships/hyperlink" Target="https://www.health.govt.nz/system/files/documents/publications/ola_manuia-phwap-22june.pdf" TargetMode="External"/><Relationship Id="rId54" Type="http://schemas.openxmlformats.org/officeDocument/2006/relationships/hyperlink" Target="https://www.health.govt.nz/system/files/documents/publications/long-term_pathway_to_mental_wellbe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vironment.govt.nz/acts-and-regulations/acts/climate-change-response-amendment-act-2019/" TargetMode="External"/><Relationship Id="rId32" Type="http://schemas.openxmlformats.org/officeDocument/2006/relationships/hyperlink" Target="https://waitangitribunal.govt.nz/assets/Documents/Publications/WT-Principles-of-the-Treaty-of-Waitangi-as-expressed-by-the-Courts-and-the-Waitangi-Tribunal.pdf" TargetMode="External"/><Relationship Id="rId37" Type="http://schemas.openxmlformats.org/officeDocument/2006/relationships/hyperlink" Target="https://www.tdhb.org.nz/services/maori_health/documents/he-korowai-oranga-refresh-guide.pdf" TargetMode="External"/><Relationship Id="rId40" Type="http://schemas.openxmlformats.org/officeDocument/2006/relationships/hyperlink" Target="https://www.health.govt.nz/system/files/documents/publications/new-zealand-health-strategy-futuredirection-2016-apr16.pdf" TargetMode="External"/><Relationship Id="rId45" Type="http://schemas.openxmlformats.org/officeDocument/2006/relationships/hyperlink" Target="https://www.tearawhiti.govt.nz/assets/Tools-and-Resources/Guidelines-for-engagement-with-Maori.pdf" TargetMode="External"/><Relationship Id="rId53" Type="http://schemas.openxmlformats.org/officeDocument/2006/relationships/hyperlink" Target="https://mentalhealth.inquiry.govt.nz/assets/Summary-reports/He-Ara-Oranga.pdf" TargetMode="External"/><Relationship Id="rId58" Type="http://schemas.openxmlformats.org/officeDocument/2006/relationships/hyperlink" Target="https://www.solitaryconfinement.org/solitary-confinement-in-new-zealand"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healthfacilityguidelines.com.au/part/part-c-design-access-mobility-safety-and-security" TargetMode="External"/><Relationship Id="rId28" Type="http://schemas.openxmlformats.org/officeDocument/2006/relationships/hyperlink" Target="https://www.procurement.govt.nz/broader-outcomes/" TargetMode="External"/><Relationship Id="rId36" Type="http://schemas.openxmlformats.org/officeDocument/2006/relationships/hyperlink" Target="https://www.hqsc.govt.nz/our-work/" TargetMode="External"/><Relationship Id="rId49" Type="http://schemas.openxmlformats.org/officeDocument/2006/relationships/hyperlink" Target="https://www.vhba.vic.gov.au/sites/default/files/2020-03/VHHSBA-Health-Planning-and-Development-Guidelines-Masterplanning-June-2018_0.pdf" TargetMode="External"/><Relationship Id="rId57" Type="http://schemas.openxmlformats.org/officeDocument/2006/relationships/hyperlink" Target="https://www.hqsc.govt.nz/assets/Uploads/Reducing-and-eliminating-seclusion-in-mental-health-inpatient-services-Jul-2018.pdf"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vironment.govt.nz/what-government-is-doing/key-initiatives/carbon-neutral-government-programme/about-carbon-neutral-government-programme/" TargetMode="External"/><Relationship Id="rId31" Type="http://schemas.openxmlformats.org/officeDocument/2006/relationships/hyperlink" Target="https://ahdcresearchblog.org/2021/02/26/healthcare-facility-design-responses-to-covid-19-some-useful-resources/" TargetMode="External"/><Relationship Id="rId44" Type="http://schemas.openxmlformats.org/officeDocument/2006/relationships/hyperlink" Target="https://www.standards.govt.nz/shop/nzs-1170-52004/" TargetMode="External"/><Relationship Id="rId52" Type="http://schemas.openxmlformats.org/officeDocument/2006/relationships/hyperlink" Target="https://bmjopen.bmj.com/content/11/7/e046647"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whatuora.govt.nz/" TargetMode="External"/><Relationship Id="rId22" Type="http://schemas.openxmlformats.org/officeDocument/2006/relationships/hyperlink" Target="mailto:facility.design@health.govt.nz" TargetMode="External"/><Relationship Id="rId27" Type="http://schemas.openxmlformats.org/officeDocument/2006/relationships/hyperlink" Target="https://www.mbie.govt.nz/building-and-energy/building/building-for-climate-change/" TargetMode="External"/><Relationship Id="rId30" Type="http://schemas.openxmlformats.org/officeDocument/2006/relationships/hyperlink" Target="https://www.aucklanddesignmanual.co.nz/design-subjects/maori-design" TargetMode="External"/><Relationship Id="rId35" Type="http://schemas.openxmlformats.org/officeDocument/2006/relationships/hyperlink" Target="https://systemreview.health.govt.nz/assets/Uploads/hdsr/health-disability-system-review-final-report-executive-overview.pdf" TargetMode="External"/><Relationship Id="rId43" Type="http://schemas.openxmlformats.org/officeDocument/2006/relationships/hyperlink" Target="https://www.health.govt.nz/system/files/documents/publications/whakamaua-maori-health-action-plan-2020-2025-2.pdf" TargetMode="External"/><Relationship Id="rId48" Type="http://schemas.openxmlformats.org/officeDocument/2006/relationships/hyperlink" Target="https://www.un.org/development/desa/disabilities/convention-on-the-rights-of-persons-with-disabilities.html" TargetMode="External"/><Relationship Id="rId56" Type="http://schemas.openxmlformats.org/officeDocument/2006/relationships/hyperlink" Target="https://www.standards.govt.nz/shop/nzs-81342021/" TargetMode="External"/><Relationship Id="rId8" Type="http://schemas.openxmlformats.org/officeDocument/2006/relationships/webSettings" Target="webSettings.xml"/><Relationship Id="rId51" Type="http://schemas.openxmlformats.org/officeDocument/2006/relationships/hyperlink" Target="http://www.pdc2020.org/wp-content/uploads/2020/06/Wha%CC%84nau-room-rejuvenation-Valuing-wha%CC%84nau-as-an-integral-dimension-of-Hauora-for-patients-at-Auckland-DHB.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healthfacilityguidelines.com.au/" TargetMode="External"/><Relationship Id="rId25" Type="http://schemas.openxmlformats.org/officeDocument/2006/relationships/hyperlink" Target="https://environment.govt.nz/what-government-is-doing/key-initiatives/carbon-neutral-government-programme/about-carbon-neutral-government-programme/" TargetMode="External"/><Relationship Id="rId33" Type="http://schemas.openxmlformats.org/officeDocument/2006/relationships/hyperlink" Target="https://www.odasa.sa.gov.au/" TargetMode="External"/><Relationship Id="rId38" Type="http://schemas.openxmlformats.org/officeDocument/2006/relationships/hyperlink" Target="http://www.TeAra.govt.nz/en/tangihanga-death-customs/print" TargetMode="External"/><Relationship Id="rId46" Type="http://schemas.openxmlformats.org/officeDocument/2006/relationships/hyperlink" Target="https://www.tearawhiti.govt.nz/assets/Tools-and-Resources/Crown-engagement-with-Maori-Engagement-strategy-template.pdf"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t.nz/our-work/mental-health-and-addiction/mental-health-legislation/mental-health-compulsory-assessment-and-treatment-act-1992/mental-health-act-guidelines-and-resources" TargetMode="External"/><Relationship Id="rId1" Type="http://schemas.openxmlformats.org/officeDocument/2006/relationships/hyperlink" Target="http://envirospec.nz/resources/lb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Report%20Template%202.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19" ma:contentTypeDescription="Create a new document." ma:contentTypeScope="" ma:versionID="64bf041842862725ac5f447fd1c2928a">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56571122bfa8932916a22814e21f743f"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2.xml><?xml version="1.0" encoding="utf-8"?>
<ds:datastoreItem xmlns:ds="http://schemas.openxmlformats.org/officeDocument/2006/customXml" ds:itemID="{10B96A8D-D69B-4BC0-9969-1BE3E9AD1232}">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3.xml><?xml version="1.0" encoding="utf-8"?>
<ds:datastoreItem xmlns:ds="http://schemas.openxmlformats.org/officeDocument/2006/customXml" ds:itemID="{7353EDDF-9B2D-4F4F-8FA6-42ECCDB1553D}">
  <ds:schemaRefs>
    <ds:schemaRef ds:uri="http://schemas.microsoft.com/sharepoint/v3/contenttype/forms"/>
  </ds:schemaRefs>
</ds:datastoreItem>
</file>

<file path=customXml/itemProps4.xml><?xml version="1.0" encoding="utf-8"?>
<ds:datastoreItem xmlns:ds="http://schemas.openxmlformats.org/officeDocument/2006/customXml" ds:itemID="{EEE3DB66-8DFD-4D74-9C12-D016B6DC9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Template 2</Template>
  <TotalTime>16</TotalTime>
  <Pages>23</Pages>
  <Words>6041</Words>
  <Characters>34437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Jacqui Bridges</cp:lastModifiedBy>
  <cp:revision>5</cp:revision>
  <cp:lastPrinted>2022-09-29T19:38:00Z</cp:lastPrinted>
  <dcterms:created xsi:type="dcterms:W3CDTF">2022-09-14T04:23:00Z</dcterms:created>
  <dcterms:modified xsi:type="dcterms:W3CDTF">2022-09-29T19:39:00Z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0x0101040000C882126429BB4290855C7DC7166728</vt:lpwstr>
  </property>
  <property fmtid="{D5CDD505-2E9C-101B-9397-08002B2CF9AE}" pid="3" name="MoH_x0020_Business_x0020_Function">
    <vt:lpwstr/>
  </property>
  <property fmtid="{D5CDD505-2E9C-101B-9397-08002B2CF9AE}" pid="4" name="MediaServiceImageTags">
    <vt:lpwstr/>
  </property>
  <property fmtid="{D5CDD505-2E9C-101B-9397-08002B2CF9AE}" pid="5" name="d65eeeaccac147a2976cca470bd7ff68">
    <vt:lpwstr/>
  </property>
  <property fmtid="{D5CDD505-2E9C-101B-9397-08002B2CF9AE}" pid="6" name="MoH Business Function">
    <vt:lpwstr/>
  </property>
</Properties>
</file>